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BCD8D">
      <w:pPr>
        <w:pStyle w:val="9"/>
        <w:jc w:val="left"/>
        <w:rPr>
          <w:rFonts w:hint="eastAsia" w:ascii="黑体" w:hAnsi="黑体" w:eastAsia="黑体"/>
          <w:b w:val="0"/>
        </w:rPr>
      </w:pPr>
      <w:bookmarkStart w:id="0" w:name="_Toc27541"/>
      <w:bookmarkStart w:id="1" w:name="_Toc25419"/>
      <w:bookmarkStart w:id="2" w:name="_Toc26202"/>
      <w:r>
        <w:rPr>
          <w:rFonts w:ascii="黑体" w:hAnsi="黑体" w:eastAsia="黑体"/>
          <w:b w:val="0"/>
        </w:rPr>
        <w:t>附件</w:t>
      </w:r>
      <w:r>
        <w:rPr>
          <w:rFonts w:hint="eastAsia" w:ascii="黑体" w:hAnsi="黑体" w:eastAsia="黑体"/>
          <w:b w:val="0"/>
        </w:rPr>
        <w:t>8</w:t>
      </w:r>
      <w:bookmarkEnd w:id="0"/>
      <w:bookmarkEnd w:id="1"/>
      <w:bookmarkEnd w:id="2"/>
    </w:p>
    <w:p w14:paraId="657BCD8E">
      <w:pPr>
        <w:jc w:val="center"/>
        <w:rPr>
          <w:rFonts w:hint="eastAsia" w:ascii="黑体" w:hAnsi="黑体" w:eastAsia="黑体"/>
          <w:bCs/>
          <w:sz w:val="32"/>
          <w:szCs w:val="32"/>
        </w:rPr>
      </w:pPr>
      <w:r>
        <w:rPr>
          <w:rFonts w:hint="eastAsia" w:ascii="黑体" w:hAnsi="黑体" w:eastAsia="黑体"/>
          <w:bCs/>
          <w:sz w:val="32"/>
          <w:szCs w:val="32"/>
        </w:rPr>
        <w:t>编制说明（格式）</w:t>
      </w:r>
    </w:p>
    <w:p w14:paraId="657BCD8F">
      <w:pPr>
        <w:pStyle w:val="21"/>
        <w:ind w:firstLine="0" w:firstLineChars="0"/>
      </w:pPr>
    </w:p>
    <w:p w14:paraId="657BCD90">
      <w:pPr>
        <w:pStyle w:val="21"/>
        <w:ind w:firstLine="0" w:firstLineChars="0"/>
      </w:pPr>
    </w:p>
    <w:p w14:paraId="657BCD91">
      <w:pPr>
        <w:pStyle w:val="21"/>
        <w:ind w:firstLine="0" w:firstLineChars="0"/>
      </w:pPr>
    </w:p>
    <w:p w14:paraId="657BCD92">
      <w:pPr>
        <w:pStyle w:val="21"/>
        <w:ind w:firstLine="0" w:firstLineChars="0"/>
      </w:pPr>
    </w:p>
    <w:p w14:paraId="657BCD93">
      <w:pPr>
        <w:pStyle w:val="21"/>
        <w:ind w:firstLine="0" w:firstLineChars="0"/>
      </w:pPr>
    </w:p>
    <w:p w14:paraId="657BCD94">
      <w:pPr>
        <w:pStyle w:val="21"/>
        <w:ind w:firstLine="0" w:firstLineChars="0"/>
      </w:pPr>
    </w:p>
    <w:p w14:paraId="657BCD95">
      <w:pPr>
        <w:pStyle w:val="21"/>
        <w:ind w:firstLine="0" w:firstLineChars="0"/>
      </w:pPr>
    </w:p>
    <w:p w14:paraId="657BCD96">
      <w:pPr>
        <w:pStyle w:val="21"/>
        <w:ind w:firstLine="0" w:firstLineChars="0"/>
      </w:pPr>
    </w:p>
    <w:p w14:paraId="657BCD97">
      <w:pPr>
        <w:pStyle w:val="21"/>
        <w:ind w:firstLine="0" w:firstLineChars="0"/>
      </w:pPr>
    </w:p>
    <w:p w14:paraId="657BCD98">
      <w:pPr>
        <w:pStyle w:val="21"/>
        <w:ind w:firstLine="0" w:firstLineChars="0"/>
      </w:pPr>
    </w:p>
    <w:p w14:paraId="657BCD99">
      <w:pPr>
        <w:pStyle w:val="21"/>
        <w:ind w:firstLine="0" w:firstLineChars="0"/>
        <w:jc w:val="center"/>
        <w:rPr>
          <w:rFonts w:ascii="黑体" w:eastAsia="黑体"/>
          <w:sz w:val="44"/>
          <w:szCs w:val="44"/>
        </w:rPr>
      </w:pPr>
      <w:r>
        <w:rPr>
          <w:rFonts w:hint="eastAsia" w:ascii="黑体" w:eastAsia="黑体"/>
          <w:sz w:val="44"/>
          <w:szCs w:val="44"/>
        </w:rPr>
        <w:t>变电站与换流站非侵入式高电压传感器检测要求</w:t>
      </w:r>
    </w:p>
    <w:p w14:paraId="657BCD9A">
      <w:pPr>
        <w:pStyle w:val="21"/>
      </w:pPr>
    </w:p>
    <w:p w14:paraId="657BCD9B">
      <w:pPr>
        <w:pStyle w:val="21"/>
      </w:pPr>
    </w:p>
    <w:p w14:paraId="657BCD9C">
      <w:pPr>
        <w:pStyle w:val="23"/>
        <w:numPr>
          <w:ilvl w:val="0"/>
          <w:numId w:val="0"/>
        </w:numPr>
        <w:jc w:val="center"/>
        <w:rPr>
          <w:sz w:val="28"/>
          <w:szCs w:val="28"/>
        </w:rPr>
      </w:pPr>
      <w:bookmarkStart w:id="3" w:name="_Toc298937368"/>
      <w:bookmarkStart w:id="4" w:name="_Toc298937333"/>
      <w:bookmarkStart w:id="5" w:name="_Toc298937620"/>
      <w:bookmarkStart w:id="6" w:name="_Toc298937430"/>
      <w:bookmarkStart w:id="7" w:name="_Toc309993200"/>
      <w:bookmarkStart w:id="8" w:name="_Toc309996019"/>
      <w:bookmarkStart w:id="9" w:name="_Toc298938794"/>
      <w:bookmarkStart w:id="10" w:name="_Toc309994571"/>
      <w:bookmarkStart w:id="11" w:name="_Toc309997060"/>
      <w:bookmarkStart w:id="12" w:name="_Toc320020914"/>
      <w:bookmarkStart w:id="13" w:name="_Toc304828086"/>
      <w:bookmarkStart w:id="14" w:name="_Toc304824981"/>
      <w:bookmarkStart w:id="15" w:name="_Toc304825020"/>
      <w:bookmarkStart w:id="16" w:name="_Toc309995598"/>
      <w:bookmarkStart w:id="17" w:name="_Toc304825093"/>
      <w:bookmarkStart w:id="18" w:name="_Toc309995410"/>
      <w:bookmarkStart w:id="19" w:name="_Toc298937473"/>
      <w:bookmarkStart w:id="20" w:name="_Toc318613715"/>
      <w:bookmarkStart w:id="21" w:name="_Toc309995492"/>
      <w:bookmarkStart w:id="22" w:name="_Toc298938646"/>
      <w:bookmarkStart w:id="23" w:name="_Toc298937560"/>
      <w:bookmarkStart w:id="24" w:name="_Toc310002657"/>
      <w:bookmarkStart w:id="25" w:name="_Toc304402675"/>
      <w:r>
        <w:rPr>
          <w:rFonts w:hint="eastAsia"/>
          <w:sz w:val="28"/>
          <w:szCs w:val="28"/>
        </w:rPr>
        <w:t>编 制 说</w:t>
      </w:r>
      <w:bookmarkEnd w:id="3"/>
      <w:bookmarkEnd w:id="4"/>
      <w:r>
        <w:rPr>
          <w:rFonts w:hint="eastAsia"/>
          <w:sz w:val="28"/>
          <w:szCs w:val="28"/>
        </w:rPr>
        <w:t> 明</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57BCD9D">
      <w:pPr>
        <w:pStyle w:val="21"/>
        <w:ind w:firstLine="560"/>
        <w:jc w:val="center"/>
        <w:rPr>
          <w:rFonts w:ascii="黑体" w:eastAsia="黑体"/>
          <w:sz w:val="28"/>
          <w:szCs w:val="28"/>
        </w:rPr>
      </w:pPr>
    </w:p>
    <w:p w14:paraId="657BCD9E">
      <w:pPr>
        <w:pStyle w:val="21"/>
        <w:ind w:firstLine="560"/>
        <w:jc w:val="center"/>
        <w:rPr>
          <w:rFonts w:ascii="黑体" w:eastAsia="黑体"/>
          <w:sz w:val="28"/>
          <w:szCs w:val="28"/>
        </w:rPr>
      </w:pPr>
    </w:p>
    <w:p w14:paraId="657BCD9F">
      <w:pPr>
        <w:pStyle w:val="21"/>
        <w:sectPr>
          <w:headerReference r:id="rId3" w:type="default"/>
          <w:footerReference r:id="rId5" w:type="default"/>
          <w:headerReference r:id="rId4" w:type="even"/>
          <w:pgSz w:w="11906" w:h="16838"/>
          <w:pgMar w:top="567" w:right="1134" w:bottom="1134" w:left="1417" w:header="1418" w:footer="1134" w:gutter="0"/>
          <w:cols w:space="720" w:num="1"/>
          <w:formProt w:val="0"/>
          <w:docGrid w:type="lines" w:linePitch="312" w:charSpace="0"/>
        </w:sectPr>
      </w:pPr>
    </w:p>
    <w:p w14:paraId="657BCDA0">
      <w:pPr>
        <w:pStyle w:val="33"/>
      </w:pPr>
      <w:bookmarkStart w:id="26" w:name="_Toc513731021"/>
      <w:bookmarkStart w:id="27" w:name="_Toc513731109"/>
      <w:bookmarkStart w:id="28" w:name="_Toc309992160"/>
      <w:bookmarkStart w:id="29" w:name="_Toc24626"/>
      <w:r>
        <w:rPr>
          <w:rFonts w:hint="eastAsia"/>
        </w:rPr>
        <w:t>目次</w:t>
      </w:r>
      <w:bookmarkEnd w:id="26"/>
      <w:bookmarkEnd w:id="27"/>
      <w:bookmarkEnd w:id="28"/>
      <w:bookmarkEnd w:id="29"/>
    </w:p>
    <w:p w14:paraId="5493E85B">
      <w:pPr>
        <w:pStyle w:val="7"/>
        <w:tabs>
          <w:tab w:val="right" w:leader="dot" w:pos="9355"/>
          <w:tab w:val="clear" w:pos="9241"/>
        </w:tabs>
      </w:pPr>
      <w:r>
        <w:rPr>
          <w:rFonts w:hint="eastAsia" w:hAnsi="宋体" w:cs="宋体"/>
        </w:rPr>
        <w:fldChar w:fldCharType="begin"/>
      </w:r>
      <w:r>
        <w:rPr>
          <w:rFonts w:hint="eastAsia" w:hAnsi="宋体" w:cs="宋体"/>
        </w:rPr>
        <w:instrText xml:space="preserve"> TOC \o "1-1" \h \z \u </w:instrText>
      </w:r>
      <w:r>
        <w:rPr>
          <w:rFonts w:hint="eastAsia" w:hAnsi="宋体" w:cs="宋体"/>
        </w:rPr>
        <w:fldChar w:fldCharType="separate"/>
      </w:r>
      <w:r>
        <w:rPr>
          <w:rFonts w:hint="eastAsia" w:hAnsi="宋体" w:cs="宋体"/>
        </w:rPr>
        <w:fldChar w:fldCharType="begin"/>
      </w:r>
      <w:r>
        <w:rPr>
          <w:rFonts w:hint="eastAsia" w:hAnsi="宋体" w:cs="宋体"/>
        </w:rPr>
        <w:instrText xml:space="preserve"> HYPERLINK \l _Toc26202 </w:instrText>
      </w:r>
      <w:r>
        <w:rPr>
          <w:rFonts w:hint="eastAsia" w:hAnsi="宋体" w:cs="宋体"/>
        </w:rPr>
        <w:fldChar w:fldCharType="separate"/>
      </w:r>
      <w:r>
        <w:rPr>
          <w:rFonts w:ascii="黑体" w:hAnsi="黑体" w:eastAsia="黑体"/>
        </w:rPr>
        <w:t>附件</w:t>
      </w:r>
      <w:r>
        <w:rPr>
          <w:rFonts w:hint="eastAsia" w:ascii="黑体" w:hAnsi="黑体" w:eastAsia="黑体"/>
        </w:rPr>
        <w:t>8</w:t>
      </w:r>
      <w:r>
        <w:tab/>
      </w:r>
      <w:r>
        <w:fldChar w:fldCharType="begin"/>
      </w:r>
      <w:r>
        <w:instrText xml:space="preserve"> PAGEREF _Toc26202 \h </w:instrText>
      </w:r>
      <w:r>
        <w:fldChar w:fldCharType="separate"/>
      </w:r>
      <w:r>
        <w:t>1</w:t>
      </w:r>
      <w:r>
        <w:fldChar w:fldCharType="end"/>
      </w:r>
      <w:r>
        <w:rPr>
          <w:rFonts w:hint="eastAsia" w:hAnsi="宋体" w:cs="宋体"/>
        </w:rPr>
        <w:fldChar w:fldCharType="end"/>
      </w:r>
    </w:p>
    <w:p w14:paraId="1E9FFEC4">
      <w:pPr>
        <w:pStyle w:val="7"/>
        <w:tabs>
          <w:tab w:val="right" w:leader="dot" w:pos="9355"/>
          <w:tab w:val="clear" w:pos="9241"/>
        </w:tabs>
      </w:pPr>
      <w:r>
        <w:rPr>
          <w:rFonts w:hint="eastAsia" w:hAnsi="宋体" w:cs="宋体"/>
          <w:szCs w:val="21"/>
        </w:rPr>
        <w:fldChar w:fldCharType="begin"/>
      </w:r>
      <w:r>
        <w:rPr>
          <w:rFonts w:hint="eastAsia" w:hAnsi="宋体" w:cs="宋体"/>
          <w:szCs w:val="21"/>
        </w:rPr>
        <w:instrText xml:space="preserve"> HYPERLINK \l _Toc24626 </w:instrText>
      </w:r>
      <w:r>
        <w:rPr>
          <w:rFonts w:hint="eastAsia" w:hAnsi="宋体" w:cs="宋体"/>
          <w:szCs w:val="21"/>
        </w:rPr>
        <w:fldChar w:fldCharType="separate"/>
      </w:r>
      <w:r>
        <w:rPr>
          <w:rFonts w:hint="eastAsia"/>
        </w:rPr>
        <w:t>目次</w:t>
      </w:r>
      <w:r>
        <w:tab/>
      </w:r>
      <w:r>
        <w:fldChar w:fldCharType="begin"/>
      </w:r>
      <w:r>
        <w:instrText xml:space="preserve"> PAGEREF _Toc24626 \h </w:instrText>
      </w:r>
      <w:r>
        <w:fldChar w:fldCharType="separate"/>
      </w:r>
      <w:r>
        <w:t>2</w:t>
      </w:r>
      <w:r>
        <w:fldChar w:fldCharType="end"/>
      </w:r>
      <w:r>
        <w:rPr>
          <w:rFonts w:hint="eastAsia" w:hAnsi="宋体" w:cs="宋体"/>
          <w:szCs w:val="21"/>
        </w:rPr>
        <w:fldChar w:fldCharType="end"/>
      </w:r>
    </w:p>
    <w:p w14:paraId="02657B22">
      <w:pPr>
        <w:pStyle w:val="7"/>
        <w:tabs>
          <w:tab w:val="right" w:leader="dot" w:pos="9355"/>
          <w:tab w:val="clear" w:pos="9241"/>
        </w:tabs>
      </w:pPr>
      <w:r>
        <w:rPr>
          <w:rFonts w:hint="eastAsia" w:hAnsi="宋体" w:cs="宋体"/>
          <w:szCs w:val="21"/>
        </w:rPr>
        <w:fldChar w:fldCharType="begin"/>
      </w:r>
      <w:r>
        <w:rPr>
          <w:rFonts w:hint="eastAsia" w:hAnsi="宋体" w:cs="宋体"/>
          <w:szCs w:val="21"/>
        </w:rPr>
        <w:instrText xml:space="preserve"> HYPERLINK \l _Toc5456 </w:instrText>
      </w:r>
      <w:r>
        <w:rPr>
          <w:rFonts w:hint="eastAsia" w:hAnsi="宋体" w:cs="宋体"/>
          <w:szCs w:val="21"/>
        </w:rPr>
        <w:fldChar w:fldCharType="separate"/>
      </w:r>
      <w:r>
        <w:rPr>
          <w:rFonts w:hint="eastAsia" w:ascii="宋体" w:hAnsi="宋体"/>
          <w:szCs w:val="21"/>
        </w:rPr>
        <w:t>1 编制背景</w:t>
      </w:r>
      <w:r>
        <w:tab/>
      </w:r>
      <w:r>
        <w:fldChar w:fldCharType="begin"/>
      </w:r>
      <w:r>
        <w:instrText xml:space="preserve"> PAGEREF _Toc5456 \h </w:instrText>
      </w:r>
      <w:r>
        <w:fldChar w:fldCharType="separate"/>
      </w:r>
      <w:r>
        <w:t>3</w:t>
      </w:r>
      <w:r>
        <w:fldChar w:fldCharType="end"/>
      </w:r>
      <w:r>
        <w:rPr>
          <w:rFonts w:hint="eastAsia" w:hAnsi="宋体" w:cs="宋体"/>
          <w:szCs w:val="21"/>
        </w:rPr>
        <w:fldChar w:fldCharType="end"/>
      </w:r>
    </w:p>
    <w:p w14:paraId="0E8DAD8C">
      <w:pPr>
        <w:pStyle w:val="7"/>
        <w:tabs>
          <w:tab w:val="right" w:leader="dot" w:pos="9355"/>
          <w:tab w:val="clear" w:pos="9241"/>
        </w:tabs>
      </w:pPr>
      <w:r>
        <w:rPr>
          <w:rFonts w:hint="eastAsia" w:hAnsi="宋体" w:cs="宋体"/>
          <w:szCs w:val="21"/>
        </w:rPr>
        <w:fldChar w:fldCharType="begin"/>
      </w:r>
      <w:r>
        <w:rPr>
          <w:rFonts w:hint="eastAsia" w:hAnsi="宋体" w:cs="宋体"/>
          <w:szCs w:val="21"/>
        </w:rPr>
        <w:instrText xml:space="preserve"> HYPERLINK \l _Toc13749 </w:instrText>
      </w:r>
      <w:r>
        <w:rPr>
          <w:rFonts w:hint="eastAsia" w:hAnsi="宋体" w:cs="宋体"/>
          <w:szCs w:val="21"/>
        </w:rPr>
        <w:fldChar w:fldCharType="separate"/>
      </w:r>
      <w:r>
        <w:rPr>
          <w:rFonts w:hint="eastAsia" w:ascii="宋体" w:hAnsi="宋体"/>
          <w:szCs w:val="21"/>
        </w:rPr>
        <w:t>2 编制主要原则</w:t>
      </w:r>
      <w:r>
        <w:tab/>
      </w:r>
      <w:r>
        <w:fldChar w:fldCharType="begin"/>
      </w:r>
      <w:r>
        <w:instrText xml:space="preserve"> PAGEREF _Toc13749 \h </w:instrText>
      </w:r>
      <w:r>
        <w:fldChar w:fldCharType="separate"/>
      </w:r>
      <w:r>
        <w:t>3</w:t>
      </w:r>
      <w:r>
        <w:fldChar w:fldCharType="end"/>
      </w:r>
      <w:r>
        <w:rPr>
          <w:rFonts w:hint="eastAsia" w:hAnsi="宋体" w:cs="宋体"/>
          <w:szCs w:val="21"/>
        </w:rPr>
        <w:fldChar w:fldCharType="end"/>
      </w:r>
    </w:p>
    <w:p w14:paraId="6DE2974C">
      <w:pPr>
        <w:pStyle w:val="7"/>
        <w:tabs>
          <w:tab w:val="right" w:leader="dot" w:pos="9355"/>
          <w:tab w:val="clear" w:pos="9241"/>
        </w:tabs>
      </w:pPr>
      <w:r>
        <w:rPr>
          <w:rFonts w:hint="eastAsia" w:hAnsi="宋体" w:cs="宋体"/>
          <w:szCs w:val="21"/>
        </w:rPr>
        <w:fldChar w:fldCharType="begin"/>
      </w:r>
      <w:r>
        <w:rPr>
          <w:rFonts w:hint="eastAsia" w:hAnsi="宋体" w:cs="宋体"/>
          <w:szCs w:val="21"/>
        </w:rPr>
        <w:instrText xml:space="preserve"> HYPERLINK \l _Toc24125 </w:instrText>
      </w:r>
      <w:r>
        <w:rPr>
          <w:rFonts w:hint="eastAsia" w:hAnsi="宋体" w:cs="宋体"/>
          <w:szCs w:val="21"/>
        </w:rPr>
        <w:fldChar w:fldCharType="separate"/>
      </w:r>
      <w:r>
        <w:rPr>
          <w:rFonts w:hint="eastAsia" w:ascii="宋体" w:hAnsi="宋体"/>
          <w:szCs w:val="21"/>
        </w:rPr>
        <w:t>3 主要工作过程</w:t>
      </w:r>
      <w:r>
        <w:tab/>
      </w:r>
      <w:r>
        <w:fldChar w:fldCharType="begin"/>
      </w:r>
      <w:r>
        <w:instrText xml:space="preserve"> PAGEREF _Toc24125 \h </w:instrText>
      </w:r>
      <w:r>
        <w:fldChar w:fldCharType="separate"/>
      </w:r>
      <w:r>
        <w:t>3</w:t>
      </w:r>
      <w:r>
        <w:fldChar w:fldCharType="end"/>
      </w:r>
      <w:r>
        <w:rPr>
          <w:rFonts w:hint="eastAsia" w:hAnsi="宋体" w:cs="宋体"/>
          <w:szCs w:val="21"/>
        </w:rPr>
        <w:fldChar w:fldCharType="end"/>
      </w:r>
    </w:p>
    <w:p w14:paraId="0590E49C">
      <w:pPr>
        <w:pStyle w:val="7"/>
        <w:tabs>
          <w:tab w:val="right" w:leader="dot" w:pos="9355"/>
          <w:tab w:val="clear" w:pos="9241"/>
        </w:tabs>
      </w:pPr>
      <w:r>
        <w:rPr>
          <w:rFonts w:hint="eastAsia" w:hAnsi="宋体" w:cs="宋体"/>
          <w:szCs w:val="21"/>
        </w:rPr>
        <w:fldChar w:fldCharType="begin"/>
      </w:r>
      <w:r>
        <w:rPr>
          <w:rFonts w:hint="eastAsia" w:hAnsi="宋体" w:cs="宋体"/>
          <w:szCs w:val="21"/>
        </w:rPr>
        <w:instrText xml:space="preserve"> HYPERLINK \l _Toc11437 </w:instrText>
      </w:r>
      <w:r>
        <w:rPr>
          <w:rFonts w:hint="eastAsia" w:hAnsi="宋体" w:cs="宋体"/>
          <w:szCs w:val="21"/>
        </w:rPr>
        <w:fldChar w:fldCharType="separate"/>
      </w:r>
      <w:r>
        <w:rPr>
          <w:rFonts w:hint="eastAsia" w:ascii="宋体" w:hAnsi="宋体"/>
          <w:szCs w:val="21"/>
        </w:rPr>
        <w:t>4</w:t>
      </w:r>
      <w:r>
        <w:rPr>
          <w:rFonts w:hint="eastAsia"/>
        </w:rPr>
        <w:t xml:space="preserve"> 标准结构和内容说明</w:t>
      </w:r>
      <w:r>
        <w:tab/>
      </w:r>
      <w:r>
        <w:fldChar w:fldCharType="begin"/>
      </w:r>
      <w:r>
        <w:instrText xml:space="preserve"> PAGEREF _Toc11437 \h </w:instrText>
      </w:r>
      <w:r>
        <w:fldChar w:fldCharType="separate"/>
      </w:r>
      <w:r>
        <w:t>4</w:t>
      </w:r>
      <w:r>
        <w:fldChar w:fldCharType="end"/>
      </w:r>
      <w:r>
        <w:rPr>
          <w:rFonts w:hint="eastAsia" w:hAnsi="宋体" w:cs="宋体"/>
          <w:szCs w:val="21"/>
        </w:rPr>
        <w:fldChar w:fldCharType="end"/>
      </w:r>
    </w:p>
    <w:p w14:paraId="11CBFF3B">
      <w:pPr>
        <w:pStyle w:val="7"/>
        <w:tabs>
          <w:tab w:val="right" w:leader="dot" w:pos="9355"/>
          <w:tab w:val="clear" w:pos="9241"/>
        </w:tabs>
      </w:pPr>
      <w:r>
        <w:rPr>
          <w:rFonts w:hint="eastAsia" w:hAnsi="宋体" w:cs="宋体"/>
          <w:szCs w:val="21"/>
        </w:rPr>
        <w:fldChar w:fldCharType="begin"/>
      </w:r>
      <w:r>
        <w:rPr>
          <w:rFonts w:hint="eastAsia" w:hAnsi="宋体" w:cs="宋体"/>
          <w:szCs w:val="21"/>
        </w:rPr>
        <w:instrText xml:space="preserve"> HYPERLINK \l _Toc31152 </w:instrText>
      </w:r>
      <w:r>
        <w:rPr>
          <w:rFonts w:hint="eastAsia" w:hAnsi="宋体" w:cs="宋体"/>
          <w:szCs w:val="21"/>
        </w:rPr>
        <w:fldChar w:fldCharType="separate"/>
      </w:r>
      <w:r>
        <w:rPr>
          <w:rFonts w:hint="eastAsia" w:ascii="宋体" w:hAnsi="宋体"/>
          <w:szCs w:val="21"/>
        </w:rPr>
        <w:t>5 相关</w:t>
      </w:r>
      <w:r>
        <w:rPr>
          <w:rFonts w:hint="eastAsia"/>
        </w:rPr>
        <w:t>标准对比说明</w:t>
      </w:r>
      <w:r>
        <w:tab/>
      </w:r>
      <w:r>
        <w:fldChar w:fldCharType="begin"/>
      </w:r>
      <w:r>
        <w:instrText xml:space="preserve"> PAGEREF _Toc31152 \h </w:instrText>
      </w:r>
      <w:r>
        <w:fldChar w:fldCharType="separate"/>
      </w:r>
      <w:r>
        <w:t>5</w:t>
      </w:r>
      <w:r>
        <w:fldChar w:fldCharType="end"/>
      </w:r>
      <w:r>
        <w:rPr>
          <w:rFonts w:hint="eastAsia" w:hAnsi="宋体" w:cs="宋体"/>
          <w:szCs w:val="21"/>
        </w:rPr>
        <w:fldChar w:fldCharType="end"/>
      </w:r>
    </w:p>
    <w:p w14:paraId="13CD9297">
      <w:pPr>
        <w:pStyle w:val="7"/>
        <w:tabs>
          <w:tab w:val="right" w:leader="dot" w:pos="9355"/>
          <w:tab w:val="clear" w:pos="9241"/>
        </w:tabs>
      </w:pPr>
      <w:r>
        <w:rPr>
          <w:rFonts w:hint="eastAsia" w:hAnsi="宋体" w:cs="宋体"/>
          <w:szCs w:val="21"/>
        </w:rPr>
        <w:fldChar w:fldCharType="begin"/>
      </w:r>
      <w:r>
        <w:rPr>
          <w:rFonts w:hint="eastAsia" w:hAnsi="宋体" w:cs="宋体"/>
          <w:szCs w:val="21"/>
        </w:rPr>
        <w:instrText xml:space="preserve"> HYPERLINK \l _Toc30812 </w:instrText>
      </w:r>
      <w:r>
        <w:rPr>
          <w:rFonts w:hint="eastAsia" w:hAnsi="宋体" w:cs="宋体"/>
          <w:szCs w:val="21"/>
        </w:rPr>
        <w:fldChar w:fldCharType="separate"/>
      </w:r>
      <w:r>
        <w:rPr>
          <w:rFonts w:hint="eastAsia" w:ascii="宋体" w:hAnsi="宋体"/>
          <w:szCs w:val="21"/>
        </w:rPr>
        <w:t>6标准实施措施说明</w:t>
      </w:r>
      <w:r>
        <w:tab/>
      </w:r>
      <w:r>
        <w:fldChar w:fldCharType="begin"/>
      </w:r>
      <w:r>
        <w:instrText xml:space="preserve"> PAGEREF _Toc30812 \h </w:instrText>
      </w:r>
      <w:r>
        <w:fldChar w:fldCharType="separate"/>
      </w:r>
      <w:r>
        <w:t>5</w:t>
      </w:r>
      <w:r>
        <w:fldChar w:fldCharType="end"/>
      </w:r>
      <w:r>
        <w:rPr>
          <w:rFonts w:hint="eastAsia" w:hAnsi="宋体" w:cs="宋体"/>
          <w:szCs w:val="21"/>
        </w:rPr>
        <w:fldChar w:fldCharType="end"/>
      </w:r>
    </w:p>
    <w:p w14:paraId="657BCDA8">
      <w:pPr>
        <w:pStyle w:val="21"/>
        <w:rPr>
          <w:rFonts w:hint="eastAsia" w:hAnsi="宋体"/>
          <w:szCs w:val="21"/>
        </w:rPr>
      </w:pPr>
      <w:r>
        <w:rPr>
          <w:rFonts w:hint="eastAsia" w:hAnsi="宋体" w:cs="宋体"/>
          <w:szCs w:val="21"/>
        </w:rPr>
        <w:fldChar w:fldCharType="end"/>
      </w:r>
    </w:p>
    <w:p w14:paraId="657BCDA9">
      <w:pPr>
        <w:pStyle w:val="21"/>
        <w:rPr>
          <w:rFonts w:hint="eastAsia" w:hAnsi="宋体"/>
          <w:szCs w:val="21"/>
        </w:rPr>
      </w:pPr>
    </w:p>
    <w:p w14:paraId="657BCDAA">
      <w:pPr>
        <w:pStyle w:val="21"/>
        <w:rPr>
          <w:rFonts w:hint="eastAsia" w:hAnsi="宋体"/>
          <w:szCs w:val="21"/>
        </w:rPr>
      </w:pPr>
    </w:p>
    <w:p w14:paraId="657BCDAB">
      <w:pPr>
        <w:pStyle w:val="21"/>
        <w:rPr>
          <w:rFonts w:hint="eastAsia" w:hAnsi="宋体"/>
          <w:szCs w:val="21"/>
        </w:rPr>
      </w:pPr>
    </w:p>
    <w:p w14:paraId="657BCDAC">
      <w:pPr>
        <w:pStyle w:val="21"/>
        <w:rPr>
          <w:rFonts w:hint="eastAsia" w:hAnsi="宋体"/>
          <w:szCs w:val="21"/>
        </w:rPr>
        <w:sectPr>
          <w:headerReference r:id="rId6" w:type="default"/>
          <w:footerReference r:id="rId7" w:type="default"/>
          <w:pgSz w:w="11906" w:h="16838"/>
          <w:pgMar w:top="567" w:right="1134" w:bottom="1134" w:left="1417" w:header="1418" w:footer="1134" w:gutter="0"/>
          <w:cols w:space="720" w:num="1"/>
          <w:formProt w:val="0"/>
          <w:docGrid w:type="lines" w:linePitch="312" w:charSpace="0"/>
        </w:sectPr>
      </w:pPr>
      <w:bookmarkStart w:id="39" w:name="_GoBack"/>
      <w:bookmarkEnd w:id="39"/>
    </w:p>
    <w:p w14:paraId="657BCDAD">
      <w:pPr>
        <w:pStyle w:val="32"/>
        <w:spacing w:before="312" w:after="312"/>
        <w:rPr>
          <w:rFonts w:hint="eastAsia" w:ascii="宋体" w:hAnsi="宋体"/>
          <w:szCs w:val="21"/>
        </w:rPr>
      </w:pPr>
      <w:bookmarkStart w:id="30" w:name="_Toc5456"/>
      <w:r>
        <w:rPr>
          <w:rFonts w:hint="eastAsia" w:ascii="宋体" w:hAnsi="宋体"/>
          <w:szCs w:val="21"/>
        </w:rPr>
        <w:t>1 编制背景</w:t>
      </w:r>
      <w:bookmarkEnd w:id="30"/>
    </w:p>
    <w:p w14:paraId="657BCDAE">
      <w:pPr>
        <w:pStyle w:val="21"/>
      </w:pPr>
      <w:r>
        <w:rPr>
          <w:rFonts w:hint="eastAsia"/>
        </w:rPr>
        <w:t>本标准对“</w:t>
      </w:r>
      <w:bookmarkStart w:id="31" w:name="OLE_LINK1"/>
      <w:r>
        <w:rPr>
          <w:rFonts w:hint="eastAsia"/>
        </w:rPr>
        <w:t>变电站与换流站非侵入式高电压传感器检测要求</w:t>
      </w:r>
      <w:bookmarkEnd w:id="31"/>
      <w:r>
        <w:rPr>
          <w:rFonts w:hint="eastAsia"/>
        </w:rPr>
        <w:t>”进行制定，由国网江苏省电力有限公司电力科学研究院</w:t>
      </w:r>
      <w:r>
        <w:t>负责起草。</w:t>
      </w:r>
    </w:p>
    <w:p w14:paraId="657BCDAF">
      <w:pPr>
        <w:pStyle w:val="21"/>
      </w:pPr>
      <w:r>
        <w:rPr>
          <w:rFonts w:hint="eastAsia"/>
        </w:rPr>
        <w:t>新型电力系统呈现出“高新能源接入，高电力电子化”特点，谐波和宽频振荡问题更为突出，目前传统采用电压互感器方式进行电压感知，带宽不足、部署受限、测点少，难以实现宽频振荡、谐波、故障等的有效监测。非侵入式电压传感器具备部署方便、成本低、感知频带宽的特点，目前已经在江苏、上海、四川、云南等省份示范应用，为电压谐波溯源、宽频振荡预警、暂态过电压感知等提供了数据支撑。</w:t>
      </w:r>
    </w:p>
    <w:p w14:paraId="657BCDB0">
      <w:pPr>
        <w:pStyle w:val="21"/>
      </w:pPr>
      <w:r>
        <w:rPr>
          <w:rFonts w:hint="eastAsia"/>
        </w:rPr>
        <w:t>在可靠性方面，部分产品在与一次设备共形共融、电磁兼容、环境适应性、能量获取、射频稳定性等方面设计存在缺陷，导致传感器失效、掉线情况频发；在准确性方面，部分产品存在背景噪声大、线性度低、幅频/相频特性差、长期运行性能减退等问题，但目前缺乏关键性能的针对性检测方法，制造厂家、检测机构之间的检测方法未统一，检测结果难以互认，不利于传感器高质量应用。</w:t>
      </w:r>
    </w:p>
    <w:p w14:paraId="657BCDB1">
      <w:pPr>
        <w:pStyle w:val="21"/>
      </w:pPr>
      <w:r>
        <w:rPr>
          <w:rFonts w:hint="eastAsia"/>
        </w:rPr>
        <w:t>为此，有必要明确相关检测标准，制定变电站</w:t>
      </w:r>
      <w:r>
        <w:rPr>
          <w:rFonts w:hint="eastAsia"/>
          <w:lang w:val="en-US" w:eastAsia="zh-CN"/>
        </w:rPr>
        <w:t>与</w:t>
      </w:r>
      <w:r>
        <w:rPr>
          <w:rFonts w:hint="eastAsia"/>
        </w:rPr>
        <w:t>换流站非侵入式高电压传感器检测要求，实现检测方法互认，提升检测结果对传感器现场应用性能的表征程度，引导传感器产业生态健康发展。</w:t>
      </w:r>
    </w:p>
    <w:p w14:paraId="657BCDB2">
      <w:pPr>
        <w:pStyle w:val="32"/>
        <w:spacing w:before="312" w:after="312"/>
        <w:rPr>
          <w:rFonts w:hint="eastAsia" w:ascii="宋体" w:hAnsi="宋体"/>
          <w:szCs w:val="21"/>
        </w:rPr>
      </w:pPr>
      <w:bookmarkStart w:id="32" w:name="_Toc13749"/>
      <w:r>
        <w:rPr>
          <w:rFonts w:hint="eastAsia" w:ascii="宋体" w:hAnsi="宋体"/>
          <w:szCs w:val="21"/>
        </w:rPr>
        <w:t>2 编制主要原则</w:t>
      </w:r>
      <w:bookmarkEnd w:id="32"/>
    </w:p>
    <w:p w14:paraId="657BCDB3">
      <w:pPr>
        <w:pStyle w:val="21"/>
      </w:pPr>
      <w:r>
        <w:rPr>
          <w:rFonts w:hint="eastAsia"/>
        </w:rPr>
        <w:t>本标准的编写依据GB/T 1.1—2020《标准化工作导则  第1部分：标准化文件的结构和起草规则》的要求，在标准起草过程中参考了GB/T 2423.1—2008  电工电子产品环境试验 第2部分:试验方法 试验A：低温、GB/T 2423.2—2008  电工电子产品环境试验 第2部分:试验方法 试验B：高温</w:t>
      </w:r>
      <w:r>
        <w:rPr>
          <w:rFonts w:hint="eastAsia"/>
          <w:lang w:eastAsia="zh-CN"/>
        </w:rPr>
        <w:t>、GB/T 4208—2017  外壳防护等级(IP代码)、GB/T 7665—2005  传感器通用术语、GB/T 12572—2008  无线电发射设备参数通用要求和测量方法、GB/T 16821—2007  通信用电源设备通用试验方法、GB/T 17626.8-2006  电磁兼容 试验和测量技术 工频磁场抗扰度试验、</w:t>
      </w:r>
      <w:bookmarkStart w:id="33" w:name="OLE_LINK7"/>
      <w:r>
        <w:rPr>
          <w:rFonts w:hint="eastAsia"/>
          <w:lang w:eastAsia="zh-CN"/>
        </w:rPr>
        <w:t>GB/T 17626.9-2011  电磁兼容 试验和测量技术 脉冲磁场抗扰度试验、GB/T 18459-2001  传感器主要静态性能指标计算方法、</w:t>
      </w:r>
      <w:bookmarkEnd w:id="33"/>
      <w:r>
        <w:rPr>
          <w:rFonts w:hint="eastAsia"/>
          <w:lang w:eastAsia="zh-CN"/>
        </w:rPr>
        <w:t>GB/T 20840.7—2007  互感器 第7部分：电子式电压互感器、GB/T 26217—2019 高压直流输电系统直流电压测量装置、YD/T 1484.1—2016  无线终端空间射频辐射功率和接收机性能测量方法 第1部分：通用要求 、YD/T 3330—2018  支持通信应用的北斗授时设备测试方法、SJ 20927—2005  光纤电压传感器通用规范</w:t>
      </w:r>
      <w:r>
        <w:rPr>
          <w:rFonts w:hint="eastAsia"/>
        </w:rPr>
        <w:t>等标准。</w:t>
      </w:r>
    </w:p>
    <w:p w14:paraId="657BCDB4">
      <w:pPr>
        <w:pStyle w:val="21"/>
      </w:pPr>
      <w:r>
        <w:rPr>
          <w:rFonts w:hint="eastAsia"/>
        </w:rPr>
        <w:t>本标准规定了变电站</w:t>
      </w:r>
      <w:r>
        <w:rPr>
          <w:rFonts w:hint="eastAsia"/>
          <w:lang w:val="en-US" w:eastAsia="zh-CN"/>
        </w:rPr>
        <w:t>与</w:t>
      </w:r>
      <w:r>
        <w:rPr>
          <w:rFonts w:hint="eastAsia"/>
        </w:rPr>
        <w:t>换流站非侵入式高电压传感器</w:t>
      </w:r>
      <w:r>
        <w:rPr>
          <w:rFonts w:hint="eastAsia"/>
          <w:lang w:val="en-US" w:eastAsia="zh-CN"/>
        </w:rPr>
        <w:t>监测</w:t>
      </w:r>
      <w:r>
        <w:rPr>
          <w:rFonts w:hint="eastAsia"/>
        </w:rPr>
        <w:t>总体要求、</w:t>
      </w:r>
      <w:r>
        <w:rPr>
          <w:rFonts w:hint="eastAsia"/>
          <w:lang w:val="en-US" w:eastAsia="zh-CN"/>
        </w:rPr>
        <w:t>描述了对应的</w:t>
      </w:r>
      <w:r>
        <w:rPr>
          <w:rFonts w:hint="eastAsia"/>
        </w:rPr>
        <w:t>试验方法及</w:t>
      </w:r>
      <w:r>
        <w:rPr>
          <w:rFonts w:hint="eastAsia"/>
          <w:lang w:val="en-US" w:eastAsia="zh-CN"/>
        </w:rPr>
        <w:t>要求</w:t>
      </w:r>
      <w:r>
        <w:rPr>
          <w:rFonts w:hint="eastAsia"/>
        </w:rPr>
        <w:t>等，适用于110kV及以上电压等级变电站、换流站电压测量场景的非侵入式电压传感器型式试验、出厂检验、验收检验，其他电压等级或电力设备的非侵入式电压传感器可参照执行。</w:t>
      </w:r>
    </w:p>
    <w:p w14:paraId="657BCDB5">
      <w:pPr>
        <w:pStyle w:val="32"/>
        <w:spacing w:before="312" w:after="312"/>
        <w:rPr>
          <w:rFonts w:hint="eastAsia" w:ascii="宋体" w:hAnsi="宋体"/>
          <w:szCs w:val="21"/>
        </w:rPr>
      </w:pPr>
      <w:bookmarkStart w:id="34" w:name="_Toc24125"/>
      <w:r>
        <w:rPr>
          <w:rFonts w:hint="eastAsia" w:ascii="宋体" w:hAnsi="宋体"/>
          <w:szCs w:val="21"/>
        </w:rPr>
        <w:t>3 主要工作过程</w:t>
      </w:r>
      <w:bookmarkEnd w:id="34"/>
    </w:p>
    <w:p w14:paraId="7415F87C">
      <w:pPr>
        <w:pStyle w:val="21"/>
        <w:rPr>
          <w:rFonts w:ascii="Times New Roman"/>
        </w:rPr>
      </w:pPr>
      <w:r>
        <w:rPr>
          <w:rFonts w:hint="eastAsia" w:ascii="Times New Roman"/>
        </w:rPr>
        <w:t>本文件由</w:t>
      </w:r>
      <w:r>
        <w:rPr>
          <w:rFonts w:ascii="Times New Roman"/>
        </w:rPr>
        <w:t>中国电机工程学会</w:t>
      </w:r>
      <w:r>
        <w:rPr>
          <w:rFonts w:hint="eastAsia" w:ascii="Times New Roman"/>
        </w:rPr>
        <w:t>提出。</w:t>
      </w:r>
    </w:p>
    <w:p w14:paraId="41941E12">
      <w:pPr>
        <w:pStyle w:val="21"/>
      </w:pPr>
      <w:r>
        <w:rPr>
          <w:rFonts w:ascii="Times New Roman"/>
        </w:rPr>
        <w:t>本</w:t>
      </w:r>
      <w:r>
        <w:rPr>
          <w:rFonts w:hint="eastAsia" w:ascii="Times New Roman"/>
        </w:rPr>
        <w:t>文件</w:t>
      </w:r>
      <w:r>
        <w:rPr>
          <w:rFonts w:ascii="Times New Roman"/>
        </w:rPr>
        <w:t>由中国电机工程学会智能感知专业委员会</w:t>
      </w:r>
      <w:r>
        <w:rPr>
          <w:rFonts w:hint="eastAsia" w:ascii="Times New Roman"/>
        </w:rPr>
        <w:t>归口</w:t>
      </w:r>
      <w:r>
        <w:rPr>
          <w:rFonts w:hint="eastAsia" w:ascii="Times New Roman"/>
          <w:lang w:val="en-US" w:eastAsia="zh-CN"/>
        </w:rPr>
        <w:t>并</w:t>
      </w:r>
      <w:r>
        <w:rPr>
          <w:rFonts w:hint="eastAsia" w:ascii="Times New Roman"/>
        </w:rPr>
        <w:t>解释</w:t>
      </w:r>
      <w:r>
        <w:rPr>
          <w:rFonts w:ascii="Times New Roman"/>
        </w:rPr>
        <w:t>。</w:t>
      </w:r>
    </w:p>
    <w:p w14:paraId="657BCDB8">
      <w:pPr>
        <w:pStyle w:val="21"/>
      </w:pPr>
      <w:r>
        <w:rPr>
          <w:rFonts w:hint="eastAsia"/>
        </w:rPr>
        <w:t>本标准起草单位：国网江苏省电力有限公司电力科学研究院、中国电力科学院研究院有限公司、</w:t>
      </w:r>
      <w:r>
        <w:rPr>
          <w:rFonts w:hint="eastAsia" w:ascii="Times New Roman"/>
        </w:rPr>
        <w:t>重庆大学，西安交通大学，中国科学院上海微系统与信息技术研究所，北京智芯微电子科技有限公司，中国科学技术大学，中电普瑞电力工程有限公司</w:t>
      </w:r>
      <w:r>
        <w:rPr>
          <w:rFonts w:hint="eastAsia"/>
        </w:rPr>
        <w:t>。</w:t>
      </w:r>
    </w:p>
    <w:p w14:paraId="657BCDB9">
      <w:pPr>
        <w:pStyle w:val="21"/>
      </w:pPr>
      <w:r>
        <w:rPr>
          <w:rFonts w:hint="eastAsia"/>
        </w:rPr>
        <w:t>本标准主要起草人：XXX</w:t>
      </w:r>
    </w:p>
    <w:p w14:paraId="657BCDBA">
      <w:pPr>
        <w:pStyle w:val="21"/>
      </w:pPr>
      <w:r>
        <w:rPr>
          <w:rFonts w:hint="eastAsia"/>
        </w:rPr>
        <w:t>起草工作阶段：标准编制工作起草小组在2024年9月积极组织筹备和征集标准起草工作组的成员单位，成立了标准起草工作组。</w:t>
      </w:r>
    </w:p>
    <w:p w14:paraId="657BCDBB">
      <w:pPr>
        <w:pStyle w:val="21"/>
      </w:pPr>
      <w:r>
        <w:rPr>
          <w:rFonts w:hint="eastAsia"/>
        </w:rPr>
        <w:t>标准起草工作组制定了标准编制工作计划、编写大纲，明确任务分工及各阶段进度时间。同时，标准起草工作组成员认真学习了GB/T 1.1—2020《标准化工作导则  第1部分：标准化文件的结构和起草规则》，结合标准制定工作程序的各个环节，进行了探讨和研究。</w:t>
      </w:r>
    </w:p>
    <w:p w14:paraId="657BCDBC">
      <w:pPr>
        <w:pStyle w:val="21"/>
      </w:pPr>
      <w:r>
        <w:rPr>
          <w:rFonts w:hint="eastAsia"/>
        </w:rPr>
        <w:t>标准起草工作组经过技术调研、咨询，收集、消化有关资料，并结合变电站与换流站非侵入式高电压传感器的检测，以及技术发展趋势，以非侵入式电压传感器型式试验、出厂检验、验收检验为主要参考依据，于2024年10月，标准起草工作组编写完成并提交了标准工作组讨论稿，经中国电机工程学会智能感知专业委员会评审后，标准起草工作组根据评审专家意见修改完善了标准工作组讨论稿，并于2024年10月提交至中国电机工程学会智能感知专业委员会归口。</w:t>
      </w:r>
    </w:p>
    <w:p w14:paraId="657BCDBD">
      <w:pPr>
        <w:pStyle w:val="21"/>
      </w:pPr>
      <w:r>
        <w:rPr>
          <w:rFonts w:hint="eastAsia"/>
        </w:rPr>
        <w:t>2024年11月，标准立项评审会成功召开，与会专家一致同意标准在中国电机工程学会智能感知专业委员会立项，并于当月发布标准立项通知。</w:t>
      </w:r>
    </w:p>
    <w:p w14:paraId="657BCDBE">
      <w:pPr>
        <w:pStyle w:val="21"/>
      </w:pPr>
      <w:r>
        <w:rPr>
          <w:rFonts w:hint="eastAsia"/>
        </w:rPr>
        <w:t>2024年12月，标准起草单位根据标准立项评审意见，迅速开展并完成了标准征</w:t>
      </w:r>
      <w:r>
        <w:rPr>
          <w:rFonts w:hint="eastAsia"/>
          <w:lang w:val="en-US" w:eastAsia="zh-CN"/>
        </w:rPr>
        <w:t>求</w:t>
      </w:r>
      <w:r>
        <w:rPr>
          <w:rFonts w:hint="eastAsia"/>
        </w:rPr>
        <w:t>意见稿的编制工作。</w:t>
      </w:r>
    </w:p>
    <w:p w14:paraId="657BCDBF">
      <w:pPr>
        <w:pStyle w:val="21"/>
      </w:pPr>
      <w:r>
        <w:rPr>
          <w:rFonts w:hint="eastAsia"/>
        </w:rPr>
        <w:t>征求意见阶段：2025年4月，通过以下方式进行了广泛征求意见：</w:t>
      </w:r>
    </w:p>
    <w:p w14:paraId="657BCDC0">
      <w:pPr>
        <w:pStyle w:val="21"/>
      </w:pPr>
      <w:r>
        <w:rPr>
          <w:rFonts w:hint="eastAsia"/>
        </w:rPr>
        <w:t>将标准征求意见稿上传至全国团体标准信息平台，向行业单位征求意见。</w:t>
      </w:r>
    </w:p>
    <w:p w14:paraId="657BCDC1">
      <w:pPr>
        <w:pStyle w:val="21"/>
      </w:pPr>
      <w:r>
        <w:rPr>
          <w:rFonts w:hint="eastAsia"/>
        </w:rPr>
        <w:t>将标准征求意见稿向起草各单位或专家发出征求意见。</w:t>
      </w:r>
    </w:p>
    <w:p w14:paraId="657BCDC2">
      <w:pPr>
        <w:pStyle w:val="32"/>
        <w:spacing w:before="312" w:after="312"/>
      </w:pPr>
      <w:bookmarkStart w:id="35" w:name="_Toc11437"/>
      <w:r>
        <w:rPr>
          <w:rFonts w:hint="eastAsia" w:ascii="宋体" w:hAnsi="宋体"/>
          <w:szCs w:val="21"/>
        </w:rPr>
        <w:t>4</w:t>
      </w:r>
      <w:r>
        <w:rPr>
          <w:rFonts w:hint="eastAsia"/>
        </w:rPr>
        <w:t xml:space="preserve"> 标准结构和内容说明</w:t>
      </w:r>
      <w:bookmarkEnd w:id="35"/>
    </w:p>
    <w:p w14:paraId="657BCDC3">
      <w:pPr>
        <w:pStyle w:val="21"/>
      </w:pPr>
      <w:r>
        <w:rPr>
          <w:rFonts w:hint="eastAsia"/>
        </w:rPr>
        <w:t>本标准规定了用于变电站与换流站非侵入式高电压传感器检测的总体要求</w:t>
      </w:r>
      <w:r>
        <w:rPr>
          <w:rFonts w:hint="eastAsia"/>
          <w:lang w:eastAsia="zh-CN"/>
        </w:rPr>
        <w:t>，</w:t>
      </w:r>
      <w:r>
        <w:rPr>
          <w:rFonts w:hint="eastAsia"/>
          <w:lang w:val="en-US" w:eastAsia="zh-CN"/>
        </w:rPr>
        <w:t>描述了对应的</w:t>
      </w:r>
      <w:r>
        <w:rPr>
          <w:rFonts w:hint="eastAsia"/>
        </w:rPr>
        <w:t>试验方法及</w:t>
      </w:r>
      <w:r>
        <w:rPr>
          <w:rFonts w:hint="eastAsia"/>
          <w:lang w:val="en-US" w:eastAsia="zh-CN"/>
        </w:rPr>
        <w:t>要求</w:t>
      </w:r>
      <w:r>
        <w:rPr>
          <w:rFonts w:hint="eastAsia"/>
        </w:rPr>
        <w:t xml:space="preserve">等，适用于110kV及以上电压等级变电站、换流站电压测量场景的非侵入式电压传感器型式试验、出厂检验、验收检验，其他电压等级或电力设备的非侵入式电压传感器可参照执行。 </w:t>
      </w:r>
    </w:p>
    <w:p w14:paraId="657BCDC4">
      <w:pPr>
        <w:pStyle w:val="21"/>
      </w:pPr>
      <w:r>
        <w:rPr>
          <w:rFonts w:hint="eastAsia"/>
        </w:rPr>
        <w:t>（1）术语和定义</w:t>
      </w:r>
    </w:p>
    <w:p w14:paraId="657BCDC5">
      <w:pPr>
        <w:pStyle w:val="21"/>
      </w:pPr>
      <w:r>
        <w:rPr>
          <w:rFonts w:hint="eastAsia"/>
        </w:rPr>
        <w:t xml:space="preserve">该章的编制主要参考国标GB/T </w:t>
      </w:r>
      <w:r>
        <w:rPr>
          <w:rFonts w:hint="eastAsia"/>
          <w:lang w:val="en-US" w:eastAsia="zh-CN"/>
        </w:rPr>
        <w:t>7665</w:t>
      </w:r>
      <w:r>
        <w:rPr>
          <w:rFonts w:hint="eastAsia"/>
        </w:rPr>
        <w:t>—200</w:t>
      </w:r>
      <w:r>
        <w:rPr>
          <w:rFonts w:hint="eastAsia"/>
          <w:lang w:val="en-US" w:eastAsia="zh-CN"/>
        </w:rPr>
        <w:t>5</w:t>
      </w:r>
      <w:r>
        <w:rPr>
          <w:rFonts w:hint="eastAsia"/>
        </w:rPr>
        <w:t xml:space="preserve">、GB/T </w:t>
      </w:r>
      <w:r>
        <w:rPr>
          <w:rFonts w:hint="eastAsia"/>
          <w:lang w:val="en-US" w:eastAsia="zh-CN"/>
        </w:rPr>
        <w:t>18459</w:t>
      </w:r>
      <w:r>
        <w:rPr>
          <w:rFonts w:hint="eastAsia"/>
        </w:rPr>
        <w:t>—20</w:t>
      </w:r>
      <w:r>
        <w:rPr>
          <w:rFonts w:hint="eastAsia"/>
          <w:lang w:val="en-US" w:eastAsia="zh-CN"/>
        </w:rPr>
        <w:t>01、</w:t>
      </w:r>
      <w:r>
        <w:rPr>
          <w:rFonts w:hint="eastAsia" w:ascii="宋体" w:hAnsi="宋体" w:eastAsia="宋体" w:cs="Times New Roman"/>
          <w:szCs w:val="21"/>
        </w:rPr>
        <w:t>GB/T 12572-2008</w:t>
      </w:r>
      <w:r>
        <w:rPr>
          <w:rFonts w:hint="eastAsia"/>
        </w:rPr>
        <w:t>中的术语和定义，并在其基础上，通过检测过程中的验证和理解进行修改和整理。</w:t>
      </w:r>
    </w:p>
    <w:p w14:paraId="657BCDE6">
      <w:pPr>
        <w:pStyle w:val="21"/>
      </w:pPr>
      <w:r>
        <w:rPr>
          <w:rFonts w:hint="eastAsia"/>
        </w:rPr>
        <w:t>（2）总体要求</w:t>
      </w:r>
    </w:p>
    <w:p w14:paraId="657BCDE7">
      <w:pPr>
        <w:pStyle w:val="21"/>
      </w:pPr>
      <w:r>
        <w:t>该章</w:t>
      </w:r>
      <w:r>
        <w:rPr>
          <w:rFonts w:hint="eastAsia"/>
        </w:rPr>
        <w:t>对非侵入式电压传感器的型式试验、出厂检验、验收检验的检验规则、检验项目和试验条件进行了规定</w:t>
      </w:r>
      <w:r>
        <w:t>。</w:t>
      </w:r>
    </w:p>
    <w:p w14:paraId="657BCDE8">
      <w:pPr>
        <w:pStyle w:val="21"/>
        <w:rPr>
          <w:rFonts w:hint="eastAsia" w:eastAsia="宋体"/>
          <w:lang w:eastAsia="zh-CN"/>
        </w:rPr>
      </w:pPr>
      <w:r>
        <w:rPr>
          <w:rFonts w:hint="eastAsia"/>
        </w:rPr>
        <w:t>（3）试验方法及</w:t>
      </w:r>
      <w:r>
        <w:rPr>
          <w:rFonts w:hint="eastAsia"/>
          <w:lang w:val="en-US" w:eastAsia="zh-CN"/>
        </w:rPr>
        <w:t>要求</w:t>
      </w:r>
    </w:p>
    <w:p w14:paraId="657BCDE9">
      <w:pPr>
        <w:pStyle w:val="21"/>
      </w:pPr>
      <w:r>
        <w:t>该章主要分为</w:t>
      </w:r>
      <w:r>
        <w:rPr>
          <w:rFonts w:hint="eastAsia"/>
        </w:rPr>
        <w:t>结构外观检查、功能试验、性能特征试验、电磁兼容试验、环境适应性试验、</w:t>
      </w:r>
      <w:r>
        <w:rPr>
          <w:rFonts w:hint="eastAsia"/>
          <w:lang w:val="en-US" w:eastAsia="zh-CN"/>
        </w:rPr>
        <w:t>可靠性试验、</w:t>
      </w:r>
      <w:r>
        <w:rPr>
          <w:rFonts w:hint="eastAsia"/>
        </w:rPr>
        <w:t>电源性能试验、无线通信性能试验</w:t>
      </w:r>
      <w:r>
        <w:rPr>
          <w:rFonts w:hint="eastAsia"/>
          <w:lang w:val="en-US" w:eastAsia="zh-CN"/>
        </w:rPr>
        <w:t>八</w:t>
      </w:r>
      <w:r>
        <w:rPr>
          <w:rFonts w:hint="eastAsia"/>
        </w:rPr>
        <w:t>部</w:t>
      </w:r>
      <w:r>
        <w:t>分。主要参照以下标准制定。</w:t>
      </w:r>
    </w:p>
    <w:p w14:paraId="7733F5E9">
      <w:pPr>
        <w:pStyle w:val="21"/>
        <w:rPr>
          <w:rFonts w:hint="eastAsia" w:ascii="宋体" w:hAnsi="宋体" w:eastAsia="宋体" w:cs="宋体"/>
        </w:rPr>
      </w:pPr>
      <w:r>
        <w:rPr>
          <w:rFonts w:hint="eastAsia" w:ascii="宋体" w:hAnsi="宋体" w:eastAsia="宋体" w:cs="宋体"/>
        </w:rPr>
        <w:t>GB/T 2423.1—2008  电工电子产品环境试验 第2部分:试验方法 试验A：低温</w:t>
      </w:r>
    </w:p>
    <w:p w14:paraId="4E693028">
      <w:pPr>
        <w:pStyle w:val="21"/>
        <w:rPr>
          <w:rFonts w:hint="eastAsia" w:ascii="宋体" w:hAnsi="宋体" w:eastAsia="宋体" w:cs="宋体"/>
        </w:rPr>
      </w:pPr>
      <w:bookmarkStart w:id="36" w:name="OLE_LINK4"/>
      <w:r>
        <w:rPr>
          <w:rFonts w:hint="eastAsia" w:ascii="宋体" w:hAnsi="宋体" w:eastAsia="宋体" w:cs="宋体"/>
        </w:rPr>
        <w:t>GB/T 2423.2—2008  电工电子产品环境试验 第2部分:试验方法 试验B：高温</w:t>
      </w:r>
    </w:p>
    <w:p w14:paraId="737DD781">
      <w:pPr>
        <w:pStyle w:val="21"/>
        <w:rPr>
          <w:rFonts w:hint="eastAsia" w:ascii="宋体" w:hAnsi="宋体" w:eastAsia="宋体" w:cs="宋体"/>
        </w:rPr>
      </w:pPr>
      <w:r>
        <w:rPr>
          <w:rFonts w:hint="eastAsia" w:ascii="宋体" w:hAnsi="宋体" w:eastAsia="宋体" w:cs="宋体"/>
        </w:rPr>
        <w:t>GB/T 4208—2017  外壳防护等级(IP代码)</w:t>
      </w:r>
    </w:p>
    <w:bookmarkEnd w:id="36"/>
    <w:p w14:paraId="50D33E42">
      <w:pPr>
        <w:pStyle w:val="21"/>
        <w:rPr>
          <w:rFonts w:hint="eastAsia" w:ascii="宋体" w:hAnsi="宋体" w:eastAsia="宋体" w:cs="宋体"/>
        </w:rPr>
      </w:pPr>
      <w:r>
        <w:rPr>
          <w:rFonts w:hint="eastAsia" w:ascii="宋体" w:hAnsi="宋体" w:eastAsia="宋体" w:cs="宋体"/>
        </w:rPr>
        <w:t>GB/T 7665—2005  传感器通用术语</w:t>
      </w:r>
    </w:p>
    <w:p w14:paraId="4110C72B">
      <w:pPr>
        <w:pStyle w:val="21"/>
        <w:rPr>
          <w:rFonts w:hint="eastAsia" w:ascii="宋体" w:hAnsi="宋体" w:eastAsia="宋体" w:cs="宋体"/>
        </w:rPr>
      </w:pPr>
      <w:r>
        <w:rPr>
          <w:rFonts w:hint="eastAsia" w:ascii="宋体" w:hAnsi="宋体" w:eastAsia="宋体" w:cs="宋体"/>
        </w:rPr>
        <w:t>GB/T 12572—2008  无线电发射设备参数通用要求和测量方法</w:t>
      </w:r>
    </w:p>
    <w:p w14:paraId="357064CD">
      <w:pPr>
        <w:pStyle w:val="21"/>
        <w:rPr>
          <w:rFonts w:hint="eastAsia" w:ascii="宋体" w:hAnsi="宋体" w:eastAsia="宋体" w:cs="宋体"/>
        </w:rPr>
      </w:pPr>
      <w:r>
        <w:rPr>
          <w:rFonts w:hint="eastAsia" w:ascii="宋体" w:hAnsi="宋体" w:eastAsia="宋体" w:cs="宋体"/>
        </w:rPr>
        <w:t>GB/T 16821—2007  通信用电源设备通用试验方法</w:t>
      </w:r>
    </w:p>
    <w:p w14:paraId="3E5E75EB">
      <w:pPr>
        <w:pStyle w:val="21"/>
        <w:rPr>
          <w:rFonts w:hint="eastAsia" w:ascii="宋体" w:hAnsi="宋体" w:eastAsia="宋体" w:cs="宋体"/>
        </w:rPr>
      </w:pPr>
      <w:r>
        <w:rPr>
          <w:rFonts w:hint="eastAsia" w:ascii="宋体" w:hAnsi="宋体" w:eastAsia="宋体" w:cs="宋体"/>
        </w:rPr>
        <w:t>GB/T 17626.8-2006  电磁兼容 试验和测量技术 工频磁场抗扰度试验</w:t>
      </w:r>
    </w:p>
    <w:p w14:paraId="7E7117B9">
      <w:pPr>
        <w:pStyle w:val="21"/>
        <w:rPr>
          <w:rFonts w:hint="eastAsia" w:ascii="宋体" w:hAnsi="宋体" w:eastAsia="宋体" w:cs="宋体"/>
        </w:rPr>
      </w:pPr>
      <w:r>
        <w:rPr>
          <w:rFonts w:hint="eastAsia" w:ascii="宋体" w:hAnsi="宋体" w:eastAsia="宋体" w:cs="宋体"/>
        </w:rPr>
        <w:t>GB/T 17626.9-2011  电磁兼容 试验和测量技术 脉冲磁场抗扰度试验</w:t>
      </w:r>
    </w:p>
    <w:p w14:paraId="5F6D7C55">
      <w:pPr>
        <w:pStyle w:val="21"/>
        <w:rPr>
          <w:rFonts w:hint="eastAsia" w:ascii="宋体" w:hAnsi="宋体" w:eastAsia="宋体" w:cs="宋体"/>
        </w:rPr>
      </w:pPr>
      <w:r>
        <w:rPr>
          <w:rFonts w:hint="eastAsia" w:ascii="宋体" w:hAnsi="宋体" w:eastAsia="宋体" w:cs="宋体"/>
        </w:rPr>
        <w:t>GB/T 18459-2001  传感器主要静态性能指标计算方法</w:t>
      </w:r>
    </w:p>
    <w:p w14:paraId="46F0999D">
      <w:pPr>
        <w:pStyle w:val="21"/>
        <w:rPr>
          <w:rFonts w:hint="eastAsia" w:ascii="宋体" w:hAnsi="宋体" w:eastAsia="宋体" w:cs="宋体"/>
        </w:rPr>
      </w:pPr>
      <w:r>
        <w:rPr>
          <w:rFonts w:hint="eastAsia" w:ascii="宋体" w:hAnsi="宋体" w:eastAsia="宋体" w:cs="宋体"/>
        </w:rPr>
        <w:t>GB/T 20840.7—2007  互感器 第7部分：电子式电压互感器</w:t>
      </w:r>
    </w:p>
    <w:p w14:paraId="67E5B80B">
      <w:pPr>
        <w:pStyle w:val="21"/>
        <w:rPr>
          <w:rFonts w:hint="eastAsia" w:ascii="宋体" w:hAnsi="宋体" w:eastAsia="宋体" w:cs="宋体"/>
        </w:rPr>
      </w:pPr>
      <w:r>
        <w:rPr>
          <w:rFonts w:hint="eastAsia" w:ascii="宋体" w:hAnsi="宋体" w:eastAsia="宋体" w:cs="宋体"/>
        </w:rPr>
        <w:t xml:space="preserve">GB/T 26217—2019 高压直流输电系统直流电压测量装置 </w:t>
      </w:r>
    </w:p>
    <w:p w14:paraId="00B180CE">
      <w:pPr>
        <w:pStyle w:val="21"/>
        <w:rPr>
          <w:rFonts w:hint="eastAsia" w:ascii="宋体" w:hAnsi="宋体" w:eastAsia="宋体" w:cs="宋体"/>
        </w:rPr>
      </w:pPr>
      <w:r>
        <w:rPr>
          <w:rFonts w:hint="eastAsia" w:ascii="宋体" w:hAnsi="宋体" w:eastAsia="宋体" w:cs="宋体"/>
        </w:rPr>
        <w:t xml:space="preserve">YD/T 1484.1—2016  无线终端空间射频辐射功率和接收机性能测量方法 第1部分：通用要求 </w:t>
      </w:r>
    </w:p>
    <w:p w14:paraId="69902A27">
      <w:pPr>
        <w:pStyle w:val="21"/>
        <w:rPr>
          <w:rFonts w:hint="eastAsia" w:ascii="宋体" w:hAnsi="宋体" w:eastAsia="宋体" w:cs="宋体"/>
        </w:rPr>
      </w:pPr>
      <w:r>
        <w:rPr>
          <w:rFonts w:hint="eastAsia" w:ascii="宋体" w:hAnsi="宋体" w:eastAsia="宋体" w:cs="宋体"/>
        </w:rPr>
        <w:t xml:space="preserve">YD/T 3330—2018  支持通信应用的北斗授时设备测试方法 </w:t>
      </w:r>
    </w:p>
    <w:p w14:paraId="66E8BDC8">
      <w:pPr>
        <w:pStyle w:val="21"/>
        <w:rPr>
          <w:rFonts w:ascii="Times New Roman"/>
        </w:rPr>
      </w:pPr>
      <w:r>
        <w:rPr>
          <w:rFonts w:hint="eastAsia" w:ascii="宋体" w:hAnsi="宋体" w:eastAsia="宋体" w:cs="宋体"/>
        </w:rPr>
        <w:t>SJ 20927—2005  光纤电压传</w:t>
      </w:r>
      <w:r>
        <w:rPr>
          <w:rFonts w:ascii="Times New Roman"/>
        </w:rPr>
        <w:t>感器</w:t>
      </w:r>
      <w:r>
        <w:rPr>
          <w:rFonts w:hint="eastAsia" w:ascii="Times New Roman"/>
        </w:rPr>
        <w:t>通用</w:t>
      </w:r>
      <w:r>
        <w:rPr>
          <w:rFonts w:ascii="Times New Roman"/>
        </w:rPr>
        <w:t>规范</w:t>
      </w:r>
    </w:p>
    <w:p w14:paraId="727A9E05">
      <w:pPr>
        <w:pStyle w:val="21"/>
        <w:rPr>
          <w:rFonts w:ascii="Times New Roman"/>
        </w:rPr>
      </w:pPr>
    </w:p>
    <w:p w14:paraId="657BCDFC">
      <w:pPr>
        <w:pStyle w:val="32"/>
        <w:spacing w:before="312" w:after="312"/>
      </w:pPr>
      <w:bookmarkStart w:id="37" w:name="_Toc31152"/>
      <w:r>
        <w:rPr>
          <w:rFonts w:hint="eastAsia" w:ascii="宋体" w:hAnsi="宋体"/>
          <w:szCs w:val="21"/>
        </w:rPr>
        <w:t>5 相关</w:t>
      </w:r>
      <w:r>
        <w:rPr>
          <w:rFonts w:hint="eastAsia"/>
        </w:rPr>
        <w:t>标准对比说明</w:t>
      </w:r>
      <w:bookmarkEnd w:id="37"/>
    </w:p>
    <w:p w14:paraId="657BCDFD">
      <w:pPr>
        <w:pStyle w:val="21"/>
      </w:pPr>
      <w:r>
        <w:rPr>
          <w:rFonts w:hint="eastAsia"/>
        </w:rPr>
        <w:t>在非侵入式电压传感器检测领域现有的标准主要以传统采用电压互感器方式进行电压感知为主，主要针对传统电压传感技术制定，基本没有涉及非侵入电压传感技术，且侧重于选用导则和计量规范，对传感器</w:t>
      </w:r>
      <w:r>
        <w:rPr>
          <w:rFonts w:hint="eastAsia"/>
          <w:lang w:val="en-US" w:eastAsia="zh-CN"/>
        </w:rPr>
        <w:t>结构、性能、</w:t>
      </w:r>
      <w:r>
        <w:rPr>
          <w:rFonts w:hint="eastAsia"/>
        </w:rPr>
        <w:t>取能、通信</w:t>
      </w:r>
      <w:r>
        <w:rPr>
          <w:rFonts w:hint="eastAsia"/>
          <w:lang w:val="en-US" w:eastAsia="zh-CN"/>
        </w:rPr>
        <w:t>和</w:t>
      </w:r>
      <w:r>
        <w:rPr>
          <w:rFonts w:hint="eastAsia"/>
        </w:rPr>
        <w:t>功耗等可靠性指标缺乏</w:t>
      </w:r>
      <w:r>
        <w:rPr>
          <w:rFonts w:hint="eastAsia"/>
          <w:lang w:val="en-US" w:eastAsia="zh-CN"/>
        </w:rPr>
        <w:t>试验检测</w:t>
      </w:r>
      <w:r>
        <w:rPr>
          <w:rFonts w:hint="eastAsia"/>
        </w:rPr>
        <w:t>规范。国外尚未有输变电非侵入式电压传感器检测相关标准发布。</w:t>
      </w:r>
    </w:p>
    <w:p w14:paraId="657BCDFE">
      <w:pPr>
        <w:pStyle w:val="32"/>
        <w:spacing w:before="312" w:after="312"/>
        <w:rPr>
          <w:rFonts w:hint="eastAsia" w:ascii="宋体" w:hAnsi="宋体"/>
          <w:szCs w:val="21"/>
        </w:rPr>
      </w:pPr>
      <w:bookmarkStart w:id="38" w:name="_Toc30812"/>
      <w:r>
        <w:rPr>
          <w:rFonts w:hint="eastAsia" w:ascii="宋体" w:hAnsi="宋体"/>
          <w:szCs w:val="21"/>
        </w:rPr>
        <w:t>6标准实施措施说明</w:t>
      </w:r>
      <w:bookmarkEnd w:id="38"/>
    </w:p>
    <w:p w14:paraId="657BCDFF">
      <w:pPr>
        <w:pStyle w:val="21"/>
      </w:pPr>
      <w:r>
        <w:rPr>
          <w:rFonts w:hint="eastAsia"/>
        </w:rPr>
        <w:t>建议作为推荐性团体标准，并加强标准的宣传实施，以变电站与换流站非侵入式高电压传感器检测建立统一的技术要求与规范的检测方法，实现检测方法互认，提升检测结果对传感器现场应用性能的表征程度，引导传感器产业生态健康发展。</w:t>
      </w:r>
    </w:p>
    <w:sectPr>
      <w:headerReference r:id="rId8" w:type="default"/>
      <w:footerReference r:id="rId9"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CE02">
    <w:pPr>
      <w:pStyle w:val="38"/>
      <w:jc w:val="center"/>
    </w:pPr>
    <w:r>
      <w:rPr>
        <w:kern w:val="2"/>
      </w:rPr>
      <w:fldChar w:fldCharType="begin"/>
    </w:r>
    <w:r>
      <w:rPr>
        <w:rStyle w:val="13"/>
      </w:rPr>
      <w:instrText xml:space="preserve"> PAGE </w:instrText>
    </w:r>
    <w:r>
      <w:rPr>
        <w:kern w:val="2"/>
      </w:rPr>
      <w:fldChar w:fldCharType="separate"/>
    </w:r>
    <w:r>
      <w:rPr>
        <w:rStyle w:val="13"/>
      </w:rPr>
      <w:t>26</w:t>
    </w:r>
    <w:r>
      <w:rPr>
        <w:kern w:val="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CE04">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57BCE0B">
                          <w:pPr>
                            <w:pStyle w:val="5"/>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ulhTQAAAAAwEAAA8AAAAAAAAAAQAgAAAAIgAAAGRycy9k&#10;b3ducmV2LnhtbFBLAQIUABQAAAAIAIdO4kAtlo8yCgIAAAIEAAAOAAAAAAAAAAEAIAAAAB8BAABk&#10;cnMvZTJvRG9jLnhtbFBLBQYAAAAABgAGAFkBAACbBQAAAAA=&#10;">
              <v:fill on="f" focussize="0,0"/>
              <v:stroke on="f"/>
              <v:imagedata o:title=""/>
              <o:lock v:ext="edit" aspectratio="f"/>
              <v:textbox inset="0mm,0mm,0mm,0mm" style="mso-fit-shape-to-text:t;">
                <w:txbxContent>
                  <w:p w14:paraId="657BCE0B">
                    <w:pPr>
                      <w:pStyle w:val="5"/>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CE06">
    <w:pPr>
      <w:pStyle w:val="38"/>
      <w:ind w:right="360" w:firstLine="360"/>
      <w:rPr>
        <w:rStyle w:val="1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657BCE0C">
                          <w:pPr>
                            <w:pStyle w:val="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LyKrAAEAgAABQQAAA4AAAAAAAAAAQAgAAAAHgEAAGRycy9lMm9E&#10;b2MueG1sUEsFBgAAAAAGAAYAWQEAAJQFAAAAAA==&#10;">
              <v:fill on="f" focussize="0,0"/>
              <v:stroke on="f"/>
              <v:imagedata o:title=""/>
              <o:lock v:ext="edit" aspectratio="f"/>
              <v:textbox inset="0mm,0mm,0mm,0mm" style="mso-fit-shape-to-text:t;">
                <w:txbxContent>
                  <w:p w14:paraId="657BCE0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CE01">
    <w:pPr>
      <w:pStyle w:val="22"/>
      <w:wordWrap w:val="0"/>
    </w:pPr>
    <w:r>
      <w:rPr>
        <w:rFonts w:hint="eastAsia"/>
      </w:rPr>
      <w:t>T</w:t>
    </w:r>
    <w:r>
      <w:t>/</w:t>
    </w:r>
    <w:r>
      <w:rPr>
        <w:rFonts w:hint="eastAsia"/>
      </w:rPr>
      <w:t>CSEE</w:t>
    </w:r>
    <w:r>
      <w:rPr>
        <w:rFonts w:hint="eastAsia" w:hAnsi="黑体"/>
      </w:rPr>
      <w:t xml:space="preserve"> XXXX-YYYY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CE00">
    <w:pPr>
      <w:pStyle w:val="22"/>
      <w:spacing w:before="120" w:after="120"/>
      <w:jc w:val="both"/>
    </w:pPr>
    <w:r>
      <w:t>Q/</w:t>
    </w:r>
    <w:r>
      <w:rPr>
        <w:rFonts w:hint="eastAsia"/>
      </w:rPr>
      <w:t>GDW</w:t>
    </w:r>
    <w:r>
      <w:rPr>
        <w:rFonts w:hint="eastAsia" w:hAnsi="宋体"/>
      </w:rPr>
      <w:t xml:space="preserve"> </w:t>
    </w:r>
    <w:r>
      <w:rPr>
        <w:rFonts w:hint="eastAsia" w:hAnsi="黑体"/>
      </w:rPr>
      <w:t>XX-XXX</w:t>
    </w:r>
    <w:r>
      <w:rPr>
        <w:rFonts w:hAnsi="黑体"/>
      </w:rPr>
      <w:t>—</w:t>
    </w:r>
    <w:r>
      <w:rPr>
        <w:rFonts w:hint="eastAsia" w:hAnsi="黑体"/>
      </w:rPr>
      <w:t>2012-1XXXX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CE03">
    <w:pPr>
      <w:pStyle w:val="22"/>
      <w:wordWrap w:val="0"/>
      <w:spacing w:before="120"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CE05">
    <w:pPr>
      <w:pStyle w:val="22"/>
    </w:pPr>
    <w:r>
      <w:t>T/CSEE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3"/>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20"/>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45"/>
      <w:suff w:val="nothing"/>
      <w:lvlText w:val="%1.%2.%3　"/>
      <w:lvlJc w:val="left"/>
      <w:pPr>
        <w:ind w:left="568" w:firstLine="0"/>
      </w:pPr>
      <w:rPr>
        <w:rFonts w:hint="eastAsia" w:ascii="黑体" w:hAnsi="Times New Roman" w:eastAsia="黑体"/>
        <w:b w:val="0"/>
        <w:i w:val="0"/>
        <w:sz w:val="21"/>
      </w:rPr>
    </w:lvl>
    <w:lvl w:ilvl="3" w:tentative="0">
      <w:start w:val="1"/>
      <w:numFmt w:val="decimal"/>
      <w:pStyle w:val="46"/>
      <w:suff w:val="nothing"/>
      <w:lvlText w:val="%1.%2.%3.%4　"/>
      <w:lvlJc w:val="left"/>
      <w:pPr>
        <w:ind w:left="0" w:firstLine="0"/>
      </w:pPr>
      <w:rPr>
        <w:rFonts w:hint="eastAsia" w:ascii="黑体" w:hAnsi="Times New Roman" w:eastAsia="黑体"/>
        <w:b w:val="0"/>
        <w:i w:val="0"/>
        <w:sz w:val="21"/>
      </w:rPr>
    </w:lvl>
    <w:lvl w:ilvl="4" w:tentative="0">
      <w:start w:val="1"/>
      <w:numFmt w:val="decimal"/>
      <w:pStyle w:val="47"/>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520F62E9"/>
    <w:multiLevelType w:val="multilevel"/>
    <w:tmpl w:val="520F62E9"/>
    <w:lvl w:ilvl="0" w:tentative="0">
      <w:start w:val="1"/>
      <w:numFmt w:val="decimal"/>
      <w:pStyle w:val="48"/>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3AF7EBF"/>
    <w:multiLevelType w:val="multilevel"/>
    <w:tmpl w:val="63AF7EBF"/>
    <w:lvl w:ilvl="0" w:tentative="0">
      <w:start w:val="1"/>
      <w:numFmt w:val="decimal"/>
      <w:pStyle w:val="49"/>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657D3FBC"/>
    <w:multiLevelType w:val="multilevel"/>
    <w:tmpl w:val="657D3FBC"/>
    <w:lvl w:ilvl="0" w:tentative="0">
      <w:start w:val="1"/>
      <w:numFmt w:val="upperLetter"/>
      <w:pStyle w:val="2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3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1YzdmZGMyNDVjMzk3YjM0OWU2ZGI1MmNhYWFjNWEifQ=="/>
  </w:docVars>
  <w:rsids>
    <w:rsidRoot w:val="00B04C11"/>
    <w:rsid w:val="00020A71"/>
    <w:rsid w:val="0006370C"/>
    <w:rsid w:val="00064333"/>
    <w:rsid w:val="000B03B9"/>
    <w:rsid w:val="000B47FF"/>
    <w:rsid w:val="000B67BD"/>
    <w:rsid w:val="000C28F3"/>
    <w:rsid w:val="000F3B02"/>
    <w:rsid w:val="00121587"/>
    <w:rsid w:val="00172E6B"/>
    <w:rsid w:val="00186707"/>
    <w:rsid w:val="001B6929"/>
    <w:rsid w:val="001C42C6"/>
    <w:rsid w:val="001D710A"/>
    <w:rsid w:val="001E4A8C"/>
    <w:rsid w:val="00232DD7"/>
    <w:rsid w:val="0023314E"/>
    <w:rsid w:val="00233DE9"/>
    <w:rsid w:val="002371ED"/>
    <w:rsid w:val="002739AF"/>
    <w:rsid w:val="00287BC6"/>
    <w:rsid w:val="002A44C3"/>
    <w:rsid w:val="002B0A11"/>
    <w:rsid w:val="002B1D17"/>
    <w:rsid w:val="002D6D29"/>
    <w:rsid w:val="002F600A"/>
    <w:rsid w:val="0031601D"/>
    <w:rsid w:val="00343D40"/>
    <w:rsid w:val="00367547"/>
    <w:rsid w:val="003736F4"/>
    <w:rsid w:val="003E0A03"/>
    <w:rsid w:val="003E2B51"/>
    <w:rsid w:val="00405A62"/>
    <w:rsid w:val="00444CAF"/>
    <w:rsid w:val="0044563B"/>
    <w:rsid w:val="00453A3D"/>
    <w:rsid w:val="004771C4"/>
    <w:rsid w:val="00490C5A"/>
    <w:rsid w:val="004B4396"/>
    <w:rsid w:val="004D4A62"/>
    <w:rsid w:val="005540F4"/>
    <w:rsid w:val="00597581"/>
    <w:rsid w:val="005B6FF2"/>
    <w:rsid w:val="005D72DB"/>
    <w:rsid w:val="005F410C"/>
    <w:rsid w:val="006267E6"/>
    <w:rsid w:val="00637074"/>
    <w:rsid w:val="00690742"/>
    <w:rsid w:val="006A0105"/>
    <w:rsid w:val="006D3D43"/>
    <w:rsid w:val="006F2FCD"/>
    <w:rsid w:val="006F74AE"/>
    <w:rsid w:val="006F7CB8"/>
    <w:rsid w:val="00712837"/>
    <w:rsid w:val="007876EE"/>
    <w:rsid w:val="007A3E8C"/>
    <w:rsid w:val="008413C2"/>
    <w:rsid w:val="008559F3"/>
    <w:rsid w:val="008706A2"/>
    <w:rsid w:val="008C7922"/>
    <w:rsid w:val="008D3835"/>
    <w:rsid w:val="00905399"/>
    <w:rsid w:val="00960E7F"/>
    <w:rsid w:val="00970BDD"/>
    <w:rsid w:val="009D43B7"/>
    <w:rsid w:val="009F4BFB"/>
    <w:rsid w:val="00A00871"/>
    <w:rsid w:val="00A170AC"/>
    <w:rsid w:val="00A36F15"/>
    <w:rsid w:val="00A4128A"/>
    <w:rsid w:val="00A91918"/>
    <w:rsid w:val="00AA0557"/>
    <w:rsid w:val="00AA7553"/>
    <w:rsid w:val="00AB1056"/>
    <w:rsid w:val="00AC1C6F"/>
    <w:rsid w:val="00AD3266"/>
    <w:rsid w:val="00B04C11"/>
    <w:rsid w:val="00B0559E"/>
    <w:rsid w:val="00B1246A"/>
    <w:rsid w:val="00B161D9"/>
    <w:rsid w:val="00B51477"/>
    <w:rsid w:val="00B527CC"/>
    <w:rsid w:val="00BB5BDC"/>
    <w:rsid w:val="00BD71EF"/>
    <w:rsid w:val="00C25621"/>
    <w:rsid w:val="00C35D26"/>
    <w:rsid w:val="00CC64B4"/>
    <w:rsid w:val="00CD218F"/>
    <w:rsid w:val="00CF770F"/>
    <w:rsid w:val="00D175F5"/>
    <w:rsid w:val="00D4553B"/>
    <w:rsid w:val="00D603D8"/>
    <w:rsid w:val="00D64521"/>
    <w:rsid w:val="00D900CE"/>
    <w:rsid w:val="00DE1C4B"/>
    <w:rsid w:val="00E35FFE"/>
    <w:rsid w:val="00EB50A1"/>
    <w:rsid w:val="00EE65CF"/>
    <w:rsid w:val="00F57723"/>
    <w:rsid w:val="00F9702B"/>
    <w:rsid w:val="00FC343E"/>
    <w:rsid w:val="025C1016"/>
    <w:rsid w:val="03D86739"/>
    <w:rsid w:val="07AD5B25"/>
    <w:rsid w:val="097035F9"/>
    <w:rsid w:val="0B2B4CE0"/>
    <w:rsid w:val="0E611BB8"/>
    <w:rsid w:val="1B3102D0"/>
    <w:rsid w:val="20E93F65"/>
    <w:rsid w:val="2399489C"/>
    <w:rsid w:val="2B4538BF"/>
    <w:rsid w:val="2DAF6D80"/>
    <w:rsid w:val="2E7C2DA0"/>
    <w:rsid w:val="313540FB"/>
    <w:rsid w:val="31AC7601"/>
    <w:rsid w:val="361433DA"/>
    <w:rsid w:val="3B7178DA"/>
    <w:rsid w:val="3B926F4C"/>
    <w:rsid w:val="4B016A6B"/>
    <w:rsid w:val="55AE2AAB"/>
    <w:rsid w:val="67CE0D8B"/>
    <w:rsid w:val="6CE36BED"/>
    <w:rsid w:val="742E508B"/>
    <w:rsid w:val="783F4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50"/>
    <w:semiHidden/>
    <w:unhideWhenUsed/>
    <w:qFormat/>
    <w:uiPriority w:val="99"/>
    <w:pPr>
      <w:jc w:val="left"/>
    </w:pPr>
  </w:style>
  <w:style w:type="paragraph" w:styleId="4">
    <w:name w:val="toc 3"/>
    <w:basedOn w:val="1"/>
    <w:next w:val="1"/>
    <w:qFormat/>
    <w:uiPriority w:val="39"/>
    <w:pPr>
      <w:tabs>
        <w:tab w:val="right" w:leader="dot" w:pos="9241"/>
      </w:tabs>
      <w:ind w:firstLine="102" w:firstLineChars="100"/>
      <w:jc w:val="left"/>
    </w:pPr>
    <w:rPr>
      <w:rFonts w:ascii="宋体"/>
      <w:szCs w:val="21"/>
    </w:rPr>
  </w:style>
  <w:style w:type="paragraph" w:styleId="5">
    <w:name w:val="footer"/>
    <w:basedOn w:val="1"/>
    <w:link w:val="16"/>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6">
    <w:name w:val="header"/>
    <w:basedOn w:val="1"/>
    <w:qFormat/>
    <w:uiPriority w:val="0"/>
    <w:pPr>
      <w:snapToGrid w:val="0"/>
      <w:jc w:val="left"/>
    </w:pPr>
    <w:rPr>
      <w:sz w:val="18"/>
      <w:szCs w:val="18"/>
    </w:rPr>
  </w:style>
  <w:style w:type="paragraph" w:styleId="7">
    <w:name w:val="toc 1"/>
    <w:basedOn w:val="1"/>
    <w:next w:val="1"/>
    <w:qFormat/>
    <w:uiPriority w:val="39"/>
    <w:pPr>
      <w:tabs>
        <w:tab w:val="right" w:leader="dot" w:pos="9241"/>
      </w:tabs>
      <w:spacing w:before="25" w:beforeLines="25" w:after="25" w:afterLines="25"/>
      <w:jc w:val="left"/>
    </w:pPr>
    <w:rPr>
      <w:rFonts w:ascii="宋体" w:hAnsi="Times New Roman" w:eastAsia="宋体" w:cs="Times New Roman"/>
      <w:szCs w:val="21"/>
    </w:rPr>
  </w:style>
  <w:style w:type="paragraph" w:styleId="8">
    <w:name w:val="toc 2"/>
    <w:basedOn w:val="1"/>
    <w:next w:val="1"/>
    <w:qFormat/>
    <w:uiPriority w:val="39"/>
    <w:pPr>
      <w:tabs>
        <w:tab w:val="right" w:leader="dot" w:pos="9241"/>
      </w:tabs>
    </w:pPr>
    <w:rPr>
      <w:rFonts w:ascii="宋体"/>
      <w:szCs w:val="21"/>
    </w:rPr>
  </w:style>
  <w:style w:type="paragraph" w:styleId="9">
    <w:name w:val="Title"/>
    <w:basedOn w:val="1"/>
    <w:next w:val="1"/>
    <w:link w:val="17"/>
    <w:qFormat/>
    <w:uiPriority w:val="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qFormat/>
    <w:uiPriority w:val="0"/>
    <w:rPr>
      <w:rFonts w:ascii="Times New Roman" w:hAnsi="Times New Roman" w:eastAsia="宋体"/>
      <w:sz w:val="18"/>
    </w:rPr>
  </w:style>
  <w:style w:type="character" w:styleId="14">
    <w:name w:val="Emphasis"/>
    <w:basedOn w:val="12"/>
    <w:qFormat/>
    <w:uiPriority w:val="20"/>
    <w:rPr>
      <w:i/>
    </w:rPr>
  </w:style>
  <w:style w:type="character" w:styleId="15">
    <w:name w:val="Hyperlink"/>
    <w:qFormat/>
    <w:uiPriority w:val="99"/>
    <w:rPr>
      <w:rFonts w:cs="Times New Roman"/>
      <w:color w:val="0563C1"/>
      <w:u w:val="single"/>
    </w:rPr>
  </w:style>
  <w:style w:type="character" w:customStyle="1" w:styleId="16">
    <w:name w:val="页脚 字符"/>
    <w:basedOn w:val="12"/>
    <w:link w:val="5"/>
    <w:qFormat/>
    <w:uiPriority w:val="99"/>
    <w:rPr>
      <w:rFonts w:ascii="Calibri" w:hAnsi="Calibri" w:eastAsia="宋体" w:cs="Times New Roman"/>
      <w:kern w:val="0"/>
      <w:sz w:val="18"/>
      <w:szCs w:val="18"/>
    </w:rPr>
  </w:style>
  <w:style w:type="character" w:customStyle="1" w:styleId="17">
    <w:name w:val="标题 字符"/>
    <w:basedOn w:val="12"/>
    <w:link w:val="9"/>
    <w:qFormat/>
    <w:uiPriority w:val="0"/>
    <w:rPr>
      <w:rFonts w:ascii="Cambria" w:hAnsi="Cambria" w:eastAsia="宋体" w:cs="Times New Roman"/>
      <w:b/>
      <w:bCs/>
      <w:sz w:val="32"/>
      <w:szCs w:val="32"/>
    </w:rPr>
  </w:style>
  <w:style w:type="paragraph" w:customStyle="1" w:styleId="18">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1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一级条标题"/>
    <w:next w:val="2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3">
    <w:name w:val="章标题"/>
    <w:next w:val="2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4">
    <w:name w:val="标准书眉一"/>
    <w:qFormat/>
    <w:uiPriority w:val="0"/>
    <w:pPr>
      <w:jc w:val="both"/>
    </w:pPr>
    <w:rPr>
      <w:rFonts w:ascii="Times New Roman" w:hAnsi="Times New Roman" w:eastAsia="宋体" w:cs="Times New Roman"/>
      <w:lang w:val="en-US" w:eastAsia="zh-CN" w:bidi="ar-SA"/>
    </w:rPr>
  </w:style>
  <w:style w:type="paragraph" w:customStyle="1" w:styleId="25">
    <w:name w:val="封面标准代替信息"/>
    <w:basedOn w:val="1"/>
    <w:qFormat/>
    <w:uiPriority w:val="0"/>
    <w:pPr>
      <w:kinsoku w:val="0"/>
      <w:overflowPunct w:val="0"/>
      <w:autoSpaceDE w:val="0"/>
      <w:autoSpaceDN w:val="0"/>
      <w:adjustRightInd w:val="0"/>
      <w:spacing w:line="360" w:lineRule="exact"/>
      <w:jc w:val="right"/>
      <w:textAlignment w:val="center"/>
    </w:pPr>
    <w:rPr>
      <w:rFonts w:ascii="黑体" w:hAnsi="黑体" w:eastAsia="黑体" w:cs="Times New Roman"/>
      <w:kern w:val="0"/>
      <w:szCs w:val="20"/>
    </w:rPr>
  </w:style>
  <w:style w:type="paragraph" w:customStyle="1" w:styleId="26">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7">
    <w:name w:val="附录标识"/>
    <w:basedOn w:val="1"/>
    <w:next w:val="1"/>
    <w:qFormat/>
    <w:uiPriority w:val="0"/>
    <w:pPr>
      <w:keepNext/>
      <w:widowControl/>
      <w:numPr>
        <w:ilvl w:val="0"/>
        <w:numId w:val="2"/>
      </w:numPr>
      <w:shd w:val="clear" w:color="FFFFFF" w:fill="FFFFFF"/>
      <w:tabs>
        <w:tab w:val="left" w:pos="6405"/>
      </w:tabs>
      <w:spacing w:before="640" w:after="280"/>
      <w:jc w:val="center"/>
      <w:outlineLvl w:val="0"/>
    </w:pPr>
    <w:rPr>
      <w:rFonts w:ascii="黑体" w:hAnsi="Times New Roman" w:eastAsia="黑体" w:cs="Times New Roman"/>
      <w:kern w:val="0"/>
      <w:szCs w:val="20"/>
    </w:rPr>
  </w:style>
  <w:style w:type="paragraph" w:customStyle="1" w:styleId="28">
    <w:name w:val="标准书眉_偶数页"/>
    <w:basedOn w:val="22"/>
    <w:next w:val="1"/>
    <w:qFormat/>
    <w:uiPriority w:val="0"/>
    <w:pPr>
      <w:jc w:val="left"/>
    </w:pPr>
  </w:style>
  <w:style w:type="paragraph" w:customStyle="1" w:styleId="29">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30">
    <w:name w:val="实施日期"/>
    <w:basedOn w:val="31"/>
    <w:qFormat/>
    <w:uiPriority w:val="0"/>
    <w:pPr>
      <w:jc w:val="right"/>
    </w:pPr>
  </w:style>
  <w:style w:type="paragraph" w:customStyle="1" w:styleId="31">
    <w:name w:val="发布日期"/>
    <w:qFormat/>
    <w:uiPriority w:val="0"/>
    <w:rPr>
      <w:rFonts w:ascii="黑体" w:hAnsi="黑体" w:eastAsia="黑体" w:cs="Times New Roman"/>
      <w:sz w:val="28"/>
      <w:lang w:val="en-US" w:eastAsia="zh-CN" w:bidi="ar-SA"/>
    </w:rPr>
  </w:style>
  <w:style w:type="paragraph" w:customStyle="1" w:styleId="32">
    <w:name w:val="样式 标题 1 + 非加粗"/>
    <w:basedOn w:val="2"/>
    <w:qFormat/>
    <w:uiPriority w:val="0"/>
    <w:pPr>
      <w:spacing w:before="100" w:beforeLines="100" w:after="100" w:afterLines="100" w:line="240" w:lineRule="auto"/>
    </w:pPr>
    <w:rPr>
      <w:rFonts w:ascii="Times New Roman" w:hAnsi="Times New Roman" w:eastAsia="黑体" w:cs="Times New Roman"/>
      <w:b w:val="0"/>
      <w:bCs w:val="0"/>
      <w:sz w:val="21"/>
    </w:rPr>
  </w:style>
  <w:style w:type="paragraph" w:customStyle="1" w:styleId="33">
    <w:name w:val="目次、标准名称标题"/>
    <w:basedOn w:val="1"/>
    <w:next w:val="2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34">
    <w:name w:val="发布TB"/>
    <w:basedOn w:val="1"/>
    <w:qFormat/>
    <w:uiPriority w:val="0"/>
    <w:pPr>
      <w:spacing w:line="280" w:lineRule="exact"/>
      <w:ind w:left="567"/>
    </w:pPr>
    <w:rPr>
      <w:rFonts w:ascii="黑体" w:hAnsi="Times New Roman" w:eastAsia="黑体" w:cs="Times New Roman"/>
      <w:kern w:val="3"/>
      <w:sz w:val="28"/>
      <w:szCs w:val="20"/>
    </w:rPr>
  </w:style>
  <w:style w:type="paragraph" w:styleId="35">
    <w:name w:val="List Paragraph"/>
    <w:basedOn w:val="1"/>
    <w:qFormat/>
    <w:uiPriority w:val="34"/>
    <w:pPr>
      <w:ind w:firstLine="420" w:firstLineChars="200"/>
    </w:pPr>
    <w:rPr>
      <w:rFonts w:ascii="Calibri" w:hAnsi="Calibri" w:eastAsia="宋体" w:cs="Times New Roman"/>
    </w:rPr>
  </w:style>
  <w:style w:type="paragraph" w:customStyle="1" w:styleId="36">
    <w:name w:val="附录章标题"/>
    <w:next w:val="21"/>
    <w:qFormat/>
    <w:uiPriority w:val="0"/>
    <w:pPr>
      <w:numPr>
        <w:ilvl w:val="1"/>
        <w:numId w:val="2"/>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37">
    <w:name w:val="发布部门TB"/>
    <w:basedOn w:val="1"/>
    <w:qFormat/>
    <w:uiPriority w:val="0"/>
    <w:pPr>
      <w:widowControl/>
      <w:spacing w:line="360" w:lineRule="exact"/>
      <w:jc w:val="center"/>
    </w:pPr>
    <w:rPr>
      <w:rFonts w:ascii="黑体" w:hAnsi="黑体" w:eastAsia="黑体" w:cs="Times New Roman"/>
      <w:spacing w:val="20"/>
      <w:w w:val="135"/>
      <w:kern w:val="0"/>
      <w:sz w:val="36"/>
      <w:szCs w:val="20"/>
    </w:rPr>
  </w:style>
  <w:style w:type="paragraph" w:customStyle="1" w:styleId="3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3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0">
    <w:name w:val="ICS"/>
    <w:basedOn w:val="1"/>
    <w:qFormat/>
    <w:uiPriority w:val="0"/>
    <w:pPr>
      <w:widowControl/>
      <w:jc w:val="left"/>
    </w:pPr>
    <w:rPr>
      <w:rFonts w:ascii="黑体" w:hAnsi="Times New Roman" w:eastAsia="黑体" w:cs="Times New Roman"/>
      <w:kern w:val="0"/>
      <w:szCs w:val="20"/>
    </w:rPr>
  </w:style>
  <w:style w:type="character" w:customStyle="1" w:styleId="41">
    <w:name w:val="标题 1 字符"/>
    <w:basedOn w:val="12"/>
    <w:link w:val="2"/>
    <w:qFormat/>
    <w:uiPriority w:val="9"/>
    <w:rPr>
      <w:b/>
      <w:bCs/>
      <w:kern w:val="44"/>
      <w:sz w:val="44"/>
      <w:szCs w:val="44"/>
    </w:rPr>
  </w:style>
  <w:style w:type="paragraph" w:customStyle="1" w:styleId="42">
    <w:name w:val="BodyText1I2"/>
    <w:basedOn w:val="1"/>
    <w:qFormat/>
    <w:uiPriority w:val="0"/>
    <w:pPr>
      <w:spacing w:after="120"/>
      <w:ind w:left="420" w:leftChars="200" w:firstLine="420"/>
    </w:pPr>
  </w:style>
  <w:style w:type="paragraph" w:customStyle="1" w:styleId="43">
    <w:name w:val="前言、引言标题"/>
    <w:next w:val="21"/>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
    <w:name w:val="二级条标题"/>
    <w:basedOn w:val="20"/>
    <w:next w:val="21"/>
    <w:qFormat/>
    <w:uiPriority w:val="0"/>
    <w:pPr>
      <w:numPr>
        <w:ilvl w:val="2"/>
      </w:numPr>
      <w:spacing w:before="50" w:after="50"/>
      <w:outlineLvl w:val="3"/>
    </w:pPr>
  </w:style>
  <w:style w:type="paragraph" w:customStyle="1" w:styleId="46">
    <w:name w:val="三级条标题"/>
    <w:basedOn w:val="45"/>
    <w:next w:val="21"/>
    <w:qFormat/>
    <w:uiPriority w:val="0"/>
    <w:pPr>
      <w:numPr>
        <w:ilvl w:val="3"/>
      </w:numPr>
      <w:outlineLvl w:val="4"/>
    </w:pPr>
  </w:style>
  <w:style w:type="paragraph" w:customStyle="1" w:styleId="47">
    <w:name w:val="四级条标题"/>
    <w:basedOn w:val="46"/>
    <w:next w:val="21"/>
    <w:qFormat/>
    <w:uiPriority w:val="0"/>
    <w:pPr>
      <w:numPr>
        <w:ilvl w:val="4"/>
      </w:numPr>
      <w:outlineLvl w:val="5"/>
    </w:pPr>
  </w:style>
  <w:style w:type="paragraph" w:customStyle="1" w:styleId="48">
    <w:name w:val="正文图标题"/>
    <w:next w:val="21"/>
    <w:qFormat/>
    <w:uiPriority w:val="0"/>
    <w:pPr>
      <w:numPr>
        <w:ilvl w:val="0"/>
        <w:numId w:val="3"/>
      </w:numPr>
      <w:spacing w:beforeLines="50" w:afterLines="50"/>
      <w:jc w:val="center"/>
    </w:pPr>
    <w:rPr>
      <w:rFonts w:ascii="黑体" w:hAnsi="Times New Roman" w:eastAsia="黑体" w:cs="Times New Roman"/>
      <w:sz w:val="21"/>
      <w:lang w:val="en-US" w:eastAsia="zh-CN" w:bidi="ar-SA"/>
    </w:rPr>
  </w:style>
  <w:style w:type="paragraph" w:customStyle="1" w:styleId="49">
    <w:name w:val="正文表标题"/>
    <w:next w:val="21"/>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character" w:customStyle="1" w:styleId="50">
    <w:name w:val="批注文字 字符"/>
    <w:basedOn w:val="12"/>
    <w:link w:val="3"/>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2996</Words>
  <Characters>3479</Characters>
  <Lines>29</Lines>
  <Paragraphs>8</Paragraphs>
  <TotalTime>0</TotalTime>
  <ScaleCrop>false</ScaleCrop>
  <LinksUpToDate>false</LinksUpToDate>
  <CharactersWithSpaces>3619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2025-03-24T07:24:00Z</dcterms:created>
  <dc:creator>luna</dc:creator>
  <cp:lastModifiedBy>唐研溦</cp:lastModifiedBy>
  <dcterms:modified xsi:type="dcterms:W3CDTF">2025-03-28T08:13:39Z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5A8DF19EE6984AB49B7A360C365C7EF5_13</vt:lpwstr>
  </property>
  <property fmtid="{D5CDD505-2E9C-101B-9397-08002B2CF9AE}" pid="4" name="KSOTemplateDocerSaveRecord">
    <vt:lpwstr>eyJoZGlkIjoiMDJlMmVhZjIyNjJiNzZlN2ZjYWM0MDM4NTE2ZTUxODciLCJ1c2VySWQiOiIxMzgyNzI3MTc3In0=</vt:lpwstr>
  </property>
</Properties>
</file>