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0A" w:rsidRDefault="0085530A">
      <w:pPr>
        <w:pStyle w:val="ab"/>
        <w:ind w:firstLineChars="0" w:firstLine="0"/>
      </w:pPr>
    </w:p>
    <w:p w:rsidR="0085530A" w:rsidRDefault="0085530A">
      <w:pPr>
        <w:pStyle w:val="ab"/>
        <w:ind w:firstLineChars="0" w:firstLine="0"/>
      </w:pPr>
    </w:p>
    <w:p w:rsidR="0085530A" w:rsidRDefault="0085530A">
      <w:pPr>
        <w:pStyle w:val="ab"/>
        <w:ind w:firstLineChars="0" w:firstLine="0"/>
      </w:pPr>
    </w:p>
    <w:p w:rsidR="0085530A" w:rsidRDefault="0085530A">
      <w:pPr>
        <w:pStyle w:val="ab"/>
        <w:ind w:firstLineChars="0" w:firstLine="0"/>
      </w:pPr>
    </w:p>
    <w:p w:rsidR="0085530A" w:rsidRDefault="0085530A">
      <w:pPr>
        <w:pStyle w:val="ab"/>
        <w:ind w:firstLineChars="0" w:firstLine="0"/>
      </w:pPr>
    </w:p>
    <w:p w:rsidR="0085530A" w:rsidRDefault="0085530A">
      <w:pPr>
        <w:pStyle w:val="ab"/>
        <w:ind w:firstLineChars="0" w:firstLine="0"/>
      </w:pPr>
    </w:p>
    <w:p w:rsidR="0085530A" w:rsidRDefault="0085530A">
      <w:pPr>
        <w:pStyle w:val="ab"/>
        <w:ind w:firstLineChars="0" w:firstLine="0"/>
      </w:pPr>
    </w:p>
    <w:p w:rsidR="0085530A" w:rsidRDefault="0085530A">
      <w:pPr>
        <w:pStyle w:val="ab"/>
        <w:ind w:firstLineChars="0" w:firstLine="0"/>
      </w:pPr>
    </w:p>
    <w:p w:rsidR="0085530A" w:rsidRDefault="0085530A">
      <w:pPr>
        <w:pStyle w:val="ab"/>
        <w:ind w:firstLineChars="0" w:firstLine="0"/>
      </w:pPr>
    </w:p>
    <w:p w:rsidR="0085530A" w:rsidRDefault="0085530A">
      <w:pPr>
        <w:pStyle w:val="ab"/>
        <w:ind w:firstLineChars="0" w:firstLine="0"/>
      </w:pPr>
    </w:p>
    <w:p w:rsidR="0085530A" w:rsidRPr="003702A5" w:rsidRDefault="003702A5">
      <w:pPr>
        <w:pStyle w:val="ab"/>
        <w:ind w:firstLineChars="0" w:firstLine="0"/>
        <w:jc w:val="center"/>
        <w:rPr>
          <w:rFonts w:ascii="黑体" w:eastAsia="黑体" w:hAnsi="黑体"/>
          <w:sz w:val="44"/>
          <w:szCs w:val="44"/>
        </w:rPr>
      </w:pPr>
      <w:r w:rsidRPr="003702A5">
        <w:rPr>
          <w:rFonts w:ascii="黑体" w:eastAsia="黑体" w:hAnsi="黑体" w:hint="eastAsia"/>
          <w:color w:val="0A0A0A"/>
          <w:w w:val="110"/>
          <w:sz w:val="44"/>
          <w:szCs w:val="44"/>
        </w:rPr>
        <w:t>光伏发电站安全后评价规程</w:t>
      </w:r>
    </w:p>
    <w:p w:rsidR="0085530A" w:rsidRDefault="0085530A">
      <w:pPr>
        <w:pStyle w:val="ab"/>
        <w:ind w:firstLineChars="0" w:firstLine="0"/>
        <w:jc w:val="center"/>
        <w:rPr>
          <w:rFonts w:ascii="黑体" w:eastAsia="黑体"/>
          <w:sz w:val="44"/>
          <w:szCs w:val="44"/>
        </w:rPr>
      </w:pPr>
    </w:p>
    <w:p w:rsidR="0085530A" w:rsidRDefault="0085530A">
      <w:pPr>
        <w:pStyle w:val="ab"/>
      </w:pPr>
    </w:p>
    <w:p w:rsidR="0085530A" w:rsidRDefault="0085530A">
      <w:pPr>
        <w:pStyle w:val="ab"/>
      </w:pPr>
    </w:p>
    <w:p w:rsidR="0085530A" w:rsidRDefault="00760BC6" w:rsidP="003702A5">
      <w:pPr>
        <w:pStyle w:val="a"/>
        <w:numPr>
          <w:ilvl w:val="0"/>
          <w:numId w:val="0"/>
        </w:numPr>
        <w:spacing w:before="312" w:after="312"/>
        <w:jc w:val="center"/>
        <w:rPr>
          <w:sz w:val="28"/>
          <w:szCs w:val="28"/>
        </w:rPr>
      </w:pPr>
      <w:bookmarkStart w:id="0" w:name="_Toc298937368"/>
      <w:bookmarkStart w:id="1" w:name="_Toc298937333"/>
      <w:bookmarkStart w:id="2" w:name="_Toc309996019"/>
      <w:bookmarkStart w:id="3" w:name="_Toc304824981"/>
      <w:bookmarkStart w:id="4" w:name="_Toc304825020"/>
      <w:bookmarkStart w:id="5" w:name="_Toc298938794"/>
      <w:bookmarkStart w:id="6" w:name="_Toc309994571"/>
      <w:bookmarkStart w:id="7" w:name="_Toc309995410"/>
      <w:bookmarkStart w:id="8" w:name="_Toc298937430"/>
      <w:bookmarkStart w:id="9" w:name="_Toc309997060"/>
      <w:bookmarkStart w:id="10" w:name="_Toc298938646"/>
      <w:bookmarkStart w:id="11" w:name="_Toc304828086"/>
      <w:bookmarkStart w:id="12" w:name="_Toc309995598"/>
      <w:bookmarkStart w:id="13" w:name="_Toc298937473"/>
      <w:bookmarkStart w:id="14" w:name="_Toc320020914"/>
      <w:bookmarkStart w:id="15" w:name="_Toc310002657"/>
      <w:bookmarkStart w:id="16" w:name="_Toc309993200"/>
      <w:bookmarkStart w:id="17" w:name="_Toc298937560"/>
      <w:bookmarkStart w:id="18" w:name="_Toc298937620"/>
      <w:bookmarkStart w:id="19" w:name="_Toc309995492"/>
      <w:bookmarkStart w:id="20" w:name="_Toc304402675"/>
      <w:bookmarkStart w:id="21" w:name="_Toc318613715"/>
      <w:bookmarkStart w:id="22" w:name="_Toc304825093"/>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5530A" w:rsidRDefault="0085530A">
      <w:pPr>
        <w:pStyle w:val="ab"/>
        <w:ind w:firstLine="560"/>
        <w:jc w:val="center"/>
        <w:rPr>
          <w:rFonts w:ascii="黑体" w:eastAsia="黑体"/>
          <w:sz w:val="28"/>
          <w:szCs w:val="28"/>
        </w:rPr>
      </w:pPr>
    </w:p>
    <w:p w:rsidR="0085530A" w:rsidRDefault="0085530A">
      <w:pPr>
        <w:pStyle w:val="ab"/>
        <w:ind w:firstLine="560"/>
        <w:jc w:val="center"/>
        <w:rPr>
          <w:rFonts w:ascii="黑体" w:eastAsia="黑体"/>
          <w:sz w:val="28"/>
          <w:szCs w:val="28"/>
        </w:rPr>
      </w:pPr>
    </w:p>
    <w:p w:rsidR="0085530A" w:rsidRDefault="0085530A">
      <w:pPr>
        <w:pStyle w:val="ab"/>
        <w:sectPr w:rsidR="0085530A">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7" w:header="1418" w:footer="1134" w:gutter="0"/>
          <w:cols w:space="720"/>
          <w:formProt w:val="0"/>
          <w:docGrid w:type="lines" w:linePitch="312"/>
        </w:sectPr>
      </w:pPr>
    </w:p>
    <w:p w:rsidR="0085530A" w:rsidRDefault="00760BC6">
      <w:pPr>
        <w:pStyle w:val="ac"/>
      </w:pPr>
      <w:bookmarkStart w:id="23" w:name="_Toc513731021"/>
      <w:bookmarkStart w:id="24" w:name="_Toc513731109"/>
      <w:bookmarkStart w:id="25" w:name="_Toc309992160"/>
      <w:bookmarkStart w:id="26" w:name="_Toc193272552"/>
      <w:r>
        <w:rPr>
          <w:rFonts w:hint="eastAsia"/>
        </w:rPr>
        <w:lastRenderedPageBreak/>
        <w:t>目次</w:t>
      </w:r>
      <w:bookmarkEnd w:id="23"/>
      <w:bookmarkEnd w:id="24"/>
      <w:bookmarkEnd w:id="25"/>
      <w:bookmarkEnd w:id="26"/>
    </w:p>
    <w:p w:rsidR="00555304" w:rsidRPr="00555304" w:rsidRDefault="008D4E4A" w:rsidP="00555304">
      <w:pPr>
        <w:pStyle w:val="10"/>
        <w:spacing w:before="78" w:after="78"/>
        <w:rPr>
          <w:rFonts w:ascii="仿宋_GB2312" w:eastAsia="仿宋_GB2312" w:hAnsiTheme="minorHAnsi" w:cstheme="minorBidi"/>
          <w:noProof/>
          <w:szCs w:val="22"/>
        </w:rPr>
      </w:pPr>
      <w:r>
        <w:rPr>
          <w:rFonts w:hAnsi="宋体"/>
        </w:rPr>
        <w:fldChar w:fldCharType="begin"/>
      </w:r>
      <w:r w:rsidR="00760BC6">
        <w:rPr>
          <w:rFonts w:hAnsi="宋体" w:hint="eastAsia"/>
        </w:rPr>
        <w:instrText>TOC \o "1-1" \h \z \u</w:instrText>
      </w:r>
      <w:r>
        <w:rPr>
          <w:rFonts w:hAnsi="宋体"/>
        </w:rPr>
        <w:fldChar w:fldCharType="separate"/>
      </w:r>
      <w:hyperlink w:anchor="_Toc193272552" w:history="1">
        <w:r w:rsidR="00555304" w:rsidRPr="00555304">
          <w:rPr>
            <w:rStyle w:val="aa"/>
            <w:rFonts w:ascii="仿宋_GB2312" w:eastAsia="仿宋_GB2312" w:hint="eastAsia"/>
            <w:noProof/>
          </w:rPr>
          <w:t>目次</w:t>
        </w:r>
        <w:r w:rsidR="00555304" w:rsidRPr="00555304">
          <w:rPr>
            <w:rFonts w:ascii="仿宋_GB2312" w:eastAsia="仿宋_GB2312" w:hint="eastAsia"/>
            <w:noProof/>
            <w:webHidden/>
          </w:rPr>
          <w:tab/>
        </w:r>
        <w:r w:rsidR="00555304" w:rsidRPr="00555304">
          <w:rPr>
            <w:rFonts w:ascii="仿宋_GB2312" w:eastAsia="仿宋_GB2312" w:hint="eastAsia"/>
            <w:noProof/>
            <w:webHidden/>
          </w:rPr>
          <w:fldChar w:fldCharType="begin"/>
        </w:r>
        <w:r w:rsidR="00555304" w:rsidRPr="00555304">
          <w:rPr>
            <w:rFonts w:ascii="仿宋_GB2312" w:eastAsia="仿宋_GB2312" w:hint="eastAsia"/>
            <w:noProof/>
            <w:webHidden/>
          </w:rPr>
          <w:instrText xml:space="preserve"> PAGEREF _Toc193272552 \h </w:instrText>
        </w:r>
        <w:r w:rsidR="00555304" w:rsidRPr="00555304">
          <w:rPr>
            <w:rFonts w:ascii="仿宋_GB2312" w:eastAsia="仿宋_GB2312" w:hint="eastAsia"/>
            <w:noProof/>
            <w:webHidden/>
          </w:rPr>
        </w:r>
        <w:r w:rsidR="00555304" w:rsidRPr="00555304">
          <w:rPr>
            <w:rFonts w:ascii="仿宋_GB2312" w:eastAsia="仿宋_GB2312" w:hint="eastAsia"/>
            <w:noProof/>
            <w:webHidden/>
          </w:rPr>
          <w:fldChar w:fldCharType="separate"/>
        </w:r>
        <w:r w:rsidR="00220E2D">
          <w:rPr>
            <w:rFonts w:ascii="仿宋_GB2312" w:eastAsia="仿宋_GB2312"/>
            <w:noProof/>
            <w:webHidden/>
          </w:rPr>
          <w:t>1</w:t>
        </w:r>
        <w:r w:rsidR="00555304" w:rsidRPr="00555304">
          <w:rPr>
            <w:rFonts w:ascii="仿宋_GB2312" w:eastAsia="仿宋_GB2312" w:hint="eastAsia"/>
            <w:noProof/>
            <w:webHidden/>
          </w:rPr>
          <w:fldChar w:fldCharType="end"/>
        </w:r>
      </w:hyperlink>
    </w:p>
    <w:p w:rsidR="00555304" w:rsidRPr="00555304" w:rsidRDefault="00374BC7" w:rsidP="00555304">
      <w:pPr>
        <w:pStyle w:val="10"/>
        <w:spacing w:before="78" w:after="78"/>
        <w:rPr>
          <w:rFonts w:ascii="仿宋_GB2312" w:eastAsia="仿宋_GB2312" w:hAnsiTheme="minorHAnsi" w:cstheme="minorBidi"/>
          <w:noProof/>
          <w:szCs w:val="22"/>
        </w:rPr>
      </w:pPr>
      <w:hyperlink w:anchor="_Toc193272553" w:history="1">
        <w:r w:rsidR="00555304" w:rsidRPr="00555304">
          <w:rPr>
            <w:rStyle w:val="aa"/>
            <w:rFonts w:ascii="仿宋_GB2312" w:eastAsia="仿宋_GB2312" w:hAnsi="宋体" w:hint="eastAsia"/>
            <w:noProof/>
          </w:rPr>
          <w:t>1 编制背景</w:t>
        </w:r>
        <w:r w:rsidR="00555304" w:rsidRPr="00555304">
          <w:rPr>
            <w:rFonts w:ascii="仿宋_GB2312" w:eastAsia="仿宋_GB2312" w:hint="eastAsia"/>
            <w:noProof/>
            <w:webHidden/>
          </w:rPr>
          <w:tab/>
        </w:r>
        <w:r w:rsidR="00555304" w:rsidRPr="00555304">
          <w:rPr>
            <w:rFonts w:ascii="仿宋_GB2312" w:eastAsia="仿宋_GB2312" w:hint="eastAsia"/>
            <w:noProof/>
            <w:webHidden/>
          </w:rPr>
          <w:fldChar w:fldCharType="begin"/>
        </w:r>
        <w:r w:rsidR="00555304" w:rsidRPr="00555304">
          <w:rPr>
            <w:rFonts w:ascii="仿宋_GB2312" w:eastAsia="仿宋_GB2312" w:hint="eastAsia"/>
            <w:noProof/>
            <w:webHidden/>
          </w:rPr>
          <w:instrText xml:space="preserve"> PAGEREF _Toc193272553 \h </w:instrText>
        </w:r>
        <w:r w:rsidR="00555304" w:rsidRPr="00555304">
          <w:rPr>
            <w:rFonts w:ascii="仿宋_GB2312" w:eastAsia="仿宋_GB2312" w:hint="eastAsia"/>
            <w:noProof/>
            <w:webHidden/>
          </w:rPr>
        </w:r>
        <w:r w:rsidR="00555304" w:rsidRPr="00555304">
          <w:rPr>
            <w:rFonts w:ascii="仿宋_GB2312" w:eastAsia="仿宋_GB2312" w:hint="eastAsia"/>
            <w:noProof/>
            <w:webHidden/>
          </w:rPr>
          <w:fldChar w:fldCharType="separate"/>
        </w:r>
        <w:r w:rsidR="00220E2D">
          <w:rPr>
            <w:rFonts w:ascii="仿宋_GB2312" w:eastAsia="仿宋_GB2312"/>
            <w:noProof/>
            <w:webHidden/>
          </w:rPr>
          <w:t>1</w:t>
        </w:r>
        <w:r w:rsidR="00555304" w:rsidRPr="00555304">
          <w:rPr>
            <w:rFonts w:ascii="仿宋_GB2312" w:eastAsia="仿宋_GB2312" w:hint="eastAsia"/>
            <w:noProof/>
            <w:webHidden/>
          </w:rPr>
          <w:fldChar w:fldCharType="end"/>
        </w:r>
      </w:hyperlink>
    </w:p>
    <w:p w:rsidR="00555304" w:rsidRPr="00555304" w:rsidRDefault="00374BC7" w:rsidP="00555304">
      <w:pPr>
        <w:pStyle w:val="10"/>
        <w:spacing w:before="78" w:after="78"/>
        <w:rPr>
          <w:rFonts w:ascii="仿宋_GB2312" w:eastAsia="仿宋_GB2312" w:hAnsiTheme="minorHAnsi" w:cstheme="minorBidi"/>
          <w:noProof/>
          <w:szCs w:val="22"/>
        </w:rPr>
      </w:pPr>
      <w:hyperlink w:anchor="_Toc193272554" w:history="1">
        <w:r w:rsidR="00555304" w:rsidRPr="00555304">
          <w:rPr>
            <w:rStyle w:val="aa"/>
            <w:rFonts w:ascii="仿宋_GB2312" w:eastAsia="仿宋_GB2312" w:hAnsi="宋体" w:hint="eastAsia"/>
            <w:noProof/>
          </w:rPr>
          <w:t>2 编制主要原则</w:t>
        </w:r>
        <w:r w:rsidR="00555304" w:rsidRPr="00555304">
          <w:rPr>
            <w:rFonts w:ascii="仿宋_GB2312" w:eastAsia="仿宋_GB2312" w:hint="eastAsia"/>
            <w:noProof/>
            <w:webHidden/>
          </w:rPr>
          <w:tab/>
        </w:r>
        <w:r w:rsidR="00555304" w:rsidRPr="00555304">
          <w:rPr>
            <w:rFonts w:ascii="仿宋_GB2312" w:eastAsia="仿宋_GB2312" w:hint="eastAsia"/>
            <w:noProof/>
            <w:webHidden/>
          </w:rPr>
          <w:fldChar w:fldCharType="begin"/>
        </w:r>
        <w:r w:rsidR="00555304" w:rsidRPr="00555304">
          <w:rPr>
            <w:rFonts w:ascii="仿宋_GB2312" w:eastAsia="仿宋_GB2312" w:hint="eastAsia"/>
            <w:noProof/>
            <w:webHidden/>
          </w:rPr>
          <w:instrText xml:space="preserve"> PAGEREF _Toc193272554 \h </w:instrText>
        </w:r>
        <w:r w:rsidR="00555304" w:rsidRPr="00555304">
          <w:rPr>
            <w:rFonts w:ascii="仿宋_GB2312" w:eastAsia="仿宋_GB2312" w:hint="eastAsia"/>
            <w:noProof/>
            <w:webHidden/>
          </w:rPr>
        </w:r>
        <w:r w:rsidR="00555304" w:rsidRPr="00555304">
          <w:rPr>
            <w:rFonts w:ascii="仿宋_GB2312" w:eastAsia="仿宋_GB2312" w:hint="eastAsia"/>
            <w:noProof/>
            <w:webHidden/>
          </w:rPr>
          <w:fldChar w:fldCharType="separate"/>
        </w:r>
        <w:r w:rsidR="00220E2D">
          <w:rPr>
            <w:rFonts w:ascii="仿宋_GB2312" w:eastAsia="仿宋_GB2312"/>
            <w:noProof/>
            <w:webHidden/>
          </w:rPr>
          <w:t>1</w:t>
        </w:r>
        <w:r w:rsidR="00555304" w:rsidRPr="00555304">
          <w:rPr>
            <w:rFonts w:ascii="仿宋_GB2312" w:eastAsia="仿宋_GB2312" w:hint="eastAsia"/>
            <w:noProof/>
            <w:webHidden/>
          </w:rPr>
          <w:fldChar w:fldCharType="end"/>
        </w:r>
      </w:hyperlink>
    </w:p>
    <w:p w:rsidR="00555304" w:rsidRPr="00555304" w:rsidRDefault="00374BC7" w:rsidP="00555304">
      <w:pPr>
        <w:pStyle w:val="10"/>
        <w:spacing w:before="78" w:after="78"/>
        <w:rPr>
          <w:rFonts w:ascii="仿宋_GB2312" w:eastAsia="仿宋_GB2312" w:hAnsiTheme="minorHAnsi" w:cstheme="minorBidi"/>
          <w:noProof/>
          <w:szCs w:val="22"/>
        </w:rPr>
      </w:pPr>
      <w:hyperlink w:anchor="_Toc193272555" w:history="1">
        <w:r w:rsidR="00555304" w:rsidRPr="00555304">
          <w:rPr>
            <w:rStyle w:val="aa"/>
            <w:rFonts w:ascii="仿宋_GB2312" w:eastAsia="仿宋_GB2312" w:hAnsi="宋体" w:hint="eastAsia"/>
            <w:noProof/>
          </w:rPr>
          <w:t>3 主要工作过程</w:t>
        </w:r>
        <w:r w:rsidR="00555304" w:rsidRPr="00555304">
          <w:rPr>
            <w:rFonts w:ascii="仿宋_GB2312" w:eastAsia="仿宋_GB2312" w:hint="eastAsia"/>
            <w:noProof/>
            <w:webHidden/>
          </w:rPr>
          <w:tab/>
        </w:r>
        <w:r w:rsidR="00555304" w:rsidRPr="00555304">
          <w:rPr>
            <w:rFonts w:ascii="仿宋_GB2312" w:eastAsia="仿宋_GB2312" w:hint="eastAsia"/>
            <w:noProof/>
            <w:webHidden/>
          </w:rPr>
          <w:fldChar w:fldCharType="begin"/>
        </w:r>
        <w:r w:rsidR="00555304" w:rsidRPr="00555304">
          <w:rPr>
            <w:rFonts w:ascii="仿宋_GB2312" w:eastAsia="仿宋_GB2312" w:hint="eastAsia"/>
            <w:noProof/>
            <w:webHidden/>
          </w:rPr>
          <w:instrText xml:space="preserve"> PAGEREF _Toc193272555 \h </w:instrText>
        </w:r>
        <w:r w:rsidR="00555304" w:rsidRPr="00555304">
          <w:rPr>
            <w:rFonts w:ascii="仿宋_GB2312" w:eastAsia="仿宋_GB2312" w:hint="eastAsia"/>
            <w:noProof/>
            <w:webHidden/>
          </w:rPr>
        </w:r>
        <w:r w:rsidR="00555304" w:rsidRPr="00555304">
          <w:rPr>
            <w:rFonts w:ascii="仿宋_GB2312" w:eastAsia="仿宋_GB2312" w:hint="eastAsia"/>
            <w:noProof/>
            <w:webHidden/>
          </w:rPr>
          <w:fldChar w:fldCharType="separate"/>
        </w:r>
        <w:r w:rsidR="00220E2D">
          <w:rPr>
            <w:rFonts w:ascii="仿宋_GB2312" w:eastAsia="仿宋_GB2312"/>
            <w:noProof/>
            <w:webHidden/>
          </w:rPr>
          <w:t>1</w:t>
        </w:r>
        <w:r w:rsidR="00555304" w:rsidRPr="00555304">
          <w:rPr>
            <w:rFonts w:ascii="仿宋_GB2312" w:eastAsia="仿宋_GB2312" w:hint="eastAsia"/>
            <w:noProof/>
            <w:webHidden/>
          </w:rPr>
          <w:fldChar w:fldCharType="end"/>
        </w:r>
      </w:hyperlink>
    </w:p>
    <w:p w:rsidR="00555304" w:rsidRPr="00555304" w:rsidRDefault="00374BC7" w:rsidP="00555304">
      <w:pPr>
        <w:pStyle w:val="10"/>
        <w:spacing w:before="78" w:after="78"/>
        <w:rPr>
          <w:rFonts w:ascii="仿宋_GB2312" w:eastAsia="仿宋_GB2312" w:hAnsiTheme="minorHAnsi" w:cstheme="minorBidi"/>
          <w:noProof/>
          <w:szCs w:val="22"/>
        </w:rPr>
      </w:pPr>
      <w:hyperlink w:anchor="_Toc193272556" w:history="1">
        <w:r w:rsidR="00555304" w:rsidRPr="00555304">
          <w:rPr>
            <w:rStyle w:val="aa"/>
            <w:rFonts w:ascii="仿宋_GB2312" w:eastAsia="仿宋_GB2312" w:hAnsi="宋体" w:hint="eastAsia"/>
            <w:noProof/>
          </w:rPr>
          <w:t>4</w:t>
        </w:r>
        <w:r w:rsidR="00555304" w:rsidRPr="00555304">
          <w:rPr>
            <w:rStyle w:val="aa"/>
            <w:rFonts w:ascii="仿宋_GB2312" w:eastAsia="仿宋_GB2312" w:hint="eastAsia"/>
            <w:noProof/>
          </w:rPr>
          <w:t xml:space="preserve"> 标准结构和内容说明</w:t>
        </w:r>
        <w:r w:rsidR="00555304" w:rsidRPr="00555304">
          <w:rPr>
            <w:rFonts w:ascii="仿宋_GB2312" w:eastAsia="仿宋_GB2312" w:hint="eastAsia"/>
            <w:noProof/>
            <w:webHidden/>
          </w:rPr>
          <w:tab/>
        </w:r>
        <w:r w:rsidR="00555304" w:rsidRPr="00555304">
          <w:rPr>
            <w:rFonts w:ascii="仿宋_GB2312" w:eastAsia="仿宋_GB2312" w:hint="eastAsia"/>
            <w:noProof/>
            <w:webHidden/>
          </w:rPr>
          <w:fldChar w:fldCharType="begin"/>
        </w:r>
        <w:r w:rsidR="00555304" w:rsidRPr="00555304">
          <w:rPr>
            <w:rFonts w:ascii="仿宋_GB2312" w:eastAsia="仿宋_GB2312" w:hint="eastAsia"/>
            <w:noProof/>
            <w:webHidden/>
          </w:rPr>
          <w:instrText xml:space="preserve"> PAGEREF _Toc193272556 \h </w:instrText>
        </w:r>
        <w:r w:rsidR="00555304" w:rsidRPr="00555304">
          <w:rPr>
            <w:rFonts w:ascii="仿宋_GB2312" w:eastAsia="仿宋_GB2312" w:hint="eastAsia"/>
            <w:noProof/>
            <w:webHidden/>
          </w:rPr>
        </w:r>
        <w:r w:rsidR="00555304" w:rsidRPr="00555304">
          <w:rPr>
            <w:rFonts w:ascii="仿宋_GB2312" w:eastAsia="仿宋_GB2312" w:hint="eastAsia"/>
            <w:noProof/>
            <w:webHidden/>
          </w:rPr>
          <w:fldChar w:fldCharType="separate"/>
        </w:r>
        <w:r w:rsidR="00220E2D">
          <w:rPr>
            <w:rFonts w:ascii="仿宋_GB2312" w:eastAsia="仿宋_GB2312"/>
            <w:noProof/>
            <w:webHidden/>
          </w:rPr>
          <w:t>2</w:t>
        </w:r>
        <w:r w:rsidR="00555304" w:rsidRPr="00555304">
          <w:rPr>
            <w:rFonts w:ascii="仿宋_GB2312" w:eastAsia="仿宋_GB2312" w:hint="eastAsia"/>
            <w:noProof/>
            <w:webHidden/>
          </w:rPr>
          <w:fldChar w:fldCharType="end"/>
        </w:r>
      </w:hyperlink>
    </w:p>
    <w:p w:rsidR="00555304" w:rsidRPr="00555304" w:rsidRDefault="00374BC7" w:rsidP="00555304">
      <w:pPr>
        <w:pStyle w:val="10"/>
        <w:spacing w:before="78" w:after="78"/>
        <w:rPr>
          <w:rFonts w:ascii="仿宋_GB2312" w:eastAsia="仿宋_GB2312" w:hAnsiTheme="minorHAnsi" w:cstheme="minorBidi"/>
          <w:noProof/>
          <w:szCs w:val="22"/>
        </w:rPr>
      </w:pPr>
      <w:hyperlink w:anchor="_Toc193272557" w:history="1">
        <w:r w:rsidR="00555304" w:rsidRPr="00555304">
          <w:rPr>
            <w:rStyle w:val="aa"/>
            <w:rFonts w:ascii="仿宋_GB2312" w:eastAsia="仿宋_GB2312" w:hAnsi="宋体" w:hint="eastAsia"/>
            <w:noProof/>
          </w:rPr>
          <w:t>5相关</w:t>
        </w:r>
        <w:r w:rsidR="00555304" w:rsidRPr="00555304">
          <w:rPr>
            <w:rStyle w:val="aa"/>
            <w:rFonts w:ascii="仿宋_GB2312" w:eastAsia="仿宋_GB2312" w:hint="eastAsia"/>
            <w:noProof/>
          </w:rPr>
          <w:t>标准对比说明</w:t>
        </w:r>
        <w:r w:rsidR="00555304" w:rsidRPr="00555304">
          <w:rPr>
            <w:rFonts w:ascii="仿宋_GB2312" w:eastAsia="仿宋_GB2312" w:hint="eastAsia"/>
            <w:noProof/>
            <w:webHidden/>
          </w:rPr>
          <w:tab/>
        </w:r>
        <w:r w:rsidR="00555304" w:rsidRPr="00555304">
          <w:rPr>
            <w:rFonts w:ascii="仿宋_GB2312" w:eastAsia="仿宋_GB2312" w:hint="eastAsia"/>
            <w:noProof/>
            <w:webHidden/>
          </w:rPr>
          <w:fldChar w:fldCharType="begin"/>
        </w:r>
        <w:r w:rsidR="00555304" w:rsidRPr="00555304">
          <w:rPr>
            <w:rFonts w:ascii="仿宋_GB2312" w:eastAsia="仿宋_GB2312" w:hint="eastAsia"/>
            <w:noProof/>
            <w:webHidden/>
          </w:rPr>
          <w:instrText xml:space="preserve"> PAGEREF _Toc193272557 \h </w:instrText>
        </w:r>
        <w:r w:rsidR="00555304" w:rsidRPr="00555304">
          <w:rPr>
            <w:rFonts w:ascii="仿宋_GB2312" w:eastAsia="仿宋_GB2312" w:hint="eastAsia"/>
            <w:noProof/>
            <w:webHidden/>
          </w:rPr>
        </w:r>
        <w:r w:rsidR="00555304" w:rsidRPr="00555304">
          <w:rPr>
            <w:rFonts w:ascii="仿宋_GB2312" w:eastAsia="仿宋_GB2312" w:hint="eastAsia"/>
            <w:noProof/>
            <w:webHidden/>
          </w:rPr>
          <w:fldChar w:fldCharType="separate"/>
        </w:r>
        <w:r w:rsidR="00220E2D">
          <w:rPr>
            <w:rFonts w:ascii="仿宋_GB2312" w:eastAsia="仿宋_GB2312"/>
            <w:noProof/>
            <w:webHidden/>
          </w:rPr>
          <w:t>3</w:t>
        </w:r>
        <w:r w:rsidR="00555304" w:rsidRPr="00555304">
          <w:rPr>
            <w:rFonts w:ascii="仿宋_GB2312" w:eastAsia="仿宋_GB2312" w:hint="eastAsia"/>
            <w:noProof/>
            <w:webHidden/>
          </w:rPr>
          <w:fldChar w:fldCharType="end"/>
        </w:r>
      </w:hyperlink>
    </w:p>
    <w:p w:rsidR="00555304" w:rsidRPr="00555304" w:rsidRDefault="00374BC7" w:rsidP="00555304">
      <w:pPr>
        <w:pStyle w:val="10"/>
        <w:spacing w:before="78" w:after="78"/>
        <w:rPr>
          <w:rFonts w:ascii="仿宋_GB2312" w:eastAsia="仿宋_GB2312" w:hAnsiTheme="minorHAnsi" w:cstheme="minorBidi"/>
          <w:noProof/>
          <w:szCs w:val="22"/>
        </w:rPr>
      </w:pPr>
      <w:hyperlink w:anchor="_Toc193272558" w:history="1">
        <w:r w:rsidR="00555304" w:rsidRPr="00555304">
          <w:rPr>
            <w:rStyle w:val="aa"/>
            <w:rFonts w:ascii="仿宋_GB2312" w:eastAsia="仿宋_GB2312" w:hAnsi="宋体" w:hint="eastAsia"/>
            <w:noProof/>
          </w:rPr>
          <w:t>6标准实施措施说明</w:t>
        </w:r>
        <w:r w:rsidR="00555304" w:rsidRPr="00555304">
          <w:rPr>
            <w:rFonts w:ascii="仿宋_GB2312" w:eastAsia="仿宋_GB2312" w:hint="eastAsia"/>
            <w:noProof/>
            <w:webHidden/>
          </w:rPr>
          <w:tab/>
        </w:r>
        <w:r w:rsidR="00555304" w:rsidRPr="00555304">
          <w:rPr>
            <w:rFonts w:ascii="仿宋_GB2312" w:eastAsia="仿宋_GB2312" w:hint="eastAsia"/>
            <w:noProof/>
            <w:webHidden/>
          </w:rPr>
          <w:fldChar w:fldCharType="begin"/>
        </w:r>
        <w:r w:rsidR="00555304" w:rsidRPr="00555304">
          <w:rPr>
            <w:rFonts w:ascii="仿宋_GB2312" w:eastAsia="仿宋_GB2312" w:hint="eastAsia"/>
            <w:noProof/>
            <w:webHidden/>
          </w:rPr>
          <w:instrText xml:space="preserve"> PAGEREF _Toc193272558 \h </w:instrText>
        </w:r>
        <w:r w:rsidR="00555304" w:rsidRPr="00555304">
          <w:rPr>
            <w:rFonts w:ascii="仿宋_GB2312" w:eastAsia="仿宋_GB2312" w:hint="eastAsia"/>
            <w:noProof/>
            <w:webHidden/>
          </w:rPr>
        </w:r>
        <w:r w:rsidR="00555304" w:rsidRPr="00555304">
          <w:rPr>
            <w:rFonts w:ascii="仿宋_GB2312" w:eastAsia="仿宋_GB2312" w:hint="eastAsia"/>
            <w:noProof/>
            <w:webHidden/>
          </w:rPr>
          <w:fldChar w:fldCharType="separate"/>
        </w:r>
        <w:r w:rsidR="00220E2D">
          <w:rPr>
            <w:rFonts w:ascii="仿宋_GB2312" w:eastAsia="仿宋_GB2312"/>
            <w:noProof/>
            <w:webHidden/>
          </w:rPr>
          <w:t>3</w:t>
        </w:r>
        <w:r w:rsidR="00555304" w:rsidRPr="00555304">
          <w:rPr>
            <w:rFonts w:ascii="仿宋_GB2312" w:eastAsia="仿宋_GB2312" w:hint="eastAsia"/>
            <w:noProof/>
            <w:webHidden/>
          </w:rPr>
          <w:fldChar w:fldCharType="end"/>
        </w:r>
      </w:hyperlink>
    </w:p>
    <w:p w:rsidR="0085530A" w:rsidRDefault="008D4E4A">
      <w:pPr>
        <w:pStyle w:val="ab"/>
        <w:rPr>
          <w:rFonts w:hAnsi="宋体"/>
          <w:szCs w:val="21"/>
        </w:rPr>
      </w:pPr>
      <w:r>
        <w:rPr>
          <w:rFonts w:hAnsi="宋体"/>
          <w:szCs w:val="21"/>
        </w:rPr>
        <w:fldChar w:fldCharType="end"/>
      </w:r>
    </w:p>
    <w:p w:rsidR="0085530A" w:rsidRDefault="00760BC6">
      <w:pPr>
        <w:pStyle w:val="ab"/>
        <w:tabs>
          <w:tab w:val="clear" w:pos="4201"/>
          <w:tab w:val="left" w:pos="6722"/>
        </w:tabs>
        <w:rPr>
          <w:rFonts w:hAnsi="宋体"/>
          <w:szCs w:val="21"/>
        </w:rPr>
      </w:pPr>
      <w:r>
        <w:rPr>
          <w:rFonts w:hAnsi="宋体" w:hint="eastAsia"/>
          <w:szCs w:val="21"/>
        </w:rPr>
        <w:tab/>
      </w:r>
    </w:p>
    <w:p w:rsidR="0085530A" w:rsidRDefault="0085530A">
      <w:pPr>
        <w:pStyle w:val="ab"/>
        <w:rPr>
          <w:rFonts w:hAnsi="宋体"/>
          <w:szCs w:val="21"/>
        </w:rPr>
      </w:pPr>
    </w:p>
    <w:p w:rsidR="0085530A" w:rsidRDefault="0085530A">
      <w:pPr>
        <w:pStyle w:val="ab"/>
        <w:rPr>
          <w:rFonts w:hAnsi="宋体"/>
          <w:szCs w:val="21"/>
        </w:rPr>
      </w:pPr>
    </w:p>
    <w:p w:rsidR="0085530A" w:rsidRDefault="0085530A">
      <w:pPr>
        <w:pStyle w:val="ab"/>
        <w:rPr>
          <w:rFonts w:hAnsi="宋体"/>
          <w:szCs w:val="21"/>
        </w:rPr>
        <w:sectPr w:rsidR="0085530A">
          <w:headerReference w:type="default" r:id="rId15"/>
          <w:footerReference w:type="default" r:id="rId16"/>
          <w:pgSz w:w="11906" w:h="16838"/>
          <w:pgMar w:top="567" w:right="1134" w:bottom="1134" w:left="1417" w:header="1418" w:footer="1134" w:gutter="0"/>
          <w:pgNumType w:start="1"/>
          <w:cols w:space="720"/>
          <w:formProt w:val="0"/>
          <w:docGrid w:type="lines" w:linePitch="312"/>
        </w:sectPr>
      </w:pPr>
    </w:p>
    <w:p w:rsidR="0085530A" w:rsidRPr="00220E2D" w:rsidRDefault="00760BC6" w:rsidP="002A5E83">
      <w:pPr>
        <w:pStyle w:val="11"/>
        <w:spacing w:beforeLines="0" w:afterLines="0" w:line="360" w:lineRule="auto"/>
        <w:ind w:firstLineChars="200" w:firstLine="420"/>
        <w:rPr>
          <w:rFonts w:ascii="仿宋_GB2312" w:eastAsia="仿宋_GB2312" w:hAnsi="宋体"/>
          <w:szCs w:val="21"/>
        </w:rPr>
      </w:pPr>
      <w:bookmarkStart w:id="27" w:name="_Toc193272553"/>
      <w:r w:rsidRPr="00220E2D">
        <w:rPr>
          <w:rFonts w:ascii="仿宋_GB2312" w:eastAsia="仿宋_GB2312" w:hAnsi="宋体" w:hint="eastAsia"/>
          <w:szCs w:val="21"/>
        </w:rPr>
        <w:lastRenderedPageBreak/>
        <w:t>1 编制背景</w:t>
      </w:r>
      <w:bookmarkEnd w:id="27"/>
    </w:p>
    <w:p w:rsidR="0085530A" w:rsidRPr="00220E2D" w:rsidRDefault="00760BC6" w:rsidP="002A5E83">
      <w:pPr>
        <w:spacing w:line="360" w:lineRule="auto"/>
        <w:ind w:firstLineChars="200" w:firstLine="420"/>
        <w:rPr>
          <w:rFonts w:ascii="仿宋_GB2312" w:eastAsia="仿宋_GB2312"/>
          <w:color w:val="000000" w:themeColor="text1"/>
          <w:szCs w:val="21"/>
        </w:rPr>
      </w:pPr>
      <w:r w:rsidRPr="00220E2D">
        <w:rPr>
          <w:rFonts w:ascii="仿宋_GB2312" w:eastAsia="仿宋_GB2312" w:hint="eastAsia"/>
          <w:color w:val="000000" w:themeColor="text1"/>
          <w:szCs w:val="21"/>
        </w:rPr>
        <w:t>本标准是根据电机</w:t>
      </w:r>
      <w:proofErr w:type="gramStart"/>
      <w:r w:rsidRPr="00220E2D">
        <w:rPr>
          <w:rFonts w:ascii="仿宋_GB2312" w:eastAsia="仿宋_GB2312" w:hint="eastAsia"/>
          <w:color w:val="000000" w:themeColor="text1"/>
          <w:szCs w:val="21"/>
        </w:rPr>
        <w:t>咨</w:t>
      </w:r>
      <w:proofErr w:type="gramEnd"/>
      <w:r w:rsidRPr="00220E2D">
        <w:rPr>
          <w:rFonts w:ascii="仿宋_GB2312" w:eastAsia="仿宋_GB2312" w:hint="eastAsia"/>
          <w:color w:val="000000" w:themeColor="text1"/>
          <w:szCs w:val="21"/>
        </w:rPr>
        <w:t>〔2022〕300号文，“中国电机工程学会关于印发‘中国电机工程学会2022年标准计划（第一批）’的通知”下达的制定任务，项目序号</w:t>
      </w:r>
      <w:r w:rsidR="005B6754" w:rsidRPr="00220E2D">
        <w:rPr>
          <w:rFonts w:ascii="仿宋_GB2312" w:eastAsia="仿宋_GB2312" w:hint="eastAsia"/>
          <w:color w:val="000000" w:themeColor="text1"/>
          <w:szCs w:val="21"/>
        </w:rPr>
        <w:t>36</w:t>
      </w:r>
      <w:r w:rsidRPr="00220E2D">
        <w:rPr>
          <w:rFonts w:ascii="仿宋_GB2312" w:eastAsia="仿宋_GB2312" w:hint="eastAsia"/>
          <w:color w:val="000000" w:themeColor="text1"/>
          <w:szCs w:val="21"/>
        </w:rPr>
        <w:t>（编号202112200001）对“</w:t>
      </w:r>
      <w:r w:rsidR="005B6754" w:rsidRPr="00220E2D">
        <w:rPr>
          <w:rFonts w:ascii="仿宋_GB2312" w:eastAsia="仿宋_GB2312" w:hint="eastAsia"/>
          <w:color w:val="0A0A0A"/>
          <w:w w:val="110"/>
          <w:szCs w:val="21"/>
        </w:rPr>
        <w:t>光伏发电站安全后评价规程</w:t>
      </w:r>
      <w:r w:rsidRPr="00220E2D">
        <w:rPr>
          <w:rFonts w:ascii="仿宋_GB2312" w:eastAsia="仿宋_GB2312" w:hint="eastAsia"/>
          <w:color w:val="000000" w:themeColor="text1"/>
          <w:szCs w:val="21"/>
        </w:rPr>
        <w:t>”进行制定的。由西安热工研究院有限公司、</w:t>
      </w:r>
      <w:r w:rsidR="005B6754" w:rsidRPr="00220E2D">
        <w:rPr>
          <w:rFonts w:ascii="仿宋_GB2312" w:eastAsia="仿宋_GB2312" w:hAnsi="宋体" w:hint="eastAsia"/>
          <w:szCs w:val="21"/>
        </w:rPr>
        <w:t>苏州西热节能环保技术有限公司、</w:t>
      </w:r>
      <w:r w:rsidR="001E4224" w:rsidRPr="00220E2D">
        <w:rPr>
          <w:rFonts w:ascii="仿宋_GB2312" w:eastAsia="仿宋_GB2312" w:hAnsi="宋体" w:hint="eastAsia"/>
          <w:szCs w:val="21"/>
        </w:rPr>
        <w:t>华能新能源陕西分公司、</w:t>
      </w:r>
      <w:r w:rsidR="005B6754" w:rsidRPr="00220E2D">
        <w:rPr>
          <w:rFonts w:ascii="仿宋_GB2312" w:eastAsia="仿宋_GB2312" w:hAnsi="宋体" w:hint="eastAsia"/>
          <w:szCs w:val="21"/>
        </w:rPr>
        <w:t>隆</w:t>
      </w:r>
      <w:proofErr w:type="gramStart"/>
      <w:r w:rsidR="005B6754" w:rsidRPr="00220E2D">
        <w:rPr>
          <w:rFonts w:ascii="仿宋_GB2312" w:eastAsia="仿宋_GB2312" w:hAnsi="宋体" w:hint="eastAsia"/>
          <w:szCs w:val="21"/>
        </w:rPr>
        <w:t>基绿能科技</w:t>
      </w:r>
      <w:proofErr w:type="gramEnd"/>
      <w:r w:rsidR="005B6754" w:rsidRPr="00220E2D">
        <w:rPr>
          <w:rFonts w:ascii="仿宋_GB2312" w:eastAsia="仿宋_GB2312" w:hAnsi="宋体" w:hint="eastAsia"/>
          <w:szCs w:val="21"/>
        </w:rPr>
        <w:t>股份有限公司、</w:t>
      </w:r>
      <w:r w:rsidR="001E4224" w:rsidRPr="00220E2D">
        <w:rPr>
          <w:rFonts w:ascii="仿宋_GB2312" w:eastAsia="仿宋_GB2312" w:hint="eastAsia"/>
          <w:color w:val="000000" w:themeColor="text1"/>
          <w:szCs w:val="21"/>
        </w:rPr>
        <w:t>中检评价技术有限公司</w:t>
      </w:r>
      <w:r w:rsidRPr="00220E2D">
        <w:rPr>
          <w:rFonts w:ascii="仿宋_GB2312" w:eastAsia="仿宋_GB2312" w:hint="eastAsia"/>
          <w:color w:val="000000" w:themeColor="text1"/>
          <w:szCs w:val="21"/>
        </w:rPr>
        <w:t>等单位负责起草。</w:t>
      </w:r>
    </w:p>
    <w:p w:rsidR="0085530A" w:rsidRPr="00220E2D" w:rsidRDefault="00760BC6" w:rsidP="002A5E83">
      <w:pPr>
        <w:pStyle w:val="ab"/>
        <w:spacing w:line="360" w:lineRule="auto"/>
        <w:rPr>
          <w:rFonts w:ascii="仿宋_GB2312" w:eastAsia="仿宋_GB2312"/>
          <w:color w:val="000000" w:themeColor="text1"/>
          <w:szCs w:val="21"/>
        </w:rPr>
      </w:pPr>
      <w:r w:rsidRPr="00220E2D">
        <w:rPr>
          <w:rFonts w:ascii="仿宋_GB2312" w:eastAsia="仿宋_GB2312" w:hint="eastAsia"/>
          <w:color w:val="000000" w:themeColor="text1"/>
          <w:szCs w:val="21"/>
        </w:rPr>
        <w:t>标准编制的背景及意义如下：</w:t>
      </w:r>
    </w:p>
    <w:p w:rsidR="00612564" w:rsidRPr="00220E2D" w:rsidRDefault="00612564" w:rsidP="002A5E83">
      <w:pPr>
        <w:spacing w:line="360" w:lineRule="auto"/>
        <w:ind w:firstLineChars="200" w:firstLine="420"/>
        <w:rPr>
          <w:rFonts w:ascii="仿宋_GB2312" w:eastAsia="仿宋_GB2312"/>
          <w:szCs w:val="21"/>
        </w:rPr>
      </w:pPr>
      <w:proofErr w:type="gramStart"/>
      <w:r w:rsidRPr="00220E2D">
        <w:rPr>
          <w:rFonts w:ascii="仿宋_GB2312" w:eastAsia="仿宋_GB2312" w:hint="eastAsia"/>
          <w:szCs w:val="21"/>
        </w:rPr>
        <w:t>随着碳达峰</w:t>
      </w:r>
      <w:proofErr w:type="gramEnd"/>
      <w:r w:rsidRPr="00220E2D">
        <w:rPr>
          <w:rFonts w:ascii="仿宋_GB2312" w:eastAsia="仿宋_GB2312" w:hint="eastAsia"/>
          <w:szCs w:val="21"/>
        </w:rPr>
        <w:t>、碳中和目标的提出，光伏电站的建设明显提速，保障和提高光伏电站的安全性越发重要。贯彻落实《中华人民共和国安全生产法》（2021年修订），</w:t>
      </w:r>
      <w:proofErr w:type="gramStart"/>
      <w:r w:rsidRPr="00220E2D">
        <w:rPr>
          <w:rFonts w:ascii="仿宋_GB2312" w:eastAsia="仿宋_GB2312" w:hint="eastAsia"/>
          <w:szCs w:val="21"/>
        </w:rPr>
        <w:t>完善光</w:t>
      </w:r>
      <w:proofErr w:type="gramEnd"/>
      <w:r w:rsidRPr="00220E2D">
        <w:rPr>
          <w:rFonts w:ascii="仿宋_GB2312" w:eastAsia="仿宋_GB2312" w:hint="eastAsia"/>
          <w:szCs w:val="21"/>
        </w:rPr>
        <w:t>伏电站的安全评价体系，提高光伏发电建设的本质安全水平，是本项目设立的目的。</w:t>
      </w:r>
    </w:p>
    <w:p w:rsidR="00612564" w:rsidRPr="00220E2D" w:rsidRDefault="00612564" w:rsidP="002A5E83">
      <w:pPr>
        <w:spacing w:line="360" w:lineRule="auto"/>
        <w:ind w:firstLineChars="200" w:firstLine="420"/>
        <w:rPr>
          <w:rFonts w:ascii="仿宋_GB2312" w:eastAsia="仿宋_GB2312"/>
          <w:szCs w:val="21"/>
        </w:rPr>
      </w:pPr>
      <w:r w:rsidRPr="00220E2D">
        <w:rPr>
          <w:rFonts w:ascii="仿宋_GB2312" w:eastAsia="仿宋_GB2312" w:hint="eastAsia"/>
          <w:szCs w:val="21"/>
        </w:rPr>
        <w:t>根据《安全评价通则》，制定《光伏发电站安全后评价规程》。安全后评价工作既可以强化光伏发电站企业风险评估和风险管控工作，提高光伏发电本质安全水平，也可以指导和规范光伏发电安全后评价工作，有明显的社会经济效益。</w:t>
      </w:r>
    </w:p>
    <w:p w:rsidR="0085530A" w:rsidRPr="00220E2D" w:rsidRDefault="00760BC6" w:rsidP="002A5E83">
      <w:pPr>
        <w:pStyle w:val="ab"/>
        <w:spacing w:line="360" w:lineRule="auto"/>
        <w:rPr>
          <w:rFonts w:ascii="仿宋_GB2312" w:eastAsia="仿宋_GB2312"/>
          <w:color w:val="000000" w:themeColor="text1"/>
          <w:szCs w:val="21"/>
        </w:rPr>
      </w:pPr>
      <w:r w:rsidRPr="00220E2D">
        <w:rPr>
          <w:rFonts w:ascii="仿宋_GB2312" w:eastAsia="仿宋_GB2312" w:hint="eastAsia"/>
          <w:color w:val="000000" w:themeColor="text1"/>
          <w:szCs w:val="21"/>
        </w:rPr>
        <w:t>目前</w:t>
      </w:r>
      <w:r w:rsidR="00612564" w:rsidRPr="00220E2D">
        <w:rPr>
          <w:rFonts w:ascii="仿宋_GB2312" w:eastAsia="仿宋_GB2312" w:hAnsi="Calibri" w:hint="eastAsia"/>
          <w:szCs w:val="21"/>
        </w:rPr>
        <w:t>国内没有光伏发电站安全后评价规程</w:t>
      </w:r>
      <w:r w:rsidRPr="00220E2D">
        <w:rPr>
          <w:rFonts w:ascii="仿宋_GB2312" w:eastAsia="仿宋_GB2312" w:hint="eastAsia"/>
          <w:color w:val="000000" w:themeColor="text1"/>
          <w:szCs w:val="21"/>
        </w:rPr>
        <w:t>，在</w:t>
      </w:r>
      <w:r w:rsidR="00612564" w:rsidRPr="00220E2D">
        <w:rPr>
          <w:rFonts w:ascii="仿宋_GB2312" w:eastAsia="仿宋_GB2312" w:hAnsi="Calibri" w:hint="eastAsia"/>
          <w:szCs w:val="21"/>
        </w:rPr>
        <w:t>光伏发电站安全后评价工作中</w:t>
      </w:r>
      <w:r w:rsidRPr="00220E2D">
        <w:rPr>
          <w:rFonts w:ascii="仿宋_GB2312" w:eastAsia="仿宋_GB2312" w:hint="eastAsia"/>
          <w:color w:val="000000" w:themeColor="text1"/>
          <w:szCs w:val="21"/>
        </w:rPr>
        <w:t>缺少规范指导约束。因此亟需制定</w:t>
      </w:r>
      <w:r w:rsidR="00612564" w:rsidRPr="00220E2D">
        <w:rPr>
          <w:rFonts w:ascii="仿宋_GB2312" w:eastAsia="仿宋_GB2312" w:hAnsi="Calibri" w:hint="eastAsia"/>
          <w:szCs w:val="21"/>
        </w:rPr>
        <w:t>光伏发电站安全后评价</w:t>
      </w:r>
      <w:r w:rsidR="00612564" w:rsidRPr="00220E2D">
        <w:rPr>
          <w:rFonts w:ascii="仿宋_GB2312" w:eastAsia="仿宋_GB2312" w:hint="eastAsia"/>
          <w:color w:val="000000" w:themeColor="text1"/>
          <w:szCs w:val="21"/>
        </w:rPr>
        <w:t>规程</w:t>
      </w:r>
      <w:r w:rsidRPr="00220E2D">
        <w:rPr>
          <w:rFonts w:ascii="仿宋_GB2312" w:eastAsia="仿宋_GB2312" w:hint="eastAsia"/>
          <w:color w:val="000000" w:themeColor="text1"/>
          <w:szCs w:val="21"/>
        </w:rPr>
        <w:t>，规范和指导</w:t>
      </w:r>
      <w:r w:rsidR="00612564" w:rsidRPr="00220E2D">
        <w:rPr>
          <w:rFonts w:ascii="仿宋_GB2312" w:eastAsia="仿宋_GB2312" w:hAnsi="Calibri" w:hint="eastAsia"/>
          <w:szCs w:val="21"/>
        </w:rPr>
        <w:t>光伏发电站安全后评价</w:t>
      </w:r>
      <w:r w:rsidRPr="00220E2D">
        <w:rPr>
          <w:rFonts w:ascii="仿宋_GB2312" w:eastAsia="仿宋_GB2312" w:hint="eastAsia"/>
          <w:color w:val="000000" w:themeColor="text1"/>
          <w:szCs w:val="21"/>
        </w:rPr>
        <w:t>工作。</w:t>
      </w:r>
    </w:p>
    <w:p w:rsidR="0085530A" w:rsidRPr="00220E2D" w:rsidRDefault="00760BC6" w:rsidP="002A5E83">
      <w:pPr>
        <w:pStyle w:val="11"/>
        <w:spacing w:beforeLines="0" w:afterLines="0" w:line="360" w:lineRule="auto"/>
        <w:ind w:firstLineChars="200" w:firstLine="420"/>
        <w:rPr>
          <w:rFonts w:ascii="仿宋_GB2312" w:eastAsia="仿宋_GB2312" w:hAnsi="宋体"/>
          <w:szCs w:val="21"/>
        </w:rPr>
      </w:pPr>
      <w:bookmarkStart w:id="28" w:name="_Toc193272554"/>
      <w:r w:rsidRPr="00220E2D">
        <w:rPr>
          <w:rFonts w:ascii="仿宋_GB2312" w:eastAsia="仿宋_GB2312" w:hAnsi="宋体" w:hint="eastAsia"/>
          <w:szCs w:val="21"/>
        </w:rPr>
        <w:t>2 编制主要原则</w:t>
      </w:r>
      <w:bookmarkEnd w:id="28"/>
    </w:p>
    <w:p w:rsidR="0085530A" w:rsidRPr="00220E2D" w:rsidRDefault="00760BC6" w:rsidP="002A5E83">
      <w:pPr>
        <w:pStyle w:val="a2"/>
        <w:numPr>
          <w:ilvl w:val="0"/>
          <w:numId w:val="0"/>
        </w:numPr>
        <w:wordWrap/>
        <w:spacing w:beforeLines="0" w:afterLines="0" w:line="360" w:lineRule="auto"/>
        <w:ind w:firstLineChars="200" w:firstLine="420"/>
        <w:rPr>
          <w:rFonts w:ascii="仿宋_GB2312" w:eastAsia="仿宋_GB2312"/>
          <w:szCs w:val="21"/>
        </w:rPr>
      </w:pPr>
      <w:r w:rsidRPr="00220E2D">
        <w:rPr>
          <w:rFonts w:ascii="仿宋_GB2312" w:eastAsia="仿宋_GB2312" w:hint="eastAsia"/>
          <w:szCs w:val="21"/>
        </w:rPr>
        <w:t>2.1 标准格式</w:t>
      </w:r>
    </w:p>
    <w:p w:rsidR="0085530A" w:rsidRPr="00220E2D" w:rsidRDefault="00760BC6" w:rsidP="002A5E83">
      <w:pPr>
        <w:pStyle w:val="ab"/>
        <w:spacing w:line="360" w:lineRule="auto"/>
        <w:rPr>
          <w:rFonts w:ascii="仿宋_GB2312" w:eastAsia="仿宋_GB2312"/>
          <w:szCs w:val="21"/>
        </w:rPr>
      </w:pPr>
      <w:r w:rsidRPr="00220E2D">
        <w:rPr>
          <w:rFonts w:ascii="仿宋_GB2312" w:eastAsia="仿宋_GB2312" w:hint="eastAsia"/>
          <w:szCs w:val="21"/>
        </w:rPr>
        <w:t>本标准的格式是根据GB/T 1.1—2020《标准化工作导则 第1部分：标准化文件的结构和起草规则》，并参考《西安热工研究院有限公司企业标准编制规范》而制定。</w:t>
      </w:r>
    </w:p>
    <w:p w:rsidR="0085530A" w:rsidRPr="00220E2D" w:rsidRDefault="00760BC6" w:rsidP="002A5E83">
      <w:pPr>
        <w:pStyle w:val="a2"/>
        <w:numPr>
          <w:ilvl w:val="0"/>
          <w:numId w:val="0"/>
        </w:numPr>
        <w:wordWrap/>
        <w:spacing w:beforeLines="0" w:afterLines="0" w:line="360" w:lineRule="auto"/>
        <w:ind w:firstLineChars="200" w:firstLine="420"/>
        <w:rPr>
          <w:rFonts w:ascii="仿宋_GB2312" w:eastAsia="仿宋_GB2312"/>
          <w:szCs w:val="21"/>
        </w:rPr>
      </w:pPr>
      <w:r w:rsidRPr="00220E2D">
        <w:rPr>
          <w:rFonts w:ascii="仿宋_GB2312" w:eastAsia="仿宋_GB2312" w:hint="eastAsia"/>
          <w:szCs w:val="21"/>
        </w:rPr>
        <w:t>2.2 标准范围</w:t>
      </w:r>
    </w:p>
    <w:p w:rsidR="00612564" w:rsidRPr="00220E2D" w:rsidRDefault="00612564" w:rsidP="002A5E83">
      <w:pPr>
        <w:pStyle w:val="af7"/>
        <w:spacing w:line="360" w:lineRule="auto"/>
        <w:ind w:left="0" w:firstLineChars="200" w:firstLine="440"/>
        <w:rPr>
          <w:rFonts w:ascii="仿宋_GB2312" w:eastAsia="仿宋_GB2312"/>
          <w:color w:val="383838"/>
          <w:w w:val="105"/>
        </w:rPr>
      </w:pPr>
      <w:r w:rsidRPr="00220E2D">
        <w:rPr>
          <w:rFonts w:ascii="仿宋_GB2312" w:eastAsia="仿宋_GB2312" w:hint="eastAsia"/>
          <w:color w:val="383838"/>
          <w:w w:val="105"/>
        </w:rPr>
        <w:t>本文件规定了集中式地面光</w:t>
      </w:r>
      <w:proofErr w:type="gramStart"/>
      <w:r w:rsidRPr="00220E2D">
        <w:rPr>
          <w:rFonts w:ascii="仿宋_GB2312" w:eastAsia="仿宋_GB2312" w:hint="eastAsia"/>
          <w:color w:val="383838"/>
          <w:w w:val="105"/>
        </w:rPr>
        <w:t>伏</w:t>
      </w:r>
      <w:proofErr w:type="gramEnd"/>
      <w:r w:rsidRPr="00220E2D">
        <w:rPr>
          <w:rFonts w:ascii="仿宋_GB2312" w:eastAsia="仿宋_GB2312" w:hint="eastAsia"/>
          <w:color w:val="383838"/>
          <w:w w:val="105"/>
        </w:rPr>
        <w:t>发电站安全后评价工作规范。</w:t>
      </w:r>
    </w:p>
    <w:p w:rsidR="0085530A" w:rsidRPr="00220E2D" w:rsidRDefault="00612564" w:rsidP="002A5E83">
      <w:pPr>
        <w:pStyle w:val="ab"/>
        <w:spacing w:line="360" w:lineRule="auto"/>
        <w:ind w:firstLine="440"/>
        <w:rPr>
          <w:rFonts w:ascii="仿宋_GB2312" w:eastAsia="仿宋_GB2312"/>
          <w:szCs w:val="21"/>
        </w:rPr>
      </w:pPr>
      <w:r w:rsidRPr="00220E2D">
        <w:rPr>
          <w:rFonts w:ascii="仿宋_GB2312" w:eastAsia="仿宋_GB2312" w:hint="eastAsia"/>
          <w:color w:val="383838"/>
          <w:w w:val="105"/>
          <w:szCs w:val="21"/>
        </w:rPr>
        <w:t>本文件适用于新建、改建、扩建的并网的集中式地面光</w:t>
      </w:r>
      <w:proofErr w:type="gramStart"/>
      <w:r w:rsidRPr="00220E2D">
        <w:rPr>
          <w:rFonts w:ascii="仿宋_GB2312" w:eastAsia="仿宋_GB2312" w:hint="eastAsia"/>
          <w:color w:val="383838"/>
          <w:w w:val="105"/>
          <w:szCs w:val="21"/>
        </w:rPr>
        <w:t>伏</w:t>
      </w:r>
      <w:proofErr w:type="gramEnd"/>
      <w:r w:rsidRPr="00220E2D">
        <w:rPr>
          <w:rFonts w:ascii="仿宋_GB2312" w:eastAsia="仿宋_GB2312" w:hint="eastAsia"/>
          <w:color w:val="383838"/>
          <w:w w:val="105"/>
          <w:szCs w:val="21"/>
        </w:rPr>
        <w:t>发电站安全后评价工作。</w:t>
      </w:r>
    </w:p>
    <w:p w:rsidR="0085530A" w:rsidRPr="00220E2D" w:rsidRDefault="00760BC6" w:rsidP="002A5E83">
      <w:pPr>
        <w:pStyle w:val="ab"/>
        <w:spacing w:line="360" w:lineRule="auto"/>
        <w:rPr>
          <w:rFonts w:ascii="仿宋_GB2312" w:eastAsia="仿宋_GB2312"/>
          <w:szCs w:val="21"/>
        </w:rPr>
      </w:pPr>
      <w:r w:rsidRPr="00220E2D">
        <w:rPr>
          <w:rFonts w:ascii="仿宋_GB2312" w:eastAsia="仿宋_GB2312" w:hint="eastAsia"/>
          <w:szCs w:val="21"/>
        </w:rPr>
        <w:t>本文件由中国电机工程学会提出。本文件由中国电机工程学会</w:t>
      </w:r>
      <w:r w:rsidR="00612564" w:rsidRPr="00220E2D">
        <w:rPr>
          <w:rFonts w:ascii="仿宋_GB2312" w:eastAsia="仿宋_GB2312" w:hint="eastAsia"/>
          <w:szCs w:val="21"/>
        </w:rPr>
        <w:t>安全</w:t>
      </w:r>
      <w:r w:rsidRPr="00220E2D">
        <w:rPr>
          <w:rFonts w:ascii="仿宋_GB2312" w:eastAsia="仿宋_GB2312" w:hint="eastAsia"/>
          <w:szCs w:val="21"/>
        </w:rPr>
        <w:t>技术专业委员会技术归口并解释。</w:t>
      </w:r>
    </w:p>
    <w:p w:rsidR="0085530A" w:rsidRPr="00220E2D" w:rsidRDefault="00760BC6" w:rsidP="002A5E83">
      <w:pPr>
        <w:pStyle w:val="11"/>
        <w:spacing w:beforeLines="0" w:afterLines="0" w:line="360" w:lineRule="auto"/>
        <w:ind w:firstLineChars="200" w:firstLine="420"/>
        <w:rPr>
          <w:rFonts w:ascii="仿宋_GB2312" w:eastAsia="仿宋_GB2312" w:hAnsi="宋体"/>
          <w:szCs w:val="21"/>
        </w:rPr>
      </w:pPr>
      <w:bookmarkStart w:id="29" w:name="_Toc193272555"/>
      <w:r w:rsidRPr="00220E2D">
        <w:rPr>
          <w:rFonts w:ascii="仿宋_GB2312" w:eastAsia="仿宋_GB2312" w:hAnsi="宋体" w:hint="eastAsia"/>
          <w:szCs w:val="21"/>
        </w:rPr>
        <w:lastRenderedPageBreak/>
        <w:t>3 主要工作过程</w:t>
      </w:r>
      <w:bookmarkEnd w:id="29"/>
    </w:p>
    <w:p w:rsidR="0085530A" w:rsidRPr="00220E2D" w:rsidRDefault="00760BC6" w:rsidP="002A5E83">
      <w:pPr>
        <w:pStyle w:val="ae"/>
        <w:spacing w:line="360" w:lineRule="auto"/>
        <w:rPr>
          <w:rFonts w:ascii="仿宋_GB2312" w:eastAsia="仿宋_GB2312"/>
          <w:szCs w:val="21"/>
        </w:rPr>
      </w:pPr>
      <w:r w:rsidRPr="00220E2D">
        <w:rPr>
          <w:rFonts w:ascii="仿宋_GB2312" w:eastAsia="仿宋_GB2312" w:hint="eastAsia"/>
          <w:szCs w:val="21"/>
        </w:rPr>
        <w:t>本文件《海上风电场海上升压站钢结构在役期检测》于2022年8月获得中国电机工程学会立项批准，标准编写组由西安热工研究院有限公司牵头，组织标准编写单位成员于2024年4月完成标准初稿编写工作，2024年11月完成标准内部审查及修改，现在已形成征求意见稿，申请中国电机工程学会挂网征求意见。</w:t>
      </w:r>
    </w:p>
    <w:p w:rsidR="00612564" w:rsidRPr="00220E2D" w:rsidRDefault="00760BC6" w:rsidP="002A5E83">
      <w:pPr>
        <w:pStyle w:val="11"/>
        <w:spacing w:beforeLines="0" w:afterLines="0" w:line="360" w:lineRule="auto"/>
        <w:ind w:firstLineChars="200" w:firstLine="420"/>
        <w:rPr>
          <w:rFonts w:ascii="仿宋_GB2312" w:eastAsia="仿宋_GB2312"/>
          <w:szCs w:val="21"/>
        </w:rPr>
      </w:pPr>
      <w:bookmarkStart w:id="30" w:name="_Toc193272556"/>
      <w:r w:rsidRPr="00220E2D">
        <w:rPr>
          <w:rFonts w:ascii="仿宋_GB2312" w:eastAsia="仿宋_GB2312" w:hAnsi="宋体" w:hint="eastAsia"/>
          <w:szCs w:val="21"/>
        </w:rPr>
        <w:t>4</w:t>
      </w:r>
      <w:r w:rsidRPr="00220E2D">
        <w:rPr>
          <w:rFonts w:ascii="仿宋_GB2312" w:eastAsia="仿宋_GB2312" w:hint="eastAsia"/>
          <w:szCs w:val="21"/>
        </w:rPr>
        <w:t xml:space="preserve"> 标准结构和内容说明</w:t>
      </w:r>
      <w:bookmarkEnd w:id="30"/>
    </w:p>
    <w:p w:rsidR="00612564" w:rsidRPr="00220E2D" w:rsidRDefault="00612564" w:rsidP="002A5E83">
      <w:pPr>
        <w:pStyle w:val="2"/>
        <w:numPr>
          <w:ilvl w:val="0"/>
          <w:numId w:val="4"/>
        </w:numPr>
        <w:spacing w:before="0" w:after="0" w:line="360" w:lineRule="auto"/>
        <w:ind w:firstLineChars="200" w:firstLine="420"/>
        <w:rPr>
          <w:rFonts w:ascii="仿宋_GB2312" w:eastAsia="仿宋_GB2312"/>
          <w:b w:val="0"/>
          <w:sz w:val="21"/>
          <w:szCs w:val="21"/>
        </w:rPr>
      </w:pPr>
      <w:bookmarkStart w:id="31" w:name="_Toc100838960"/>
      <w:r w:rsidRPr="00220E2D">
        <w:rPr>
          <w:rFonts w:ascii="仿宋_GB2312" w:eastAsia="仿宋_GB2312" w:hint="eastAsia"/>
          <w:b w:val="0"/>
          <w:sz w:val="21"/>
          <w:szCs w:val="21"/>
        </w:rPr>
        <w:t>前期准备</w:t>
      </w:r>
      <w:bookmarkEnd w:id="31"/>
    </w:p>
    <w:p w:rsidR="00612564" w:rsidRPr="00220E2D" w:rsidRDefault="00872472" w:rsidP="002A5E83">
      <w:pPr>
        <w:pStyle w:val="af7"/>
        <w:spacing w:line="360" w:lineRule="auto"/>
        <w:ind w:left="0" w:firstLineChars="200" w:firstLine="440"/>
        <w:rPr>
          <w:rFonts w:ascii="仿宋_GB2312" w:eastAsia="仿宋_GB2312"/>
          <w:color w:val="383838"/>
          <w:w w:val="105"/>
        </w:rPr>
      </w:pPr>
      <w:r w:rsidRPr="00220E2D">
        <w:rPr>
          <w:rFonts w:ascii="仿宋_GB2312" w:eastAsia="仿宋_GB2312" w:hint="eastAsia"/>
          <w:color w:val="383838"/>
          <w:w w:val="105"/>
        </w:rPr>
        <w:t>本章节提出了</w:t>
      </w:r>
      <w:r w:rsidRPr="00220E2D">
        <w:rPr>
          <w:rFonts w:ascii="仿宋_GB2312" w:eastAsia="仿宋_GB2312" w:hint="eastAsia"/>
        </w:rPr>
        <w:t>光伏发电站安全后评价工作的前期准备，包括</w:t>
      </w:r>
      <w:r w:rsidR="00612564" w:rsidRPr="00220E2D">
        <w:rPr>
          <w:rFonts w:ascii="仿宋_GB2312" w:eastAsia="仿宋_GB2312" w:hint="eastAsia"/>
          <w:color w:val="383838"/>
          <w:w w:val="105"/>
        </w:rPr>
        <w:t>明确集中式地面光</w:t>
      </w:r>
      <w:proofErr w:type="gramStart"/>
      <w:r w:rsidR="00612564" w:rsidRPr="00220E2D">
        <w:rPr>
          <w:rFonts w:ascii="仿宋_GB2312" w:eastAsia="仿宋_GB2312" w:hint="eastAsia"/>
          <w:color w:val="383838"/>
          <w:w w:val="105"/>
        </w:rPr>
        <w:t>伏</w:t>
      </w:r>
      <w:proofErr w:type="gramEnd"/>
      <w:r w:rsidR="00612564" w:rsidRPr="00220E2D">
        <w:rPr>
          <w:rFonts w:ascii="仿宋_GB2312" w:eastAsia="仿宋_GB2312" w:hint="eastAsia"/>
          <w:color w:val="383838"/>
          <w:w w:val="105"/>
        </w:rPr>
        <w:t>发电站安全后评价对象和评价范围，组建评价工作项目组，并编制安全后评价工作计划</w:t>
      </w:r>
      <w:r w:rsidRPr="00220E2D">
        <w:rPr>
          <w:rFonts w:ascii="仿宋_GB2312" w:eastAsia="仿宋_GB2312" w:hint="eastAsia"/>
          <w:color w:val="383838"/>
          <w:w w:val="105"/>
        </w:rPr>
        <w:t>等</w:t>
      </w:r>
      <w:r w:rsidR="00612564" w:rsidRPr="00220E2D">
        <w:rPr>
          <w:rFonts w:ascii="仿宋_GB2312" w:eastAsia="仿宋_GB2312" w:hint="eastAsia"/>
          <w:color w:val="383838"/>
          <w:w w:val="105"/>
        </w:rPr>
        <w:t>。</w:t>
      </w:r>
    </w:p>
    <w:p w:rsidR="00612564" w:rsidRPr="00220E2D" w:rsidRDefault="00612564" w:rsidP="002A5E83">
      <w:pPr>
        <w:pStyle w:val="2"/>
        <w:numPr>
          <w:ilvl w:val="0"/>
          <w:numId w:val="4"/>
        </w:numPr>
        <w:spacing w:before="0" w:after="0" w:line="360" w:lineRule="auto"/>
        <w:ind w:firstLineChars="200" w:firstLine="420"/>
        <w:rPr>
          <w:rFonts w:ascii="仿宋_GB2312" w:eastAsia="仿宋_GB2312"/>
          <w:b w:val="0"/>
          <w:sz w:val="21"/>
          <w:szCs w:val="21"/>
        </w:rPr>
      </w:pPr>
      <w:bookmarkStart w:id="32" w:name="_Toc100838961"/>
      <w:r w:rsidRPr="00220E2D">
        <w:rPr>
          <w:rFonts w:ascii="仿宋_GB2312" w:eastAsia="仿宋_GB2312" w:hint="eastAsia"/>
          <w:b w:val="0"/>
          <w:sz w:val="21"/>
          <w:szCs w:val="21"/>
        </w:rPr>
        <w:t>现场调查</w:t>
      </w:r>
      <w:bookmarkEnd w:id="32"/>
    </w:p>
    <w:p w:rsidR="00612564" w:rsidRPr="00220E2D" w:rsidRDefault="00872472" w:rsidP="002A5E83">
      <w:pPr>
        <w:pStyle w:val="ab"/>
        <w:spacing w:line="360" w:lineRule="auto"/>
        <w:ind w:firstLine="440"/>
        <w:rPr>
          <w:rFonts w:ascii="仿宋_GB2312" w:eastAsia="仿宋_GB2312"/>
          <w:color w:val="383838"/>
          <w:w w:val="105"/>
          <w:szCs w:val="21"/>
        </w:rPr>
      </w:pPr>
      <w:r w:rsidRPr="00220E2D">
        <w:rPr>
          <w:rFonts w:ascii="仿宋_GB2312" w:eastAsia="仿宋_GB2312" w:hint="eastAsia"/>
          <w:color w:val="383838"/>
          <w:w w:val="105"/>
          <w:szCs w:val="21"/>
        </w:rPr>
        <w:t>本章节提出了</w:t>
      </w:r>
      <w:r w:rsidRPr="00220E2D">
        <w:rPr>
          <w:rFonts w:ascii="仿宋_GB2312" w:eastAsia="仿宋_GB2312" w:hint="eastAsia"/>
          <w:szCs w:val="21"/>
        </w:rPr>
        <w:t>光伏发电站安全后评价工作的现场调查，包括</w:t>
      </w:r>
      <w:r w:rsidR="00612564" w:rsidRPr="00220E2D">
        <w:rPr>
          <w:rFonts w:ascii="仿宋_GB2312" w:eastAsia="仿宋_GB2312" w:hint="eastAsia"/>
          <w:color w:val="383838"/>
          <w:w w:val="105"/>
          <w:szCs w:val="21"/>
        </w:rPr>
        <w:t>应对集中式地面光</w:t>
      </w:r>
      <w:proofErr w:type="gramStart"/>
      <w:r w:rsidR="00612564" w:rsidRPr="00220E2D">
        <w:rPr>
          <w:rFonts w:ascii="仿宋_GB2312" w:eastAsia="仿宋_GB2312" w:hint="eastAsia"/>
          <w:color w:val="383838"/>
          <w:w w:val="105"/>
          <w:szCs w:val="21"/>
        </w:rPr>
        <w:t>伏</w:t>
      </w:r>
      <w:proofErr w:type="gramEnd"/>
      <w:r w:rsidR="00612564" w:rsidRPr="00220E2D">
        <w:rPr>
          <w:rFonts w:ascii="仿宋_GB2312" w:eastAsia="仿宋_GB2312" w:hint="eastAsia"/>
          <w:color w:val="383838"/>
          <w:w w:val="105"/>
          <w:szCs w:val="21"/>
        </w:rPr>
        <w:t>发电站总平面布置及周边环境、安全设施及</w:t>
      </w:r>
      <w:proofErr w:type="gramStart"/>
      <w:r w:rsidR="00612564" w:rsidRPr="00220E2D">
        <w:rPr>
          <w:rFonts w:ascii="仿宋_GB2312" w:eastAsia="仿宋_GB2312" w:hint="eastAsia"/>
          <w:color w:val="383838"/>
          <w:w w:val="105"/>
          <w:szCs w:val="21"/>
        </w:rPr>
        <w:t>及</w:t>
      </w:r>
      <w:proofErr w:type="gramEnd"/>
      <w:r w:rsidR="00612564" w:rsidRPr="00220E2D">
        <w:rPr>
          <w:rFonts w:ascii="仿宋_GB2312" w:eastAsia="仿宋_GB2312" w:hint="eastAsia"/>
          <w:color w:val="383838"/>
          <w:w w:val="105"/>
          <w:szCs w:val="21"/>
        </w:rPr>
        <w:t>技术措施，安全管理的实施情况及效果进行实地调查。宜根据光伏发电站的实际进行类比工程调研，并对获取的工程相关资料的可靠性、充分性、适用性进行分析。</w:t>
      </w:r>
    </w:p>
    <w:p w:rsidR="00612564" w:rsidRPr="00220E2D" w:rsidRDefault="00612564" w:rsidP="002A5E83">
      <w:pPr>
        <w:pStyle w:val="2"/>
        <w:numPr>
          <w:ilvl w:val="0"/>
          <w:numId w:val="4"/>
        </w:numPr>
        <w:spacing w:before="0" w:after="0" w:line="360" w:lineRule="auto"/>
        <w:ind w:firstLineChars="200" w:firstLine="420"/>
        <w:rPr>
          <w:rFonts w:ascii="仿宋_GB2312" w:eastAsia="仿宋_GB2312"/>
          <w:b w:val="0"/>
          <w:sz w:val="21"/>
          <w:szCs w:val="21"/>
        </w:rPr>
      </w:pPr>
      <w:bookmarkStart w:id="33" w:name="_Toc100838962"/>
      <w:r w:rsidRPr="00220E2D">
        <w:rPr>
          <w:rFonts w:ascii="仿宋_GB2312" w:eastAsia="仿宋_GB2312" w:hint="eastAsia"/>
          <w:b w:val="0"/>
          <w:sz w:val="21"/>
          <w:szCs w:val="21"/>
        </w:rPr>
        <w:t>辨识与分析危险、有害因素及重大危险源</w:t>
      </w:r>
      <w:bookmarkEnd w:id="33"/>
    </w:p>
    <w:p w:rsidR="00612564" w:rsidRPr="00220E2D" w:rsidRDefault="00872472" w:rsidP="002A5E83">
      <w:pPr>
        <w:pStyle w:val="af7"/>
        <w:spacing w:line="360" w:lineRule="auto"/>
        <w:ind w:left="0" w:firstLineChars="200" w:firstLine="440"/>
        <w:rPr>
          <w:rFonts w:ascii="仿宋_GB2312" w:eastAsia="仿宋_GB2312"/>
          <w:color w:val="383838"/>
          <w:w w:val="105"/>
        </w:rPr>
      </w:pPr>
      <w:r w:rsidRPr="00220E2D">
        <w:rPr>
          <w:rFonts w:ascii="仿宋_GB2312" w:eastAsia="仿宋_GB2312" w:hint="eastAsia"/>
          <w:color w:val="383838"/>
          <w:w w:val="105"/>
        </w:rPr>
        <w:t>本章节提出了</w:t>
      </w:r>
      <w:r w:rsidRPr="00220E2D">
        <w:rPr>
          <w:rFonts w:ascii="仿宋_GB2312" w:eastAsia="仿宋_GB2312" w:hint="eastAsia"/>
        </w:rPr>
        <w:t>光伏发电站安全后评价工作中的</w:t>
      </w:r>
      <w:r w:rsidR="00612564" w:rsidRPr="00220E2D">
        <w:rPr>
          <w:rFonts w:ascii="仿宋_GB2312" w:eastAsia="仿宋_GB2312" w:hint="eastAsia"/>
          <w:color w:val="383838"/>
          <w:w w:val="105"/>
        </w:rPr>
        <w:t>，对生产过程中在人、物、环境、管理等方面固有或潜在的危险、有害因素进行辨识和分析，确定主要危险、有害因素存在部位、方式，以及发生作用的途径和变化规律。应对生产过程中所涉及的危险物料和装置进行辨识与分析，明确生产过程中是否存在重大危险源。重大危险源的辨识与分析应符合国家有关标准的规定。</w:t>
      </w:r>
    </w:p>
    <w:p w:rsidR="00612564" w:rsidRPr="00220E2D" w:rsidRDefault="00612564" w:rsidP="002A5E83">
      <w:pPr>
        <w:pStyle w:val="2"/>
        <w:numPr>
          <w:ilvl w:val="0"/>
          <w:numId w:val="4"/>
        </w:numPr>
        <w:spacing w:before="0" w:after="0" w:line="360" w:lineRule="auto"/>
        <w:ind w:firstLineChars="200" w:firstLine="420"/>
        <w:rPr>
          <w:rFonts w:ascii="仿宋_GB2312" w:eastAsia="仿宋_GB2312"/>
          <w:b w:val="0"/>
          <w:sz w:val="21"/>
          <w:szCs w:val="21"/>
        </w:rPr>
      </w:pPr>
      <w:bookmarkStart w:id="34" w:name="_Toc100838963"/>
      <w:r w:rsidRPr="00220E2D">
        <w:rPr>
          <w:rFonts w:ascii="仿宋_GB2312" w:eastAsia="仿宋_GB2312" w:hint="eastAsia"/>
          <w:b w:val="0"/>
          <w:sz w:val="21"/>
          <w:szCs w:val="21"/>
        </w:rPr>
        <w:t>划分评价单元</w:t>
      </w:r>
      <w:bookmarkEnd w:id="34"/>
    </w:p>
    <w:p w:rsidR="00612564" w:rsidRPr="00220E2D" w:rsidRDefault="006A4DFE" w:rsidP="00CB0E9D">
      <w:pPr>
        <w:pStyle w:val="af7"/>
        <w:spacing w:line="360" w:lineRule="auto"/>
        <w:ind w:left="0" w:firstLineChars="200" w:firstLine="440"/>
        <w:rPr>
          <w:rFonts w:ascii="仿宋_GB2312" w:eastAsia="仿宋_GB2312"/>
          <w:color w:val="383838"/>
          <w:w w:val="105"/>
        </w:rPr>
      </w:pPr>
      <w:r w:rsidRPr="00220E2D">
        <w:rPr>
          <w:rFonts w:ascii="仿宋_GB2312" w:eastAsia="仿宋_GB2312" w:hint="eastAsia"/>
          <w:color w:val="383838"/>
          <w:w w:val="105"/>
        </w:rPr>
        <w:t>本章节提出了</w:t>
      </w:r>
      <w:r w:rsidRPr="00220E2D">
        <w:rPr>
          <w:rFonts w:ascii="仿宋_GB2312" w:eastAsia="仿宋_GB2312" w:hint="eastAsia"/>
        </w:rPr>
        <w:t>光伏发电站安全后评价工作</w:t>
      </w:r>
      <w:r w:rsidR="00612564" w:rsidRPr="00220E2D">
        <w:rPr>
          <w:rFonts w:ascii="仿宋_GB2312" w:eastAsia="仿宋_GB2312" w:hint="eastAsia"/>
          <w:color w:val="383838"/>
          <w:w w:val="105"/>
        </w:rPr>
        <w:t>应根据工程特点及工艺流程，合理划分安全评价单元。评价单元应相对独立，具有明显的特征界限。</w:t>
      </w:r>
    </w:p>
    <w:p w:rsidR="00612564" w:rsidRPr="00220E2D" w:rsidRDefault="00612564" w:rsidP="002A5E83">
      <w:pPr>
        <w:pStyle w:val="2"/>
        <w:numPr>
          <w:ilvl w:val="0"/>
          <w:numId w:val="4"/>
        </w:numPr>
        <w:spacing w:before="0" w:after="0" w:line="360" w:lineRule="auto"/>
        <w:ind w:firstLineChars="200" w:firstLine="420"/>
        <w:rPr>
          <w:rFonts w:ascii="仿宋_GB2312" w:eastAsia="仿宋_GB2312"/>
          <w:b w:val="0"/>
          <w:sz w:val="21"/>
          <w:szCs w:val="21"/>
        </w:rPr>
      </w:pPr>
      <w:bookmarkStart w:id="35" w:name="_Toc100838964"/>
      <w:r w:rsidRPr="00220E2D">
        <w:rPr>
          <w:rFonts w:ascii="仿宋_GB2312" w:eastAsia="仿宋_GB2312" w:hint="eastAsia"/>
          <w:b w:val="0"/>
          <w:sz w:val="21"/>
          <w:szCs w:val="21"/>
        </w:rPr>
        <w:t>选择评价方法</w:t>
      </w:r>
      <w:bookmarkEnd w:id="35"/>
    </w:p>
    <w:p w:rsidR="00612564" w:rsidRPr="00220E2D" w:rsidRDefault="006A4DFE" w:rsidP="002A5E83">
      <w:pPr>
        <w:pStyle w:val="af7"/>
        <w:spacing w:line="360" w:lineRule="auto"/>
        <w:ind w:left="0" w:firstLineChars="200" w:firstLine="440"/>
        <w:rPr>
          <w:rFonts w:ascii="仿宋_GB2312" w:eastAsia="仿宋_GB2312"/>
          <w:color w:val="383838"/>
          <w:w w:val="105"/>
        </w:rPr>
      </w:pPr>
      <w:r w:rsidRPr="00220E2D">
        <w:rPr>
          <w:rFonts w:ascii="仿宋_GB2312" w:eastAsia="仿宋_GB2312" w:hint="eastAsia"/>
          <w:color w:val="383838"/>
          <w:w w:val="105"/>
        </w:rPr>
        <w:t>本章节提出了</w:t>
      </w:r>
      <w:r w:rsidRPr="00220E2D">
        <w:rPr>
          <w:rFonts w:ascii="仿宋_GB2312" w:eastAsia="仿宋_GB2312" w:hint="eastAsia"/>
        </w:rPr>
        <w:t>光伏发电站安全后评价工作的</w:t>
      </w:r>
      <w:r w:rsidR="00612564" w:rsidRPr="00220E2D">
        <w:rPr>
          <w:rFonts w:ascii="仿宋_GB2312" w:eastAsia="仿宋_GB2312" w:hint="eastAsia"/>
          <w:color w:val="383838"/>
          <w:w w:val="105"/>
        </w:rPr>
        <w:t>应根据评价的目的、要求和光伏发电站特点，选择科学、合理、适用的安全评价方法，并阐述选定此方法的原因。对于不同的评价单元，可根据评价的需要和单元特征选择不同的评价方法。</w:t>
      </w:r>
    </w:p>
    <w:p w:rsidR="00612564" w:rsidRPr="00220E2D" w:rsidRDefault="00612564" w:rsidP="002A5E83">
      <w:pPr>
        <w:pStyle w:val="2"/>
        <w:numPr>
          <w:ilvl w:val="0"/>
          <w:numId w:val="4"/>
        </w:numPr>
        <w:spacing w:before="0" w:after="0" w:line="360" w:lineRule="auto"/>
        <w:ind w:firstLineChars="200" w:firstLine="420"/>
        <w:rPr>
          <w:rFonts w:ascii="仿宋_GB2312" w:eastAsia="仿宋_GB2312"/>
          <w:b w:val="0"/>
          <w:sz w:val="21"/>
          <w:szCs w:val="21"/>
        </w:rPr>
      </w:pPr>
      <w:bookmarkStart w:id="36" w:name="_Toc100838965"/>
      <w:r w:rsidRPr="00220E2D">
        <w:rPr>
          <w:rFonts w:ascii="仿宋_GB2312" w:eastAsia="仿宋_GB2312" w:hint="eastAsia"/>
          <w:b w:val="0"/>
          <w:sz w:val="21"/>
          <w:szCs w:val="21"/>
        </w:rPr>
        <w:lastRenderedPageBreak/>
        <w:t>定性、定量评价</w:t>
      </w:r>
      <w:bookmarkEnd w:id="36"/>
    </w:p>
    <w:p w:rsidR="00612564" w:rsidRPr="00220E2D" w:rsidRDefault="006A4DFE" w:rsidP="002A5E83">
      <w:pPr>
        <w:pStyle w:val="af7"/>
        <w:spacing w:line="360" w:lineRule="auto"/>
        <w:ind w:left="0" w:firstLineChars="200" w:firstLine="440"/>
        <w:rPr>
          <w:rFonts w:ascii="仿宋_GB2312" w:eastAsia="仿宋_GB2312"/>
          <w:color w:val="383838"/>
          <w:w w:val="105"/>
        </w:rPr>
      </w:pPr>
      <w:r w:rsidRPr="00220E2D">
        <w:rPr>
          <w:rFonts w:ascii="仿宋_GB2312" w:eastAsia="仿宋_GB2312" w:hint="eastAsia"/>
          <w:color w:val="383838"/>
          <w:w w:val="105"/>
        </w:rPr>
        <w:t>本章节提出了</w:t>
      </w:r>
      <w:r w:rsidRPr="00220E2D">
        <w:rPr>
          <w:rFonts w:ascii="仿宋_GB2312" w:eastAsia="仿宋_GB2312" w:hint="eastAsia"/>
        </w:rPr>
        <w:t>光伏发电站安全后评价工作</w:t>
      </w:r>
      <w:r w:rsidR="00612564" w:rsidRPr="00220E2D">
        <w:rPr>
          <w:rFonts w:ascii="仿宋_GB2312" w:eastAsia="仿宋_GB2312" w:hint="eastAsia"/>
          <w:color w:val="383838"/>
          <w:w w:val="105"/>
        </w:rPr>
        <w:t>应对各评价单元存在的危险、有害因素导致事故发生的可能性及其严重程度进行</w:t>
      </w:r>
      <w:r w:rsidRPr="00220E2D">
        <w:rPr>
          <w:rFonts w:ascii="仿宋_GB2312" w:eastAsia="仿宋_GB2312" w:hint="eastAsia"/>
          <w:color w:val="383838"/>
          <w:w w:val="105"/>
        </w:rPr>
        <w:t>适当的定性、定量</w:t>
      </w:r>
      <w:r w:rsidR="00612564" w:rsidRPr="00220E2D">
        <w:rPr>
          <w:rFonts w:ascii="仿宋_GB2312" w:eastAsia="仿宋_GB2312" w:hint="eastAsia"/>
          <w:color w:val="383838"/>
          <w:w w:val="105"/>
        </w:rPr>
        <w:t>评价。</w:t>
      </w:r>
    </w:p>
    <w:p w:rsidR="00612564" w:rsidRPr="00220E2D" w:rsidRDefault="00612564" w:rsidP="002A5E83">
      <w:pPr>
        <w:pStyle w:val="2"/>
        <w:numPr>
          <w:ilvl w:val="0"/>
          <w:numId w:val="4"/>
        </w:numPr>
        <w:spacing w:before="0" w:after="0" w:line="360" w:lineRule="auto"/>
        <w:ind w:firstLineChars="200" w:firstLine="420"/>
        <w:rPr>
          <w:rFonts w:ascii="仿宋_GB2312" w:eastAsia="仿宋_GB2312"/>
          <w:b w:val="0"/>
          <w:sz w:val="21"/>
          <w:szCs w:val="21"/>
        </w:rPr>
      </w:pPr>
      <w:bookmarkStart w:id="37" w:name="_Toc100838966"/>
      <w:r w:rsidRPr="00220E2D">
        <w:rPr>
          <w:rFonts w:ascii="仿宋_GB2312" w:eastAsia="仿宋_GB2312" w:hint="eastAsia"/>
          <w:b w:val="0"/>
          <w:sz w:val="21"/>
          <w:szCs w:val="21"/>
        </w:rPr>
        <w:t>提出安全对策措施建议</w:t>
      </w:r>
      <w:bookmarkEnd w:id="37"/>
    </w:p>
    <w:p w:rsidR="00612564" w:rsidRPr="00220E2D" w:rsidRDefault="006A4DFE" w:rsidP="002A5E83">
      <w:pPr>
        <w:pStyle w:val="af7"/>
        <w:spacing w:line="360" w:lineRule="auto"/>
        <w:ind w:left="0" w:firstLineChars="200" w:firstLine="440"/>
        <w:rPr>
          <w:rFonts w:ascii="仿宋_GB2312" w:eastAsia="仿宋_GB2312"/>
          <w:color w:val="383838"/>
          <w:w w:val="105"/>
        </w:rPr>
      </w:pPr>
      <w:r w:rsidRPr="00220E2D">
        <w:rPr>
          <w:rFonts w:ascii="仿宋_GB2312" w:eastAsia="仿宋_GB2312" w:hint="eastAsia"/>
          <w:color w:val="383838"/>
          <w:w w:val="105"/>
        </w:rPr>
        <w:t>本章节提出了</w:t>
      </w:r>
      <w:r w:rsidRPr="00220E2D">
        <w:rPr>
          <w:rFonts w:ascii="仿宋_GB2312" w:eastAsia="仿宋_GB2312" w:hint="eastAsia"/>
        </w:rPr>
        <w:t>光伏发电站安全后评价工作</w:t>
      </w:r>
      <w:r w:rsidR="00612564" w:rsidRPr="00220E2D">
        <w:rPr>
          <w:rFonts w:ascii="仿宋_GB2312" w:eastAsia="仿宋_GB2312" w:hint="eastAsia"/>
          <w:color w:val="383838"/>
          <w:w w:val="105"/>
        </w:rPr>
        <w:t>应依据危险、有害因素辨识结果与定性、定量评价结果，遵循针对性、技术可行性、经济合理性的原则，提出消除或减弱危险、有害因素的技术和管理对策措施建议。对策措施建议应具体详实、具有可操作性。按照针对性和重要性的不同， 措施和建议可分为应采纳和</w:t>
      </w:r>
      <w:proofErr w:type="gramStart"/>
      <w:r w:rsidR="00612564" w:rsidRPr="00220E2D">
        <w:rPr>
          <w:rFonts w:ascii="仿宋_GB2312" w:eastAsia="仿宋_GB2312" w:hint="eastAsia"/>
          <w:color w:val="383838"/>
          <w:w w:val="105"/>
        </w:rPr>
        <w:t>宜采纳</w:t>
      </w:r>
      <w:proofErr w:type="gramEnd"/>
      <w:r w:rsidR="00612564" w:rsidRPr="00220E2D">
        <w:rPr>
          <w:rFonts w:ascii="仿宋_GB2312" w:eastAsia="仿宋_GB2312" w:hint="eastAsia"/>
          <w:color w:val="383838"/>
          <w:w w:val="105"/>
        </w:rPr>
        <w:t>两种类型。应根据危险、有害因素的分析评价结果，提出需编制的应急预案项目要求。</w:t>
      </w:r>
    </w:p>
    <w:p w:rsidR="00612564" w:rsidRPr="00220E2D" w:rsidRDefault="00612564" w:rsidP="002A5E83">
      <w:pPr>
        <w:pStyle w:val="2"/>
        <w:numPr>
          <w:ilvl w:val="0"/>
          <w:numId w:val="4"/>
        </w:numPr>
        <w:spacing w:before="0" w:after="0" w:line="360" w:lineRule="auto"/>
        <w:ind w:firstLineChars="200" w:firstLine="420"/>
        <w:rPr>
          <w:rFonts w:ascii="仿宋_GB2312" w:eastAsia="仿宋_GB2312"/>
          <w:b w:val="0"/>
          <w:sz w:val="21"/>
          <w:szCs w:val="21"/>
        </w:rPr>
      </w:pPr>
      <w:bookmarkStart w:id="38" w:name="_Toc100838967"/>
      <w:r w:rsidRPr="00220E2D">
        <w:rPr>
          <w:rFonts w:ascii="仿宋_GB2312" w:eastAsia="仿宋_GB2312" w:hint="eastAsia"/>
          <w:b w:val="0"/>
          <w:sz w:val="21"/>
          <w:szCs w:val="21"/>
        </w:rPr>
        <w:t>提出安全后评价结论</w:t>
      </w:r>
      <w:bookmarkEnd w:id="38"/>
    </w:p>
    <w:p w:rsidR="00612564" w:rsidRPr="00220E2D" w:rsidRDefault="006A4DFE" w:rsidP="00CB0E9D">
      <w:pPr>
        <w:pStyle w:val="af7"/>
        <w:spacing w:line="360" w:lineRule="auto"/>
        <w:ind w:left="0" w:firstLineChars="200" w:firstLine="440"/>
        <w:rPr>
          <w:rFonts w:ascii="仿宋_GB2312" w:eastAsia="仿宋_GB2312"/>
        </w:rPr>
      </w:pPr>
      <w:r w:rsidRPr="00220E2D">
        <w:rPr>
          <w:rFonts w:ascii="仿宋_GB2312" w:eastAsia="仿宋_GB2312" w:hint="eastAsia"/>
          <w:color w:val="383838"/>
          <w:w w:val="105"/>
        </w:rPr>
        <w:t>本章节提出了</w:t>
      </w:r>
      <w:r w:rsidRPr="00220E2D">
        <w:rPr>
          <w:rFonts w:ascii="仿宋_GB2312" w:eastAsia="仿宋_GB2312" w:hint="eastAsia"/>
        </w:rPr>
        <w:t>光伏发电站安全后评价工作的</w:t>
      </w:r>
      <w:r w:rsidR="00612564" w:rsidRPr="00220E2D">
        <w:rPr>
          <w:rFonts w:ascii="仿宋_GB2312" w:eastAsia="仿宋_GB2312" w:hint="eastAsia"/>
          <w:color w:val="383838"/>
          <w:w w:val="105"/>
        </w:rPr>
        <w:t>应概括后评价结果，提出光伏发电站在进行后评价时的条件下，与国家有关法律、法规、标准、规范的符合性结论。</w:t>
      </w:r>
    </w:p>
    <w:p w:rsidR="0085530A" w:rsidRPr="00220E2D" w:rsidRDefault="00760BC6" w:rsidP="002A5E83">
      <w:pPr>
        <w:pStyle w:val="11"/>
        <w:spacing w:beforeLines="0" w:afterLines="0" w:line="360" w:lineRule="auto"/>
        <w:ind w:firstLineChars="200" w:firstLine="420"/>
        <w:rPr>
          <w:rFonts w:ascii="仿宋_GB2312" w:eastAsia="仿宋_GB2312"/>
          <w:szCs w:val="21"/>
        </w:rPr>
      </w:pPr>
      <w:bookmarkStart w:id="39" w:name="_Toc193272557"/>
      <w:r w:rsidRPr="00220E2D">
        <w:rPr>
          <w:rFonts w:ascii="仿宋_GB2312" w:eastAsia="仿宋_GB2312" w:hAnsi="宋体" w:hint="eastAsia"/>
          <w:szCs w:val="21"/>
        </w:rPr>
        <w:t>5相关</w:t>
      </w:r>
      <w:r w:rsidRPr="00220E2D">
        <w:rPr>
          <w:rFonts w:ascii="仿宋_GB2312" w:eastAsia="仿宋_GB2312" w:hint="eastAsia"/>
          <w:szCs w:val="21"/>
        </w:rPr>
        <w:t>标准对比说明</w:t>
      </w:r>
      <w:bookmarkEnd w:id="39"/>
    </w:p>
    <w:p w:rsidR="0085530A" w:rsidRPr="00220E2D" w:rsidRDefault="00760BC6" w:rsidP="002A5E83">
      <w:pPr>
        <w:pStyle w:val="ae"/>
        <w:spacing w:line="360" w:lineRule="auto"/>
        <w:rPr>
          <w:rFonts w:ascii="仿宋_GB2312" w:eastAsia="仿宋_GB2312"/>
          <w:szCs w:val="21"/>
        </w:rPr>
      </w:pPr>
      <w:r w:rsidRPr="00220E2D">
        <w:rPr>
          <w:rFonts w:ascii="仿宋_GB2312" w:eastAsia="仿宋_GB2312" w:hint="eastAsia"/>
          <w:szCs w:val="21"/>
        </w:rPr>
        <w:t>目前国内外尚无</w:t>
      </w:r>
      <w:r w:rsidR="006A4DFE" w:rsidRPr="00220E2D">
        <w:rPr>
          <w:rFonts w:ascii="仿宋_GB2312" w:eastAsia="仿宋_GB2312" w:hint="eastAsia"/>
          <w:szCs w:val="21"/>
        </w:rPr>
        <w:t>光</w:t>
      </w:r>
      <w:proofErr w:type="gramStart"/>
      <w:r w:rsidR="006A4DFE" w:rsidRPr="00220E2D">
        <w:rPr>
          <w:rFonts w:ascii="仿宋_GB2312" w:eastAsia="仿宋_GB2312" w:hint="eastAsia"/>
          <w:szCs w:val="21"/>
        </w:rPr>
        <w:t>伏</w:t>
      </w:r>
      <w:proofErr w:type="gramEnd"/>
      <w:r w:rsidR="006A4DFE" w:rsidRPr="00220E2D">
        <w:rPr>
          <w:rFonts w:ascii="仿宋_GB2312" w:eastAsia="仿宋_GB2312" w:hint="eastAsia"/>
          <w:szCs w:val="21"/>
        </w:rPr>
        <w:t>发电站安全后评价规程</w:t>
      </w:r>
      <w:r w:rsidRPr="00220E2D">
        <w:rPr>
          <w:rFonts w:ascii="仿宋_GB2312" w:eastAsia="仿宋_GB2312" w:hint="eastAsia"/>
          <w:szCs w:val="21"/>
        </w:rPr>
        <w:t>。</w:t>
      </w:r>
    </w:p>
    <w:p w:rsidR="0085530A" w:rsidRPr="00220E2D" w:rsidRDefault="00760BC6" w:rsidP="002A5E83">
      <w:pPr>
        <w:pStyle w:val="11"/>
        <w:spacing w:beforeLines="0" w:afterLines="0" w:line="360" w:lineRule="auto"/>
        <w:ind w:firstLineChars="200" w:firstLine="420"/>
        <w:rPr>
          <w:rFonts w:ascii="仿宋_GB2312" w:eastAsia="仿宋_GB2312" w:hAnsi="宋体"/>
          <w:szCs w:val="21"/>
        </w:rPr>
      </w:pPr>
      <w:bookmarkStart w:id="40" w:name="_Toc193272558"/>
      <w:r w:rsidRPr="00220E2D">
        <w:rPr>
          <w:rFonts w:ascii="仿宋_GB2312" w:eastAsia="仿宋_GB2312" w:hAnsi="宋体" w:hint="eastAsia"/>
          <w:szCs w:val="21"/>
        </w:rPr>
        <w:t>6标准实施措施说明</w:t>
      </w:r>
      <w:bookmarkEnd w:id="40"/>
    </w:p>
    <w:p w:rsidR="0085530A" w:rsidRPr="00220E2D" w:rsidRDefault="00760BC6" w:rsidP="002A5E83">
      <w:pPr>
        <w:pStyle w:val="ae"/>
        <w:spacing w:line="360" w:lineRule="auto"/>
        <w:rPr>
          <w:rFonts w:ascii="仿宋_GB2312" w:eastAsia="仿宋_GB2312"/>
          <w:szCs w:val="21"/>
        </w:rPr>
      </w:pPr>
      <w:r w:rsidRPr="00220E2D">
        <w:rPr>
          <w:rFonts w:ascii="仿宋_GB2312" w:eastAsia="仿宋_GB2312" w:hint="eastAsia"/>
          <w:szCs w:val="21"/>
        </w:rPr>
        <w:t>本标准可作为</w:t>
      </w:r>
      <w:r w:rsidR="006A4DFE" w:rsidRPr="00220E2D">
        <w:rPr>
          <w:rFonts w:ascii="仿宋_GB2312" w:eastAsia="仿宋_GB2312" w:hint="eastAsia"/>
          <w:szCs w:val="21"/>
        </w:rPr>
        <w:t>光伏发电站安全后评价</w:t>
      </w:r>
      <w:r w:rsidRPr="00220E2D">
        <w:rPr>
          <w:rFonts w:ascii="仿宋_GB2312" w:eastAsia="仿宋_GB2312" w:hint="eastAsia"/>
          <w:szCs w:val="21"/>
        </w:rPr>
        <w:t>的标准实施。</w:t>
      </w:r>
    </w:p>
    <w:sectPr w:rsidR="0085530A" w:rsidRPr="00220E2D" w:rsidSect="0085530A">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BC7" w:rsidRDefault="00374BC7" w:rsidP="0085530A">
      <w:r>
        <w:separator/>
      </w:r>
    </w:p>
  </w:endnote>
  <w:endnote w:type="continuationSeparator" w:id="0">
    <w:p w:rsidR="00374BC7" w:rsidRDefault="00374BC7" w:rsidP="0085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61" w:rsidRDefault="000369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61" w:rsidRDefault="0003696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61" w:rsidRDefault="0003696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0A" w:rsidRDefault="0085530A">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0A" w:rsidRDefault="00374BC7">
    <w:pPr>
      <w:pStyle w:val="a7"/>
      <w:jc w:val="center"/>
    </w:pPr>
    <w:bookmarkStart w:id="41" w:name="_GoBack"/>
    <w:bookmarkEnd w:id="41"/>
    <w:r>
      <w:pict>
        <v:shapetype id="_x0000_t202" coordsize="21600,21600" o:spt="202" path="m,l,21600r21600,l21600,xe">
          <v:stroke joinstyle="miter"/>
          <v:path gradientshapeok="t" o:connecttype="rect"/>
        </v:shapetype>
        <v:shape id="_x0000_s2050" type="#_x0000_t202" style="position:absolute;left:0;text-align:left;margin-left:205.35pt;margin-top:1.2pt;width:4.6pt;height:11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next-textbox:#_x0000_s2050;mso-fit-shape-to-text:t" inset="0,0,0,0">
            <w:txbxContent>
              <w:p w:rsidR="0085530A" w:rsidRDefault="008D4E4A">
                <w:pPr>
                  <w:pStyle w:val="a7"/>
                </w:pPr>
                <w:r>
                  <w:fldChar w:fldCharType="begin"/>
                </w:r>
                <w:r w:rsidR="00760BC6">
                  <w:instrText xml:space="preserve"> PAGE  \* MERGEFORMAT </w:instrText>
                </w:r>
                <w:r>
                  <w:fldChar w:fldCharType="separate"/>
                </w:r>
                <w:r w:rsidR="00036961">
                  <w:rPr>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BC7" w:rsidRDefault="00374BC7" w:rsidP="0085530A">
      <w:r>
        <w:separator/>
      </w:r>
    </w:p>
  </w:footnote>
  <w:footnote w:type="continuationSeparator" w:id="0">
    <w:p w:rsidR="00374BC7" w:rsidRDefault="00374BC7" w:rsidP="00855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0A" w:rsidRDefault="00760BC6">
    <w:pPr>
      <w:pStyle w:val="af"/>
      <w:spacing w:before="120" w:after="120"/>
      <w:jc w:val="both"/>
    </w:pPr>
    <w:r>
      <w:t>Q/</w:t>
    </w:r>
    <w:r>
      <w:rPr>
        <w:rFonts w:hint="eastAsia"/>
      </w:rPr>
      <w:t>GDW</w:t>
    </w:r>
    <w:r>
      <w:rPr>
        <w:rFonts w:hAnsi="黑体" w:hint="eastAsia"/>
      </w:rPr>
      <w:t>XX-XXX</w:t>
    </w:r>
    <w:r>
      <w:rPr>
        <w:rFonts w:hAnsi="黑体"/>
      </w:rPr>
      <w:t>—</w:t>
    </w:r>
    <w:r>
      <w:rPr>
        <w:rFonts w:hAnsi="黑体" w:hint="eastAsia"/>
      </w:rPr>
      <w:t>2012-1XXXX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0A" w:rsidRDefault="00760BC6">
    <w:pPr>
      <w:pStyle w:val="af"/>
      <w:wordWrap w:val="0"/>
    </w:pPr>
    <w:r>
      <w:rPr>
        <w:rFonts w:hint="eastAsia"/>
      </w:rPr>
      <w:t>T</w:t>
    </w:r>
    <w:r>
      <w:t>/</w:t>
    </w:r>
    <w:r>
      <w:rPr>
        <w:rFonts w:hint="eastAsia"/>
      </w:rPr>
      <w:t>CSEE</w:t>
    </w:r>
    <w:r>
      <w:rPr>
        <w:rFonts w:hAnsi="黑体" w:hint="eastAsia"/>
      </w:rPr>
      <w:t xml:space="preserve"> XXXX-YYYY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61" w:rsidRDefault="00036961">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0A" w:rsidRDefault="0085530A">
    <w:pPr>
      <w:pStyle w:val="af"/>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D65"/>
    <w:multiLevelType w:val="hybridMultilevel"/>
    <w:tmpl w:val="69765034"/>
    <w:lvl w:ilvl="0" w:tplc="0D2C9AB2">
      <w:start w:val="1"/>
      <w:numFmt w:val="decimal"/>
      <w:lvlText w:val="4.%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E3F25518"/>
    <w:lvl w:ilvl="0">
      <w:start w:val="1"/>
      <w:numFmt w:val="upperLetter"/>
      <w:pStyle w:val="a0"/>
      <w:suff w:val="space"/>
      <w:lvlText w:val="%1"/>
      <w:lvlJc w:val="left"/>
      <w:pPr>
        <w:ind w:left="0" w:firstLine="0"/>
      </w:pPr>
      <w:rPr>
        <w:rFonts w:hint="eastAsia"/>
        <w:color w:val="FFFFFF" w:themeColor="background1"/>
        <w:sz w:val="2"/>
      </w:rPr>
    </w:lvl>
    <w:lvl w:ilvl="1">
      <w:start w:val="1"/>
      <w:numFmt w:val="decimal"/>
      <w:pStyle w:val="a1"/>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30A"/>
    <w:rsid w:val="00036961"/>
    <w:rsid w:val="001E4224"/>
    <w:rsid w:val="00220E2D"/>
    <w:rsid w:val="002A5E83"/>
    <w:rsid w:val="003702A5"/>
    <w:rsid w:val="00374BC7"/>
    <w:rsid w:val="00537E3B"/>
    <w:rsid w:val="00555304"/>
    <w:rsid w:val="005B5F64"/>
    <w:rsid w:val="005B6754"/>
    <w:rsid w:val="00612564"/>
    <w:rsid w:val="006A4DFE"/>
    <w:rsid w:val="00760BC6"/>
    <w:rsid w:val="0085530A"/>
    <w:rsid w:val="00872472"/>
    <w:rsid w:val="008D4E4A"/>
    <w:rsid w:val="00CB0E9D"/>
    <w:rsid w:val="00E223EF"/>
    <w:rsid w:val="497338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5530A"/>
    <w:pPr>
      <w:widowControl w:val="0"/>
      <w:jc w:val="both"/>
    </w:pPr>
    <w:rPr>
      <w:rFonts w:ascii="Calibri" w:eastAsia="宋体" w:hAnsi="Calibri" w:cs="Times New Roman"/>
      <w:kern w:val="2"/>
      <w:sz w:val="21"/>
      <w:szCs w:val="22"/>
    </w:rPr>
  </w:style>
  <w:style w:type="paragraph" w:styleId="1">
    <w:name w:val="heading 1"/>
    <w:basedOn w:val="a3"/>
    <w:next w:val="a3"/>
    <w:uiPriority w:val="9"/>
    <w:qFormat/>
    <w:rsid w:val="0085530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3"/>
    <w:next w:val="a3"/>
    <w:link w:val="2Char"/>
    <w:semiHidden/>
    <w:unhideWhenUsed/>
    <w:qFormat/>
    <w:rsid w:val="006125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uiPriority w:val="99"/>
    <w:qFormat/>
    <w:rsid w:val="0085530A"/>
    <w:pPr>
      <w:tabs>
        <w:tab w:val="center" w:pos="4153"/>
        <w:tab w:val="right" w:pos="8306"/>
      </w:tabs>
      <w:snapToGrid w:val="0"/>
      <w:jc w:val="left"/>
    </w:pPr>
    <w:rPr>
      <w:kern w:val="0"/>
      <w:sz w:val="18"/>
      <w:szCs w:val="18"/>
    </w:rPr>
  </w:style>
  <w:style w:type="paragraph" w:styleId="10">
    <w:name w:val="toc 1"/>
    <w:basedOn w:val="a3"/>
    <w:next w:val="a3"/>
    <w:uiPriority w:val="39"/>
    <w:qFormat/>
    <w:rsid w:val="0085530A"/>
    <w:pPr>
      <w:tabs>
        <w:tab w:val="right" w:leader="dot" w:pos="9241"/>
      </w:tabs>
      <w:spacing w:beforeLines="25" w:afterLines="25"/>
      <w:jc w:val="left"/>
    </w:pPr>
    <w:rPr>
      <w:rFonts w:ascii="宋体" w:hAnsi="Times New Roman"/>
      <w:szCs w:val="21"/>
    </w:rPr>
  </w:style>
  <w:style w:type="paragraph" w:styleId="a8">
    <w:name w:val="Title"/>
    <w:basedOn w:val="a3"/>
    <w:next w:val="a3"/>
    <w:qFormat/>
    <w:rsid w:val="0085530A"/>
    <w:pPr>
      <w:spacing w:before="240" w:after="60"/>
      <w:jc w:val="center"/>
      <w:outlineLvl w:val="0"/>
    </w:pPr>
    <w:rPr>
      <w:rFonts w:ascii="Cambria" w:hAnsi="Cambria"/>
      <w:b/>
      <w:bCs/>
      <w:sz w:val="32"/>
      <w:szCs w:val="32"/>
    </w:rPr>
  </w:style>
  <w:style w:type="character" w:styleId="a9">
    <w:name w:val="page number"/>
    <w:qFormat/>
    <w:rsid w:val="0085530A"/>
    <w:rPr>
      <w:rFonts w:ascii="Times New Roman" w:eastAsia="宋体" w:hAnsi="Times New Roman"/>
      <w:sz w:val="18"/>
    </w:rPr>
  </w:style>
  <w:style w:type="character" w:styleId="aa">
    <w:name w:val="Hyperlink"/>
    <w:uiPriority w:val="99"/>
    <w:qFormat/>
    <w:rsid w:val="0085530A"/>
    <w:rPr>
      <w:rFonts w:cs="Times New Roman"/>
      <w:color w:val="0563C1"/>
      <w:u w:val="single"/>
    </w:rPr>
  </w:style>
  <w:style w:type="paragraph" w:customStyle="1" w:styleId="ab">
    <w:name w:val="段"/>
    <w:link w:val="Char"/>
    <w:qFormat/>
    <w:rsid w:val="0085530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
    <w:name w:val="章标题"/>
    <w:next w:val="ab"/>
    <w:qFormat/>
    <w:rsid w:val="0085530A"/>
    <w:pPr>
      <w:numPr>
        <w:numId w:val="1"/>
      </w:numPr>
      <w:spacing w:beforeLines="100" w:afterLines="100"/>
      <w:jc w:val="both"/>
      <w:outlineLvl w:val="1"/>
    </w:pPr>
    <w:rPr>
      <w:rFonts w:ascii="黑体" w:eastAsia="黑体" w:hAnsi="Times New Roman" w:cs="Times New Roman"/>
      <w:sz w:val="21"/>
    </w:rPr>
  </w:style>
  <w:style w:type="paragraph" w:customStyle="1" w:styleId="ac">
    <w:name w:val="目次、标准名称标题"/>
    <w:basedOn w:val="ad"/>
    <w:next w:val="ab"/>
    <w:qFormat/>
    <w:rsid w:val="0085530A"/>
    <w:pPr>
      <w:keepNext/>
      <w:pageBreakBefore/>
      <w:spacing w:line="460" w:lineRule="exact"/>
    </w:pPr>
  </w:style>
  <w:style w:type="paragraph" w:customStyle="1" w:styleId="ad">
    <w:name w:val="前言、引言标题"/>
    <w:next w:val="a3"/>
    <w:qFormat/>
    <w:rsid w:val="0085530A"/>
    <w:pPr>
      <w:shd w:val="clear" w:color="FFFFFF" w:fill="FFFFFF"/>
      <w:spacing w:before="640" w:after="560"/>
      <w:jc w:val="center"/>
      <w:outlineLvl w:val="0"/>
    </w:pPr>
    <w:rPr>
      <w:rFonts w:ascii="黑体" w:eastAsia="黑体" w:hAnsi="Times New Roman" w:cs="Times New Roman"/>
      <w:sz w:val="32"/>
    </w:rPr>
  </w:style>
  <w:style w:type="paragraph" w:customStyle="1" w:styleId="11">
    <w:name w:val="样式 标题 1 + 非加粗"/>
    <w:basedOn w:val="1"/>
    <w:qFormat/>
    <w:rsid w:val="0085530A"/>
    <w:pPr>
      <w:spacing w:beforeLines="100" w:afterLines="100" w:line="240" w:lineRule="auto"/>
    </w:pPr>
    <w:rPr>
      <w:rFonts w:eastAsia="黑体"/>
      <w:b w:val="0"/>
      <w:bCs w:val="0"/>
      <w:sz w:val="21"/>
    </w:rPr>
  </w:style>
  <w:style w:type="paragraph" w:customStyle="1" w:styleId="a2">
    <w:name w:val="附录章标题"/>
    <w:next w:val="ab"/>
    <w:qFormat/>
    <w:rsid w:val="0085530A"/>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styleId="ae">
    <w:name w:val="List Paragraph"/>
    <w:basedOn w:val="a3"/>
    <w:uiPriority w:val="34"/>
    <w:qFormat/>
    <w:rsid w:val="0085530A"/>
    <w:pPr>
      <w:ind w:firstLineChars="200" w:firstLine="420"/>
    </w:pPr>
  </w:style>
  <w:style w:type="paragraph" w:customStyle="1" w:styleId="af">
    <w:name w:val="标准书眉_奇数页"/>
    <w:next w:val="a3"/>
    <w:qFormat/>
    <w:rsid w:val="0085530A"/>
    <w:pPr>
      <w:tabs>
        <w:tab w:val="center" w:pos="4154"/>
        <w:tab w:val="right" w:pos="8306"/>
      </w:tabs>
      <w:spacing w:after="220"/>
      <w:jc w:val="right"/>
    </w:pPr>
    <w:rPr>
      <w:rFonts w:ascii="黑体" w:eastAsia="黑体" w:hAnsi="Times New Roman" w:cs="Times New Roman"/>
      <w:sz w:val="21"/>
      <w:szCs w:val="21"/>
    </w:rPr>
  </w:style>
  <w:style w:type="paragraph" w:customStyle="1" w:styleId="af0">
    <w:name w:val="标准书脚_奇数页"/>
    <w:qFormat/>
    <w:rsid w:val="0085530A"/>
    <w:pPr>
      <w:spacing w:before="120"/>
      <w:ind w:right="198"/>
      <w:jc w:val="right"/>
    </w:pPr>
    <w:rPr>
      <w:rFonts w:ascii="宋体" w:eastAsia="宋体" w:hAnsi="Times New Roman" w:cs="Times New Roman"/>
      <w:sz w:val="18"/>
      <w:szCs w:val="18"/>
    </w:rPr>
  </w:style>
  <w:style w:type="paragraph" w:styleId="af1">
    <w:name w:val="header"/>
    <w:basedOn w:val="a3"/>
    <w:link w:val="Char0"/>
    <w:rsid w:val="003702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f1"/>
    <w:rsid w:val="003702A5"/>
    <w:rPr>
      <w:rFonts w:ascii="Calibri" w:eastAsia="宋体" w:hAnsi="Calibri" w:cs="Times New Roman"/>
      <w:kern w:val="2"/>
      <w:sz w:val="18"/>
      <w:szCs w:val="18"/>
    </w:rPr>
  </w:style>
  <w:style w:type="character" w:styleId="HTML">
    <w:name w:val="HTML Keyboard"/>
    <w:basedOn w:val="a4"/>
    <w:rsid w:val="00612564"/>
    <w:rPr>
      <w:rFonts w:ascii="Courier New" w:hAnsi="Courier New"/>
      <w:sz w:val="20"/>
      <w:szCs w:val="20"/>
    </w:rPr>
  </w:style>
  <w:style w:type="paragraph" w:customStyle="1" w:styleId="af2">
    <w:name w:val="一级条标题"/>
    <w:next w:val="ab"/>
    <w:qFormat/>
    <w:rsid w:val="00612564"/>
    <w:pPr>
      <w:spacing w:beforeLines="50" w:afterLines="50"/>
      <w:ind w:left="710"/>
      <w:outlineLvl w:val="2"/>
    </w:pPr>
    <w:rPr>
      <w:rFonts w:ascii="黑体" w:eastAsia="黑体" w:hAnsi="Times New Roman" w:cs="Times New Roman"/>
      <w:sz w:val="21"/>
      <w:szCs w:val="21"/>
    </w:rPr>
  </w:style>
  <w:style w:type="paragraph" w:customStyle="1" w:styleId="af3">
    <w:name w:val="二级条标题"/>
    <w:basedOn w:val="af2"/>
    <w:next w:val="ab"/>
    <w:qFormat/>
    <w:rsid w:val="00612564"/>
    <w:pPr>
      <w:spacing w:before="50" w:after="50"/>
      <w:ind w:left="142"/>
      <w:outlineLvl w:val="9"/>
    </w:pPr>
  </w:style>
  <w:style w:type="paragraph" w:customStyle="1" w:styleId="af4">
    <w:name w:val="三级条标题"/>
    <w:basedOn w:val="af3"/>
    <w:next w:val="ab"/>
    <w:qFormat/>
    <w:rsid w:val="00612564"/>
    <w:pPr>
      <w:ind w:left="0"/>
    </w:pPr>
  </w:style>
  <w:style w:type="paragraph" w:customStyle="1" w:styleId="af5">
    <w:name w:val="四级条标题"/>
    <w:basedOn w:val="af4"/>
    <w:next w:val="ab"/>
    <w:qFormat/>
    <w:rsid w:val="00612564"/>
  </w:style>
  <w:style w:type="paragraph" w:customStyle="1" w:styleId="af6">
    <w:name w:val="五级条标题"/>
    <w:basedOn w:val="af5"/>
    <w:next w:val="ab"/>
    <w:rsid w:val="00612564"/>
  </w:style>
  <w:style w:type="paragraph" w:customStyle="1" w:styleId="af7">
    <w:name w:val="术语定义一级条标题"/>
    <w:basedOn w:val="af2"/>
    <w:next w:val="ab"/>
    <w:qFormat/>
    <w:rsid w:val="00612564"/>
    <w:pPr>
      <w:spacing w:beforeLines="0" w:afterLines="0"/>
      <w:outlineLvl w:val="9"/>
    </w:pPr>
  </w:style>
  <w:style w:type="character" w:customStyle="1" w:styleId="2Char">
    <w:name w:val="标题 2 Char"/>
    <w:basedOn w:val="a4"/>
    <w:link w:val="2"/>
    <w:semiHidden/>
    <w:rsid w:val="00612564"/>
    <w:rPr>
      <w:rFonts w:asciiTheme="majorHAnsi" w:eastAsiaTheme="majorEastAsia" w:hAnsiTheme="majorHAnsi" w:cstheme="majorBidi"/>
      <w:b/>
      <w:bCs/>
      <w:kern w:val="2"/>
      <w:sz w:val="32"/>
      <w:szCs w:val="32"/>
    </w:rPr>
  </w:style>
  <w:style w:type="paragraph" w:customStyle="1" w:styleId="HB">
    <w:name w:val="标准标志HB"/>
    <w:next w:val="a3"/>
    <w:rsid w:val="00612564"/>
    <w:pPr>
      <w:shd w:val="solid" w:color="FFFFFF" w:fill="FFFFFF"/>
      <w:spacing w:line="0" w:lineRule="atLeast"/>
      <w:jc w:val="right"/>
    </w:pPr>
    <w:rPr>
      <w:rFonts w:ascii="Britannic Bold" w:eastAsia="Britannic Bold" w:hAnsi="Britannic Bold" w:cs="Times New Roman"/>
      <w:b/>
      <w:w w:val="110"/>
      <w:kern w:val="2"/>
      <w:sz w:val="160"/>
    </w:rPr>
  </w:style>
  <w:style w:type="paragraph" w:customStyle="1" w:styleId="a1">
    <w:name w:val="附录图标题"/>
    <w:basedOn w:val="a3"/>
    <w:next w:val="a3"/>
    <w:rsid w:val="00612564"/>
    <w:pPr>
      <w:numPr>
        <w:ilvl w:val="1"/>
        <w:numId w:val="3"/>
      </w:numPr>
      <w:spacing w:beforeLines="50" w:afterLines="50"/>
      <w:jc w:val="center"/>
    </w:pPr>
    <w:rPr>
      <w:rFonts w:ascii="黑体" w:eastAsia="黑体" w:hAnsi="Times New Roman"/>
      <w:szCs w:val="21"/>
    </w:rPr>
  </w:style>
  <w:style w:type="paragraph" w:customStyle="1" w:styleId="a0">
    <w:name w:val="附录图标号"/>
    <w:basedOn w:val="a3"/>
    <w:next w:val="ab"/>
    <w:rsid w:val="00612564"/>
    <w:pPr>
      <w:numPr>
        <w:numId w:val="3"/>
      </w:numPr>
      <w:snapToGrid w:val="0"/>
      <w:spacing w:line="14" w:lineRule="exact"/>
      <w:jc w:val="center"/>
    </w:pPr>
    <w:rPr>
      <w:rFonts w:ascii="Times New Roman" w:hAnsi="Times New Roman"/>
      <w:color w:val="FFFFFF"/>
      <w:szCs w:val="24"/>
    </w:rPr>
  </w:style>
  <w:style w:type="character" w:customStyle="1" w:styleId="Char">
    <w:name w:val="段 Char"/>
    <w:link w:val="ab"/>
    <w:qFormat/>
    <w:rsid w:val="00612564"/>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5</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Zero</cp:lastModifiedBy>
  <cp:revision>12</cp:revision>
  <dcterms:created xsi:type="dcterms:W3CDTF">2025-03-13T02:00:00Z</dcterms:created>
  <dcterms:modified xsi:type="dcterms:W3CDTF">2025-03-26T02:50:00Z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E2D89207EBD64FDCBF01B2307542C6EB_12</vt:lpwstr>
  </property>
</Properties>
</file>