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6C89C" w14:textId="77777777" w:rsidR="00C81D62" w:rsidRDefault="00C81D62" w:rsidP="00C81D62">
      <w:pPr>
        <w:pStyle w:val="af6"/>
        <w:ind w:firstLineChars="0" w:firstLine="0"/>
      </w:pPr>
    </w:p>
    <w:p w14:paraId="3A91F994" w14:textId="77777777" w:rsidR="00C81D62" w:rsidRDefault="00C81D62" w:rsidP="00C81D62">
      <w:pPr>
        <w:pStyle w:val="af6"/>
        <w:ind w:firstLineChars="0" w:firstLine="0"/>
      </w:pPr>
    </w:p>
    <w:p w14:paraId="145AE716" w14:textId="77777777" w:rsidR="00C81D62" w:rsidRDefault="00C81D62" w:rsidP="00C81D62">
      <w:pPr>
        <w:pStyle w:val="af6"/>
        <w:ind w:firstLineChars="0" w:firstLine="0"/>
      </w:pPr>
    </w:p>
    <w:p w14:paraId="7E5FE55F" w14:textId="77777777" w:rsidR="00C81D62" w:rsidRDefault="00C81D62" w:rsidP="00C81D62">
      <w:pPr>
        <w:pStyle w:val="af6"/>
        <w:ind w:firstLineChars="0" w:firstLine="0"/>
      </w:pPr>
    </w:p>
    <w:p w14:paraId="3FEF580F" w14:textId="77777777" w:rsidR="00C81D62" w:rsidRDefault="00C81D62" w:rsidP="00C81D62">
      <w:pPr>
        <w:pStyle w:val="af6"/>
        <w:ind w:firstLineChars="0" w:firstLine="0"/>
      </w:pPr>
    </w:p>
    <w:p w14:paraId="5C121CAD" w14:textId="77777777" w:rsidR="00C81D62" w:rsidRDefault="00C81D62" w:rsidP="00C81D62">
      <w:pPr>
        <w:pStyle w:val="af6"/>
        <w:ind w:firstLineChars="0" w:firstLine="0"/>
      </w:pPr>
    </w:p>
    <w:p w14:paraId="3DE301E6" w14:textId="77777777" w:rsidR="00C81D62" w:rsidRDefault="00C81D62" w:rsidP="00C81D62">
      <w:pPr>
        <w:pStyle w:val="af6"/>
        <w:ind w:firstLineChars="0" w:firstLine="0"/>
      </w:pPr>
    </w:p>
    <w:p w14:paraId="48CCA15B" w14:textId="77777777" w:rsidR="00C81D62" w:rsidRDefault="00C81D62" w:rsidP="00C81D62">
      <w:pPr>
        <w:pStyle w:val="af6"/>
        <w:ind w:firstLineChars="0" w:firstLine="0"/>
      </w:pPr>
    </w:p>
    <w:p w14:paraId="6D5700DD" w14:textId="77777777" w:rsidR="00C81D62" w:rsidRDefault="00C81D62" w:rsidP="00C81D62">
      <w:pPr>
        <w:pStyle w:val="af6"/>
        <w:ind w:firstLineChars="0" w:firstLine="0"/>
      </w:pPr>
    </w:p>
    <w:p w14:paraId="3DC91233" w14:textId="77777777" w:rsidR="00C81D62" w:rsidRDefault="00C81D62" w:rsidP="00C81D62">
      <w:pPr>
        <w:pStyle w:val="af6"/>
        <w:ind w:firstLineChars="0" w:firstLine="0"/>
      </w:pPr>
    </w:p>
    <w:p w14:paraId="65CC085D" w14:textId="77777777" w:rsidR="00C81D62" w:rsidRDefault="00C81D62" w:rsidP="00C81D62">
      <w:pPr>
        <w:pStyle w:val="af6"/>
        <w:ind w:firstLineChars="0" w:firstLine="0"/>
      </w:pPr>
    </w:p>
    <w:p w14:paraId="6FECBECF" w14:textId="77777777" w:rsidR="008519DE" w:rsidRDefault="008519DE" w:rsidP="008519DE">
      <w:pPr>
        <w:pStyle w:val="af6"/>
        <w:ind w:firstLine="880"/>
        <w:jc w:val="center"/>
        <w:rPr>
          <w:rFonts w:ascii="黑体" w:eastAsia="黑体"/>
          <w:sz w:val="44"/>
          <w:szCs w:val="44"/>
        </w:rPr>
      </w:pPr>
      <w:bookmarkStart w:id="0" w:name="_Hlk192335750"/>
      <w:bookmarkStart w:id="1" w:name="_Hlk192340076"/>
      <w:r w:rsidRPr="008519DE">
        <w:rPr>
          <w:rFonts w:ascii="黑体" w:eastAsia="黑体" w:hint="eastAsia"/>
          <w:sz w:val="44"/>
          <w:szCs w:val="44"/>
        </w:rPr>
        <w:t>燃煤发电厂输煤系统人身安全主动</w:t>
      </w:r>
    </w:p>
    <w:p w14:paraId="795684AD" w14:textId="121FFAFF" w:rsidR="00C81D62" w:rsidRDefault="008519DE" w:rsidP="008519DE">
      <w:pPr>
        <w:pStyle w:val="af6"/>
        <w:ind w:firstLine="880"/>
        <w:jc w:val="center"/>
      </w:pPr>
      <w:r w:rsidRPr="008519DE">
        <w:rPr>
          <w:rFonts w:ascii="黑体" w:eastAsia="黑体" w:hint="eastAsia"/>
          <w:sz w:val="44"/>
          <w:szCs w:val="44"/>
        </w:rPr>
        <w:t>防控</w:t>
      </w:r>
      <w:bookmarkEnd w:id="0"/>
      <w:r w:rsidRPr="008519DE">
        <w:rPr>
          <w:rFonts w:ascii="黑体" w:eastAsia="黑体" w:hint="eastAsia"/>
          <w:sz w:val="44"/>
          <w:szCs w:val="44"/>
        </w:rPr>
        <w:t>智能系统设计指南</w:t>
      </w:r>
    </w:p>
    <w:bookmarkEnd w:id="1"/>
    <w:p w14:paraId="072CD571" w14:textId="77777777" w:rsidR="00C81D62" w:rsidRDefault="00C81D62" w:rsidP="00C81D62">
      <w:pPr>
        <w:pStyle w:val="af6"/>
      </w:pPr>
    </w:p>
    <w:p w14:paraId="5E04F570" w14:textId="77777777" w:rsidR="00C81D62" w:rsidRDefault="00C81D62" w:rsidP="00C81D62">
      <w:pPr>
        <w:pStyle w:val="a"/>
        <w:numPr>
          <w:ilvl w:val="0"/>
          <w:numId w:val="0"/>
        </w:numPr>
        <w:jc w:val="center"/>
        <w:rPr>
          <w:sz w:val="28"/>
          <w:szCs w:val="28"/>
        </w:rPr>
      </w:pPr>
      <w:bookmarkStart w:id="2" w:name="_Toc298937333"/>
      <w:bookmarkStart w:id="3" w:name="_Toc298937368"/>
      <w:bookmarkStart w:id="4" w:name="_Toc309996019"/>
      <w:bookmarkStart w:id="5" w:name="_Toc304825093"/>
      <w:bookmarkStart w:id="6" w:name="_Toc298938646"/>
      <w:bookmarkStart w:id="7" w:name="_Toc304825020"/>
      <w:bookmarkStart w:id="8" w:name="_Toc318613715"/>
      <w:bookmarkStart w:id="9" w:name="_Toc309997060"/>
      <w:bookmarkStart w:id="10" w:name="_Toc304824981"/>
      <w:bookmarkStart w:id="11" w:name="_Toc320020914"/>
      <w:bookmarkStart w:id="12" w:name="_Toc304828086"/>
      <w:bookmarkStart w:id="13" w:name="_Toc298937620"/>
      <w:bookmarkStart w:id="14" w:name="_Toc304402675"/>
      <w:bookmarkStart w:id="15" w:name="_Toc298937473"/>
      <w:bookmarkStart w:id="16" w:name="_Toc309995410"/>
      <w:bookmarkStart w:id="17" w:name="_Toc310002657"/>
      <w:bookmarkStart w:id="18" w:name="_Toc298937430"/>
      <w:bookmarkStart w:id="19" w:name="_Toc298937560"/>
      <w:bookmarkStart w:id="20" w:name="_Toc309994571"/>
      <w:bookmarkStart w:id="21" w:name="_Toc309995598"/>
      <w:bookmarkStart w:id="22" w:name="_Toc309995492"/>
      <w:bookmarkStart w:id="23" w:name="_Toc309993200"/>
      <w:bookmarkStart w:id="24" w:name="_Toc298938794"/>
      <w:r>
        <w:rPr>
          <w:rFonts w:hint="eastAsia"/>
          <w:sz w:val="28"/>
          <w:szCs w:val="28"/>
        </w:rPr>
        <w:t>编 制 说</w:t>
      </w:r>
      <w:bookmarkEnd w:id="2"/>
      <w:bookmarkEnd w:id="3"/>
      <w:r>
        <w:rPr>
          <w:rFonts w:hint="eastAsia"/>
          <w:sz w:val="28"/>
          <w:szCs w:val="28"/>
        </w:rPr>
        <w:t> 明</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F48BC06" w14:textId="77777777" w:rsidR="00C81D62" w:rsidRDefault="00C81D62" w:rsidP="00C81D62">
      <w:pPr>
        <w:pStyle w:val="af6"/>
        <w:ind w:firstLine="560"/>
        <w:jc w:val="center"/>
        <w:rPr>
          <w:rFonts w:ascii="黑体" w:eastAsia="黑体"/>
          <w:sz w:val="28"/>
          <w:szCs w:val="28"/>
        </w:rPr>
      </w:pPr>
    </w:p>
    <w:p w14:paraId="2462396D" w14:textId="77777777" w:rsidR="00C81D62" w:rsidRDefault="00C81D62" w:rsidP="00C81D62">
      <w:pPr>
        <w:pStyle w:val="af6"/>
        <w:ind w:firstLine="560"/>
        <w:jc w:val="center"/>
        <w:rPr>
          <w:rFonts w:ascii="黑体" w:eastAsia="黑体"/>
          <w:sz w:val="28"/>
          <w:szCs w:val="28"/>
        </w:rPr>
      </w:pPr>
    </w:p>
    <w:p w14:paraId="75AF3BC9" w14:textId="77777777" w:rsidR="00C81D62" w:rsidRDefault="00C81D62" w:rsidP="00C81D62">
      <w:pPr>
        <w:pStyle w:val="af6"/>
        <w:ind w:firstLine="560"/>
        <w:rPr>
          <w:rFonts w:ascii="黑体" w:eastAsia="黑体"/>
          <w:sz w:val="28"/>
          <w:szCs w:val="28"/>
        </w:rPr>
      </w:pPr>
    </w:p>
    <w:p w14:paraId="26DA9C5B" w14:textId="77777777" w:rsidR="00C81D62" w:rsidRPr="00C81D62" w:rsidRDefault="00C81D62" w:rsidP="00C81D62"/>
    <w:p w14:paraId="2CE172E9" w14:textId="77777777" w:rsidR="00C81D62" w:rsidRPr="00C81D62" w:rsidRDefault="00C81D62" w:rsidP="00C81D62"/>
    <w:p w14:paraId="4B34A575" w14:textId="77777777" w:rsidR="00C81D62" w:rsidRPr="00C81D62" w:rsidRDefault="00C81D62" w:rsidP="00C81D62"/>
    <w:p w14:paraId="7BD65426" w14:textId="77777777" w:rsidR="00C81D62" w:rsidRPr="00C81D62" w:rsidRDefault="00C81D62" w:rsidP="00C81D62"/>
    <w:p w14:paraId="57F7BA46" w14:textId="77777777" w:rsidR="00C81D62" w:rsidRPr="00C81D62" w:rsidRDefault="00C81D62" w:rsidP="00C81D62"/>
    <w:p w14:paraId="242C7ACD" w14:textId="77777777" w:rsidR="00C81D62" w:rsidRPr="00C81D62" w:rsidRDefault="00C81D62" w:rsidP="00C81D62"/>
    <w:p w14:paraId="33A80D78" w14:textId="77777777" w:rsidR="00C81D62" w:rsidRPr="00C81D62" w:rsidRDefault="00C81D62" w:rsidP="00C81D62"/>
    <w:p w14:paraId="5BED3055" w14:textId="77777777" w:rsidR="00C81D62" w:rsidRPr="00C81D62" w:rsidRDefault="00C81D62" w:rsidP="00C81D62"/>
    <w:p w14:paraId="5AD561D5" w14:textId="77777777" w:rsidR="00C81D62" w:rsidRPr="00C81D62" w:rsidRDefault="00C81D62" w:rsidP="00C81D62"/>
    <w:p w14:paraId="597D8759" w14:textId="77777777" w:rsidR="00C81D62" w:rsidRPr="00C81D62" w:rsidRDefault="00C81D62" w:rsidP="00C81D62"/>
    <w:p w14:paraId="047D0448" w14:textId="77777777" w:rsidR="00C81D62" w:rsidRPr="00C81D62" w:rsidRDefault="00C81D62" w:rsidP="00C81D62"/>
    <w:p w14:paraId="401DA595" w14:textId="77777777" w:rsidR="00C81D62" w:rsidRPr="00C81D62" w:rsidRDefault="00C81D62" w:rsidP="00C81D62"/>
    <w:p w14:paraId="019CE5DA" w14:textId="77777777" w:rsidR="00C81D62" w:rsidRPr="00C81D62" w:rsidRDefault="00C81D62" w:rsidP="00C81D62"/>
    <w:p w14:paraId="2A9A2DE0" w14:textId="77777777" w:rsidR="00C81D62" w:rsidRPr="00C81D62" w:rsidRDefault="00C81D62" w:rsidP="00C81D62">
      <w:pPr>
        <w:jc w:val="center"/>
      </w:pPr>
    </w:p>
    <w:p w14:paraId="357F61A8" w14:textId="77777777" w:rsidR="00C81D62" w:rsidRPr="00C81D62" w:rsidRDefault="00C81D62" w:rsidP="00C81D62"/>
    <w:p w14:paraId="6741DF31" w14:textId="77777777" w:rsidR="00C81D62" w:rsidRPr="00C81D62" w:rsidRDefault="00C81D62" w:rsidP="00C81D62">
      <w:pPr>
        <w:sectPr w:rsidR="00C81D62" w:rsidRPr="00C81D62" w:rsidSect="00C81D62">
          <w:headerReference w:type="even" r:id="rId8"/>
          <w:headerReference w:type="default" r:id="rId9"/>
          <w:footerReference w:type="default" r:id="rId10"/>
          <w:pgSz w:w="11906" w:h="16838"/>
          <w:pgMar w:top="1440" w:right="1800" w:bottom="1440" w:left="1800" w:header="1418" w:footer="1134" w:gutter="0"/>
          <w:cols w:space="720"/>
          <w:formProt w:val="0"/>
          <w:titlePg/>
          <w:docGrid w:type="lines" w:linePitch="312"/>
        </w:sectPr>
      </w:pPr>
    </w:p>
    <w:p w14:paraId="651C3769" w14:textId="77777777" w:rsidR="00C81D62" w:rsidRDefault="00C81D62" w:rsidP="00C81D62">
      <w:pPr>
        <w:pStyle w:val="af8"/>
      </w:pPr>
      <w:bookmarkStart w:id="25" w:name="_Toc309992160"/>
      <w:bookmarkStart w:id="26" w:name="_Toc513731109"/>
      <w:bookmarkStart w:id="27" w:name="_Toc513731021"/>
      <w:r>
        <w:rPr>
          <w:rFonts w:hint="eastAsia"/>
        </w:rPr>
        <w:lastRenderedPageBreak/>
        <w:t>目次</w:t>
      </w:r>
      <w:bookmarkEnd w:id="25"/>
      <w:bookmarkEnd w:id="26"/>
      <w:bookmarkEnd w:id="27"/>
    </w:p>
    <w:p w14:paraId="0686A478" w14:textId="77777777" w:rsidR="00C81D62" w:rsidRDefault="00C81D62" w:rsidP="00C81D62">
      <w:pPr>
        <w:pStyle w:val="TOC1"/>
        <w:spacing w:before="78" w:after="78"/>
        <w:jc w:val="center"/>
        <w:rPr>
          <w:rFonts w:ascii="Calibri" w:hAnsi="Calibri"/>
          <w:noProof/>
          <w:szCs w:val="22"/>
        </w:rPr>
      </w:pPr>
      <w:r>
        <w:rPr>
          <w:rFonts w:hAnsi="宋体"/>
        </w:rPr>
        <w:fldChar w:fldCharType="begin"/>
      </w:r>
      <w:r>
        <w:rPr>
          <w:rFonts w:hAnsi="宋体"/>
        </w:rPr>
        <w:instrText xml:space="preserve"> </w:instrText>
      </w:r>
      <w:r>
        <w:rPr>
          <w:rFonts w:hAnsi="宋体" w:hint="eastAsia"/>
        </w:rPr>
        <w:instrText>TOC \o "1-1" \h \z \u</w:instrText>
      </w:r>
      <w:r>
        <w:rPr>
          <w:rFonts w:hAnsi="宋体"/>
        </w:rPr>
        <w:instrText xml:space="preserve"> </w:instrText>
      </w:r>
      <w:r>
        <w:rPr>
          <w:rFonts w:hAnsi="宋体"/>
        </w:rPr>
        <w:fldChar w:fldCharType="separate"/>
      </w:r>
    </w:p>
    <w:p w14:paraId="76604397" w14:textId="4E86B38B" w:rsidR="00C81D62" w:rsidRDefault="00C81D62" w:rsidP="00C81D62">
      <w:pPr>
        <w:pStyle w:val="TOC1"/>
        <w:spacing w:before="78" w:after="78"/>
        <w:jc w:val="center"/>
        <w:rPr>
          <w:rFonts w:ascii="Calibri" w:hAnsi="Calibri"/>
          <w:noProof/>
          <w:szCs w:val="22"/>
        </w:rPr>
      </w:pPr>
      <w:hyperlink w:anchor="_Toc513731110" w:history="1">
        <w:r>
          <w:rPr>
            <w:rStyle w:val="af5"/>
            <w:rFonts w:hAnsi="宋体"/>
            <w:noProof/>
          </w:rPr>
          <w:t xml:space="preserve">1 </w:t>
        </w:r>
        <w:r>
          <w:rPr>
            <w:rStyle w:val="af5"/>
            <w:rFonts w:hAnsi="宋体" w:hint="eastAsia"/>
            <w:noProof/>
          </w:rPr>
          <w:t>编制背景</w:t>
        </w:r>
        <w:r>
          <w:rPr>
            <w:noProof/>
          </w:rPr>
          <w:tab/>
        </w:r>
        <w:r>
          <w:rPr>
            <w:noProof/>
          </w:rPr>
          <w:fldChar w:fldCharType="begin"/>
        </w:r>
        <w:r>
          <w:rPr>
            <w:noProof/>
          </w:rPr>
          <w:instrText xml:space="preserve"> PAGEREF _Toc513731110 \h </w:instrText>
        </w:r>
        <w:r>
          <w:rPr>
            <w:noProof/>
          </w:rPr>
        </w:r>
        <w:r>
          <w:rPr>
            <w:noProof/>
          </w:rPr>
          <w:fldChar w:fldCharType="separate"/>
        </w:r>
        <w:r w:rsidR="001539A9">
          <w:rPr>
            <w:noProof/>
          </w:rPr>
          <w:t>1</w:t>
        </w:r>
        <w:r>
          <w:rPr>
            <w:noProof/>
          </w:rPr>
          <w:fldChar w:fldCharType="end"/>
        </w:r>
      </w:hyperlink>
    </w:p>
    <w:p w14:paraId="660DFA4E" w14:textId="1B555E06" w:rsidR="00C81D62" w:rsidRDefault="00C81D62" w:rsidP="00C81D62">
      <w:pPr>
        <w:pStyle w:val="TOC1"/>
        <w:spacing w:before="78" w:after="78"/>
        <w:jc w:val="center"/>
        <w:rPr>
          <w:rFonts w:ascii="Calibri" w:hAnsi="Calibri"/>
          <w:noProof/>
          <w:szCs w:val="22"/>
        </w:rPr>
      </w:pPr>
      <w:hyperlink w:anchor="_Toc513731111" w:history="1">
        <w:r>
          <w:rPr>
            <w:rStyle w:val="af5"/>
            <w:rFonts w:hAnsi="宋体"/>
            <w:noProof/>
          </w:rPr>
          <w:t xml:space="preserve">2 </w:t>
        </w:r>
        <w:r>
          <w:rPr>
            <w:rStyle w:val="af5"/>
            <w:rFonts w:hAnsi="宋体" w:hint="eastAsia"/>
            <w:noProof/>
          </w:rPr>
          <w:t>编制主要原则</w:t>
        </w:r>
        <w:r>
          <w:rPr>
            <w:noProof/>
          </w:rPr>
          <w:tab/>
        </w:r>
        <w:r>
          <w:rPr>
            <w:noProof/>
          </w:rPr>
          <w:fldChar w:fldCharType="begin"/>
        </w:r>
        <w:r>
          <w:rPr>
            <w:noProof/>
          </w:rPr>
          <w:instrText xml:space="preserve"> PAGEREF _Toc513731111 \h </w:instrText>
        </w:r>
        <w:r>
          <w:rPr>
            <w:noProof/>
          </w:rPr>
        </w:r>
        <w:r>
          <w:rPr>
            <w:noProof/>
          </w:rPr>
          <w:fldChar w:fldCharType="separate"/>
        </w:r>
        <w:r w:rsidR="001539A9">
          <w:rPr>
            <w:noProof/>
          </w:rPr>
          <w:t>1</w:t>
        </w:r>
        <w:r>
          <w:rPr>
            <w:noProof/>
          </w:rPr>
          <w:fldChar w:fldCharType="end"/>
        </w:r>
      </w:hyperlink>
    </w:p>
    <w:p w14:paraId="41486551" w14:textId="263EFC64" w:rsidR="00C81D62" w:rsidRDefault="00C81D62" w:rsidP="00C81D62">
      <w:pPr>
        <w:pStyle w:val="TOC1"/>
        <w:spacing w:before="78" w:after="78"/>
        <w:jc w:val="center"/>
        <w:rPr>
          <w:rFonts w:ascii="Calibri" w:hAnsi="Calibri"/>
          <w:noProof/>
          <w:szCs w:val="22"/>
        </w:rPr>
      </w:pPr>
      <w:hyperlink w:anchor="_Toc513731112" w:history="1">
        <w:r>
          <w:rPr>
            <w:rStyle w:val="af5"/>
            <w:rFonts w:hAnsi="宋体"/>
            <w:noProof/>
          </w:rPr>
          <w:t xml:space="preserve">3 </w:t>
        </w:r>
        <w:r>
          <w:rPr>
            <w:rStyle w:val="af5"/>
            <w:rFonts w:hAnsi="宋体" w:hint="eastAsia"/>
            <w:noProof/>
          </w:rPr>
          <w:t>主要工作过程</w:t>
        </w:r>
        <w:r>
          <w:rPr>
            <w:noProof/>
          </w:rPr>
          <w:tab/>
        </w:r>
        <w:r>
          <w:rPr>
            <w:noProof/>
          </w:rPr>
          <w:fldChar w:fldCharType="begin"/>
        </w:r>
        <w:r>
          <w:rPr>
            <w:noProof/>
          </w:rPr>
          <w:instrText xml:space="preserve"> PAGEREF _Toc513731112 \h </w:instrText>
        </w:r>
        <w:r>
          <w:rPr>
            <w:noProof/>
          </w:rPr>
        </w:r>
        <w:r>
          <w:rPr>
            <w:noProof/>
          </w:rPr>
          <w:fldChar w:fldCharType="separate"/>
        </w:r>
        <w:r w:rsidR="001539A9">
          <w:rPr>
            <w:noProof/>
          </w:rPr>
          <w:t>2</w:t>
        </w:r>
        <w:r>
          <w:rPr>
            <w:noProof/>
          </w:rPr>
          <w:fldChar w:fldCharType="end"/>
        </w:r>
      </w:hyperlink>
    </w:p>
    <w:p w14:paraId="1163AC3F" w14:textId="128E4CF8" w:rsidR="00C81D62" w:rsidRDefault="00C81D62" w:rsidP="00C81D62">
      <w:pPr>
        <w:pStyle w:val="TOC1"/>
        <w:spacing w:before="78" w:after="78"/>
        <w:jc w:val="center"/>
        <w:rPr>
          <w:rFonts w:ascii="Calibri" w:hAnsi="Calibri"/>
          <w:noProof/>
          <w:szCs w:val="22"/>
        </w:rPr>
      </w:pPr>
      <w:hyperlink w:anchor="_Toc513731113" w:history="1">
        <w:r>
          <w:rPr>
            <w:rStyle w:val="af5"/>
            <w:rFonts w:hAnsi="宋体"/>
            <w:noProof/>
          </w:rPr>
          <w:t>4</w:t>
        </w:r>
        <w:r>
          <w:rPr>
            <w:rStyle w:val="af5"/>
            <w:noProof/>
          </w:rPr>
          <w:t xml:space="preserve"> </w:t>
        </w:r>
        <w:r>
          <w:rPr>
            <w:rStyle w:val="af5"/>
            <w:rFonts w:hint="eastAsia"/>
            <w:noProof/>
          </w:rPr>
          <w:t>标准结构和内容说明</w:t>
        </w:r>
        <w:r>
          <w:rPr>
            <w:noProof/>
          </w:rPr>
          <w:tab/>
        </w:r>
        <w:r>
          <w:rPr>
            <w:noProof/>
          </w:rPr>
          <w:fldChar w:fldCharType="begin"/>
        </w:r>
        <w:r>
          <w:rPr>
            <w:noProof/>
          </w:rPr>
          <w:instrText xml:space="preserve"> PAGEREF _Toc513731113 \h </w:instrText>
        </w:r>
        <w:r>
          <w:rPr>
            <w:noProof/>
          </w:rPr>
        </w:r>
        <w:r>
          <w:rPr>
            <w:noProof/>
          </w:rPr>
          <w:fldChar w:fldCharType="separate"/>
        </w:r>
        <w:r w:rsidR="001539A9">
          <w:rPr>
            <w:noProof/>
          </w:rPr>
          <w:t>2</w:t>
        </w:r>
        <w:r>
          <w:rPr>
            <w:noProof/>
          </w:rPr>
          <w:fldChar w:fldCharType="end"/>
        </w:r>
      </w:hyperlink>
    </w:p>
    <w:p w14:paraId="37D39BDE" w14:textId="66216E6F" w:rsidR="00C81D62" w:rsidRDefault="00C81D62" w:rsidP="00C81D62">
      <w:pPr>
        <w:pStyle w:val="TOC1"/>
        <w:spacing w:before="78" w:after="78"/>
        <w:jc w:val="center"/>
        <w:rPr>
          <w:rFonts w:ascii="Calibri" w:hAnsi="Calibri"/>
          <w:noProof/>
          <w:szCs w:val="22"/>
        </w:rPr>
      </w:pPr>
      <w:hyperlink w:anchor="_Toc513731114" w:history="1">
        <w:r>
          <w:rPr>
            <w:rStyle w:val="af5"/>
            <w:rFonts w:hAnsi="宋体"/>
            <w:noProof/>
          </w:rPr>
          <w:t>5</w:t>
        </w:r>
        <w:r>
          <w:rPr>
            <w:rStyle w:val="af5"/>
            <w:rFonts w:hint="eastAsia"/>
            <w:noProof/>
          </w:rPr>
          <w:t>相关标准对比说明</w:t>
        </w:r>
        <w:r>
          <w:rPr>
            <w:rStyle w:val="af5"/>
            <w:noProof/>
          </w:rPr>
          <w:tab/>
        </w:r>
        <w:r>
          <w:rPr>
            <w:noProof/>
          </w:rPr>
          <w:fldChar w:fldCharType="begin"/>
        </w:r>
        <w:r>
          <w:rPr>
            <w:rStyle w:val="af5"/>
            <w:noProof/>
          </w:rPr>
          <w:instrText xml:space="preserve"> PAGEREF _Toc513731114 \h </w:instrText>
        </w:r>
        <w:r>
          <w:rPr>
            <w:noProof/>
          </w:rPr>
        </w:r>
        <w:r>
          <w:rPr>
            <w:noProof/>
          </w:rPr>
          <w:fldChar w:fldCharType="separate"/>
        </w:r>
        <w:r w:rsidR="001539A9">
          <w:rPr>
            <w:rStyle w:val="af5"/>
            <w:noProof/>
          </w:rPr>
          <w:t>3</w:t>
        </w:r>
        <w:r>
          <w:rPr>
            <w:noProof/>
          </w:rPr>
          <w:fldChar w:fldCharType="end"/>
        </w:r>
      </w:hyperlink>
    </w:p>
    <w:p w14:paraId="4C0F6937" w14:textId="0CCC88F8" w:rsidR="00C81D62" w:rsidRDefault="00C81D62" w:rsidP="00C81D62">
      <w:pPr>
        <w:pStyle w:val="TOC1"/>
        <w:spacing w:before="78" w:after="78"/>
        <w:jc w:val="center"/>
        <w:rPr>
          <w:rFonts w:ascii="Calibri" w:hAnsi="Calibri"/>
          <w:noProof/>
          <w:szCs w:val="22"/>
        </w:rPr>
      </w:pPr>
      <w:hyperlink w:anchor="_Toc513731115" w:history="1">
        <w:r>
          <w:rPr>
            <w:rStyle w:val="af5"/>
            <w:rFonts w:hAnsi="宋体"/>
            <w:noProof/>
          </w:rPr>
          <w:t>6</w:t>
        </w:r>
        <w:r>
          <w:rPr>
            <w:rStyle w:val="af5"/>
            <w:rFonts w:hAnsi="宋体" w:hint="eastAsia"/>
            <w:noProof/>
          </w:rPr>
          <w:t>标准实施措施说明</w:t>
        </w:r>
        <w:r>
          <w:rPr>
            <w:noProof/>
          </w:rPr>
          <w:tab/>
        </w:r>
        <w:r>
          <w:rPr>
            <w:noProof/>
          </w:rPr>
          <w:fldChar w:fldCharType="begin"/>
        </w:r>
        <w:r>
          <w:rPr>
            <w:noProof/>
          </w:rPr>
          <w:instrText xml:space="preserve"> PAGEREF _Toc513731115 \h </w:instrText>
        </w:r>
        <w:r>
          <w:rPr>
            <w:noProof/>
          </w:rPr>
        </w:r>
        <w:r>
          <w:rPr>
            <w:noProof/>
          </w:rPr>
          <w:fldChar w:fldCharType="separate"/>
        </w:r>
        <w:r w:rsidR="001539A9">
          <w:rPr>
            <w:noProof/>
          </w:rPr>
          <w:t>3</w:t>
        </w:r>
        <w:r>
          <w:rPr>
            <w:noProof/>
          </w:rPr>
          <w:fldChar w:fldCharType="end"/>
        </w:r>
      </w:hyperlink>
    </w:p>
    <w:p w14:paraId="06444D75" w14:textId="77777777" w:rsidR="00C81D62" w:rsidRDefault="00C81D62" w:rsidP="00C81D62">
      <w:pPr>
        <w:pStyle w:val="af6"/>
        <w:jc w:val="center"/>
        <w:rPr>
          <w:rFonts w:hAnsi="宋体" w:hint="eastAsia"/>
          <w:szCs w:val="21"/>
        </w:rPr>
      </w:pPr>
      <w:r>
        <w:rPr>
          <w:rFonts w:hAnsi="宋体"/>
          <w:szCs w:val="21"/>
        </w:rPr>
        <w:fldChar w:fldCharType="end"/>
      </w:r>
    </w:p>
    <w:p w14:paraId="055C3941" w14:textId="77777777" w:rsidR="00C81D62" w:rsidRDefault="00C81D62" w:rsidP="00C81D62">
      <w:pPr>
        <w:pStyle w:val="af6"/>
        <w:rPr>
          <w:rFonts w:hAnsi="宋体" w:hint="eastAsia"/>
          <w:szCs w:val="21"/>
        </w:rPr>
      </w:pPr>
    </w:p>
    <w:p w14:paraId="3E0D2B7C" w14:textId="77777777" w:rsidR="00C81D62" w:rsidRDefault="00C81D62" w:rsidP="00C81D62">
      <w:pPr>
        <w:pStyle w:val="af6"/>
        <w:rPr>
          <w:rFonts w:hAnsi="宋体" w:hint="eastAsia"/>
          <w:szCs w:val="21"/>
        </w:rPr>
      </w:pPr>
    </w:p>
    <w:p w14:paraId="1A4A08B8" w14:textId="77777777" w:rsidR="00C81D62" w:rsidRDefault="00C81D62" w:rsidP="00C81D62">
      <w:pPr>
        <w:pStyle w:val="af6"/>
        <w:rPr>
          <w:rFonts w:hAnsi="宋体" w:hint="eastAsia"/>
          <w:szCs w:val="21"/>
        </w:rPr>
      </w:pPr>
    </w:p>
    <w:p w14:paraId="253D3810" w14:textId="77777777" w:rsidR="00C81D62" w:rsidRDefault="00C81D62" w:rsidP="00C81D62">
      <w:pPr>
        <w:pStyle w:val="af6"/>
        <w:rPr>
          <w:rFonts w:hAnsi="宋体" w:hint="eastAsia"/>
          <w:szCs w:val="21"/>
        </w:rPr>
        <w:sectPr w:rsidR="00C81D62" w:rsidSect="00C81D62">
          <w:headerReference w:type="default" r:id="rId11"/>
          <w:footerReference w:type="default" r:id="rId12"/>
          <w:pgSz w:w="11906" w:h="16838"/>
          <w:pgMar w:top="1440" w:right="1800" w:bottom="1440" w:left="1800" w:header="1418" w:footer="1134" w:gutter="0"/>
          <w:pgNumType w:fmt="upperRoman" w:start="1"/>
          <w:cols w:space="720"/>
          <w:formProt w:val="0"/>
          <w:docGrid w:type="lines" w:linePitch="312"/>
        </w:sectPr>
      </w:pPr>
    </w:p>
    <w:p w14:paraId="389C80A6" w14:textId="77777777" w:rsidR="00C81D62" w:rsidRDefault="00C81D62" w:rsidP="00C81D62">
      <w:pPr>
        <w:pStyle w:val="11"/>
        <w:spacing w:before="312" w:after="312"/>
        <w:rPr>
          <w:rFonts w:ascii="宋体" w:hAnsi="宋体" w:hint="eastAsia"/>
          <w:szCs w:val="21"/>
        </w:rPr>
      </w:pPr>
      <w:bookmarkStart w:id="28" w:name="_Toc513731110"/>
      <w:r>
        <w:rPr>
          <w:rFonts w:ascii="宋体" w:hAnsi="宋体" w:hint="eastAsia"/>
          <w:szCs w:val="21"/>
        </w:rPr>
        <w:lastRenderedPageBreak/>
        <w:t xml:space="preserve">1 </w:t>
      </w:r>
      <w:r>
        <w:rPr>
          <w:rFonts w:ascii="宋体" w:hAnsi="宋体" w:hint="eastAsia"/>
          <w:szCs w:val="21"/>
        </w:rPr>
        <w:t>编制背景</w:t>
      </w:r>
      <w:bookmarkEnd w:id="28"/>
    </w:p>
    <w:p w14:paraId="56AE08C1" w14:textId="64A5B3C5" w:rsidR="00C81D62" w:rsidRDefault="008519DE" w:rsidP="00C41E93">
      <w:pPr>
        <w:pStyle w:val="af6"/>
      </w:pPr>
      <w:r>
        <w:rPr>
          <w:rFonts w:hint="eastAsia"/>
        </w:rPr>
        <w:t>本标准是根据</w:t>
      </w:r>
      <w:r w:rsidR="00C41E93">
        <w:rPr>
          <w:rFonts w:hint="eastAsia"/>
        </w:rPr>
        <w:t>中国电机工程学会文件</w:t>
      </w:r>
      <w:bookmarkStart w:id="29" w:name="_Hlk192339786"/>
      <w:r w:rsidR="00C41E93">
        <w:rPr>
          <w:rFonts w:hint="eastAsia"/>
        </w:rPr>
        <w:t>电机</w:t>
      </w:r>
      <w:proofErr w:type="gramStart"/>
      <w:r w:rsidR="00C41E93">
        <w:rPr>
          <w:rFonts w:hint="eastAsia"/>
        </w:rPr>
        <w:t>咨</w:t>
      </w:r>
      <w:proofErr w:type="gramEnd"/>
      <w:r w:rsidR="00C41E93">
        <w:rPr>
          <w:rFonts w:hint="eastAsia"/>
        </w:rPr>
        <w:t>[2023]343号</w:t>
      </w:r>
      <w:bookmarkEnd w:id="29"/>
      <w:r w:rsidR="00C41E93">
        <w:rPr>
          <w:rFonts w:hint="eastAsia"/>
        </w:rPr>
        <w:t>文，“关于印发‘中国电机工程 学会 2023 年标准计划（第一批）’的通知”下达的制定任务，项目序号</w:t>
      </w:r>
      <w:r w:rsidR="00C41E93" w:rsidRPr="00C41E93">
        <w:t>202303130001</w:t>
      </w:r>
      <w:r w:rsidR="00C41E93">
        <w:rPr>
          <w:rFonts w:hint="eastAsia"/>
        </w:rPr>
        <w:t>，对“</w:t>
      </w:r>
      <w:r w:rsidR="00C41E93" w:rsidRPr="00C41E93">
        <w:rPr>
          <w:rFonts w:hint="eastAsia"/>
        </w:rPr>
        <w:t>燃煤发电厂输煤系统智能化主动防控系统设计指南</w:t>
      </w:r>
      <w:r w:rsidR="00C41E93">
        <w:rPr>
          <w:rFonts w:hint="eastAsia"/>
        </w:rPr>
        <w:t>”团体标准进行制定的。由</w:t>
      </w:r>
      <w:r w:rsidR="00C41E93" w:rsidRPr="00C41E93">
        <w:rPr>
          <w:rFonts w:hint="eastAsia"/>
        </w:rPr>
        <w:t>中国华能集团北方联合电力有限责任公司</w:t>
      </w:r>
      <w:r w:rsidR="00C41E93">
        <w:rPr>
          <w:rFonts w:hint="eastAsia"/>
        </w:rPr>
        <w:t>负责起草。</w:t>
      </w:r>
    </w:p>
    <w:p w14:paraId="6DB2EFB1" w14:textId="554EF4BD" w:rsidR="0008287A" w:rsidRDefault="00530FED" w:rsidP="00530FED">
      <w:pPr>
        <w:pStyle w:val="af6"/>
      </w:pPr>
      <w:r w:rsidRPr="00530FED">
        <w:rPr>
          <w:rFonts w:hint="eastAsia"/>
        </w:rPr>
        <w:t>燃煤发电厂的输煤系统涉及皮带机、碎煤机、堆取料机等大型设备，作业环境复杂（如粉尘、噪音、高温、机械伤害等），人员操作和巡检过程中存在较高的安全风险。近年来，因设备故障、人员误操作或管理疏漏导致的机械伤害、火灾等事故时有发生</w:t>
      </w:r>
      <w:r w:rsidR="002763D4">
        <w:rPr>
          <w:rFonts w:hint="eastAsia"/>
        </w:rPr>
        <w:t>，造成不可挽回的损失</w:t>
      </w:r>
      <w:r w:rsidRPr="00530FED">
        <w:rPr>
          <w:rFonts w:hint="eastAsia"/>
        </w:rPr>
        <w:t>。传统安全管理依赖人工巡检、被动防护（如安全警示标识、防护栏）和事后应急处置，缺乏对风险的主动预测和实时干预能力，难以满足现代</w:t>
      </w:r>
      <w:r>
        <w:rPr>
          <w:rFonts w:hint="eastAsia"/>
        </w:rPr>
        <w:t>发</w:t>
      </w:r>
      <w:r w:rsidRPr="00530FED">
        <w:rPr>
          <w:rFonts w:hint="eastAsia"/>
        </w:rPr>
        <w:t>电厂对</w:t>
      </w:r>
      <w:r w:rsidR="0008287A">
        <w:rPr>
          <w:rFonts w:hint="eastAsia"/>
        </w:rPr>
        <w:t>人身</w:t>
      </w:r>
      <w:r w:rsidRPr="00530FED">
        <w:rPr>
          <w:rFonts w:hint="eastAsia"/>
        </w:rPr>
        <w:t>安全</w:t>
      </w:r>
      <w:r w:rsidR="0008287A">
        <w:rPr>
          <w:rFonts w:hint="eastAsia"/>
        </w:rPr>
        <w:t>防控</w:t>
      </w:r>
      <w:r w:rsidRPr="00530FED">
        <w:rPr>
          <w:rFonts w:hint="eastAsia"/>
        </w:rPr>
        <w:t>的</w:t>
      </w:r>
      <w:r w:rsidR="0008287A">
        <w:rPr>
          <w:rFonts w:hint="eastAsia"/>
        </w:rPr>
        <w:t>实际</w:t>
      </w:r>
      <w:r w:rsidRPr="00530FED">
        <w:rPr>
          <w:rFonts w:hint="eastAsia"/>
        </w:rPr>
        <w:t>要求。</w:t>
      </w:r>
      <w:r w:rsidR="0008287A">
        <w:rPr>
          <w:rFonts w:hint="eastAsia"/>
        </w:rPr>
        <w:t>随着</w:t>
      </w:r>
      <w:r>
        <w:rPr>
          <w:rFonts w:hint="eastAsia"/>
        </w:rPr>
        <w:t>新一代信息技术日臻成熟，物联网（IoT）、人工智能（AI）、大数据分析、机器视觉等技术的</w:t>
      </w:r>
      <w:r w:rsidR="0008287A">
        <w:rPr>
          <w:rFonts w:hint="eastAsia"/>
        </w:rPr>
        <w:t>蓬勃</w:t>
      </w:r>
      <w:r>
        <w:rPr>
          <w:rFonts w:hint="eastAsia"/>
        </w:rPr>
        <w:t>发展，为实时监测设备状态、识别人员行为风险、预测故障和主动预警提供了技术基础。</w:t>
      </w:r>
    </w:p>
    <w:p w14:paraId="492FCDAC" w14:textId="5A583ED9" w:rsidR="002763D4" w:rsidRPr="00B451D3" w:rsidRDefault="0008287A" w:rsidP="002763D4">
      <w:pPr>
        <w:pStyle w:val="af6"/>
        <w:rPr>
          <w:rFonts w:hAnsi="宋体" w:hint="eastAsia"/>
        </w:rPr>
      </w:pPr>
      <w:r w:rsidRPr="00B451D3">
        <w:rPr>
          <w:rFonts w:hAnsi="宋体" w:hint="eastAsia"/>
        </w:rPr>
        <w:t>国家</w:t>
      </w:r>
      <w:r w:rsidR="002763D4" w:rsidRPr="00B451D3">
        <w:rPr>
          <w:rFonts w:hAnsi="宋体" w:hint="eastAsia"/>
        </w:rPr>
        <w:t>高度重视电力行业智能化发展，</w:t>
      </w:r>
      <w:r w:rsidRPr="00B451D3">
        <w:rPr>
          <w:rFonts w:hAnsi="宋体" w:hint="eastAsia"/>
        </w:rPr>
        <w:t>新修订的《安全生产法》</w:t>
      </w:r>
      <w:r w:rsidR="00EA60AA" w:rsidRPr="00B451D3">
        <w:rPr>
          <w:rFonts w:hAnsi="宋体" w:hint="eastAsia"/>
        </w:rPr>
        <w:t>（2021年）明确提出“以人为本、安全发展”的理念，要求企业采用先进技术提升本质安全水平；国务院《“十四五”国家安全生产规划》也强调推动高危行业智能化防控体系建设，</w:t>
      </w:r>
      <w:r w:rsidRPr="00B451D3">
        <w:rPr>
          <w:rFonts w:hAnsi="宋体" w:hint="eastAsia"/>
        </w:rPr>
        <w:t>推动电力行业数字化转型</w:t>
      </w:r>
      <w:r w:rsidR="00EA60AA" w:rsidRPr="00B451D3">
        <w:rPr>
          <w:rFonts w:hAnsi="宋体" w:hint="eastAsia"/>
        </w:rPr>
        <w:t>；</w:t>
      </w:r>
      <w:proofErr w:type="gramStart"/>
      <w:r w:rsidR="00EA60AA" w:rsidRPr="00B451D3">
        <w:rPr>
          <w:rFonts w:hAnsi="宋体" w:hint="eastAsia"/>
        </w:rPr>
        <w:t>国家发改委</w:t>
      </w:r>
      <w:proofErr w:type="gramEnd"/>
      <w:r w:rsidR="00EA60AA" w:rsidRPr="00B451D3">
        <w:rPr>
          <w:rFonts w:hAnsi="宋体" w:hint="eastAsia"/>
        </w:rPr>
        <w:t>、能源局等部门发布《关于推进电力行业网络安全和智能化发展的指导意见》等多项文件，鼓励燃煤电厂通过智能化、数字化技术实现安全升级，降低人身伤害风险。</w:t>
      </w:r>
      <w:r w:rsidR="002763D4" w:rsidRPr="00B451D3">
        <w:rPr>
          <w:rFonts w:hAnsi="宋体" w:hint="eastAsia"/>
        </w:rPr>
        <w:t>地方如北京、河南等省市均开展《推动“人工智能</w:t>
      </w:r>
      <w:r w:rsidR="002763D4" w:rsidRPr="00B451D3">
        <w:rPr>
          <w:rFonts w:hAnsi="宋体"/>
        </w:rPr>
        <w:t>+</w:t>
      </w:r>
      <w:r w:rsidR="002763D4" w:rsidRPr="00B451D3">
        <w:rPr>
          <w:rFonts w:hAnsi="宋体" w:hint="eastAsia"/>
        </w:rPr>
        <w:t>电力”行动计划》，推动人工智能与能源工业互联网融合，建设大模型电力管理平台，覆盖智能巡检、故障诊断、用电预警等场景，为实时监测、风险预警提供了可能。国内部分电厂</w:t>
      </w:r>
      <w:r w:rsidR="00EA60AA" w:rsidRPr="00B451D3">
        <w:rPr>
          <w:rFonts w:hAnsi="宋体" w:hint="eastAsia"/>
        </w:rPr>
        <w:t>也</w:t>
      </w:r>
      <w:r w:rsidR="002763D4" w:rsidRPr="00B451D3">
        <w:rPr>
          <w:rFonts w:hAnsi="宋体" w:hint="eastAsia"/>
        </w:rPr>
        <w:t>已试点应用智能视频监控、人员定位、安全生产管理系统，通过智能化手段降低输煤系统事故率。</w:t>
      </w:r>
    </w:p>
    <w:p w14:paraId="2CB30BC1" w14:textId="681C856C" w:rsidR="00C41E93" w:rsidRPr="00B451D3" w:rsidRDefault="00EA60AA" w:rsidP="00B451D3">
      <w:pPr>
        <w:pStyle w:val="af6"/>
        <w:rPr>
          <w:rFonts w:hAnsi="宋体" w:hint="eastAsia"/>
        </w:rPr>
      </w:pPr>
      <w:r w:rsidRPr="00B451D3">
        <w:rPr>
          <w:rFonts w:hAnsi="宋体" w:hint="eastAsia"/>
        </w:rPr>
        <w:t>此前针对燃煤电厂输煤系统的标准多聚焦于设备技术参数、安全运行、通信或环保要求，而针对人身安全主动防控的智能化系统设计缺乏专项技术规范和设计标准，导致企业建设时无章可循，系统兼容性、可靠性和实用性参差不齐，制约了规模化推广应用。</w:t>
      </w:r>
      <w:r w:rsidR="0008287A" w:rsidRPr="00B451D3">
        <w:rPr>
          <w:rFonts w:hAnsi="宋体" w:hint="eastAsia"/>
        </w:rPr>
        <w:t>本</w:t>
      </w:r>
      <w:r w:rsidR="0008287A" w:rsidRPr="00B451D3">
        <w:rPr>
          <w:rFonts w:hAnsi="宋体"/>
        </w:rPr>
        <w:t>标准的编制，旨在通过规范</w:t>
      </w:r>
      <w:r w:rsidR="00B451D3" w:rsidRPr="00B451D3">
        <w:rPr>
          <w:rFonts w:hAnsi="宋体" w:hint="eastAsia"/>
        </w:rPr>
        <w:t>人身安全主动防控</w:t>
      </w:r>
      <w:r w:rsidR="0008287A" w:rsidRPr="00B451D3">
        <w:rPr>
          <w:rFonts w:hAnsi="宋体"/>
        </w:rPr>
        <w:t>智能化系统的设计原则、</w:t>
      </w:r>
      <w:r w:rsidR="00B451D3" w:rsidRPr="00B451D3">
        <w:rPr>
          <w:rFonts w:hAnsi="宋体" w:hint="eastAsia"/>
        </w:rPr>
        <w:t>系统构架、</w:t>
      </w:r>
      <w:r w:rsidR="0008287A" w:rsidRPr="00B451D3">
        <w:rPr>
          <w:rFonts w:hAnsi="宋体"/>
        </w:rPr>
        <w:t>功能要求，推动燃煤电厂输煤系统从“被动防护”向“主动防控”转型，从根本上提升人身安全保障能力，响应国家政策要求，并助力行业智能化、绿色化高质量发展</w:t>
      </w:r>
      <w:r w:rsidR="00B451D3">
        <w:rPr>
          <w:rFonts w:hAnsi="宋体" w:hint="eastAsia"/>
        </w:rPr>
        <w:t>，填补行业内标准空白</w:t>
      </w:r>
      <w:r w:rsidR="0008287A" w:rsidRPr="00B451D3">
        <w:rPr>
          <w:rFonts w:hAnsi="宋体"/>
        </w:rPr>
        <w:t>。</w:t>
      </w:r>
      <w:r w:rsidR="00B451D3" w:rsidRPr="00B451D3">
        <w:rPr>
          <w:rFonts w:ascii="Times New Roman"/>
        </w:rPr>
        <w:t>​</w:t>
      </w:r>
      <w:r w:rsidR="00B451D3">
        <w:rPr>
          <w:rFonts w:hAnsi="宋体" w:hint="eastAsia"/>
        </w:rPr>
        <w:t>此外，本标准的发布实施可指导电厂进行</w:t>
      </w:r>
      <w:r w:rsidR="00B451D3" w:rsidRPr="00B451D3">
        <w:rPr>
          <w:rFonts w:hAnsi="宋体" w:hint="eastAsia"/>
        </w:rPr>
        <w:t>主动防控系统</w:t>
      </w:r>
      <w:r w:rsidR="00B451D3">
        <w:rPr>
          <w:rFonts w:hAnsi="宋体" w:hint="eastAsia"/>
        </w:rPr>
        <w:t>建设，以</w:t>
      </w:r>
      <w:r w:rsidR="00B451D3" w:rsidRPr="00B451D3">
        <w:rPr>
          <w:rFonts w:hAnsi="宋体" w:hint="eastAsia"/>
        </w:rPr>
        <w:t>减少事故停机损失、降低保险赔付和人工巡检成本，提升电厂运营效率</w:t>
      </w:r>
      <w:r w:rsidR="00B451D3">
        <w:rPr>
          <w:rFonts w:hAnsi="宋体" w:hint="eastAsia"/>
        </w:rPr>
        <w:t>，促进企业降本增效</w:t>
      </w:r>
      <w:r w:rsidR="00B451D3" w:rsidRPr="00B451D3">
        <w:rPr>
          <w:rFonts w:hAnsi="宋体" w:hint="eastAsia"/>
        </w:rPr>
        <w:t>。</w:t>
      </w:r>
    </w:p>
    <w:p w14:paraId="6D92C255" w14:textId="77777777" w:rsidR="00C81D62" w:rsidRDefault="00C81D62" w:rsidP="00C81D62">
      <w:pPr>
        <w:pStyle w:val="11"/>
        <w:spacing w:before="312" w:after="312"/>
        <w:rPr>
          <w:rFonts w:ascii="宋体" w:hAnsi="宋体" w:hint="eastAsia"/>
          <w:szCs w:val="21"/>
        </w:rPr>
      </w:pPr>
      <w:bookmarkStart w:id="30" w:name="_Toc513731111"/>
      <w:r>
        <w:rPr>
          <w:rFonts w:ascii="宋体" w:hAnsi="宋体" w:hint="eastAsia"/>
          <w:szCs w:val="21"/>
        </w:rPr>
        <w:t xml:space="preserve">2 </w:t>
      </w:r>
      <w:r>
        <w:rPr>
          <w:rFonts w:ascii="宋体" w:hAnsi="宋体" w:hint="eastAsia"/>
          <w:szCs w:val="21"/>
        </w:rPr>
        <w:t>编制主要原则</w:t>
      </w:r>
      <w:bookmarkEnd w:id="30"/>
    </w:p>
    <w:p w14:paraId="32361823" w14:textId="406EFD3B" w:rsidR="00C81D62" w:rsidRDefault="00C81D62" w:rsidP="00C81D62">
      <w:pPr>
        <w:pStyle w:val="a0"/>
        <w:numPr>
          <w:ilvl w:val="0"/>
          <w:numId w:val="0"/>
        </w:numPr>
        <w:spacing w:beforeLines="50" w:before="156" w:afterLines="50" w:after="156"/>
      </w:pPr>
      <w:r>
        <w:rPr>
          <w:rFonts w:hint="eastAsia"/>
        </w:rPr>
        <w:t xml:space="preserve">2.1 </w:t>
      </w:r>
      <w:r w:rsidR="001B3D28">
        <w:rPr>
          <w:rFonts w:hint="eastAsia"/>
        </w:rPr>
        <w:t>规范性</w:t>
      </w:r>
    </w:p>
    <w:p w14:paraId="611EA035" w14:textId="1A7EDC55" w:rsidR="001B3D28" w:rsidRDefault="001B3D28" w:rsidP="001B3D28">
      <w:pPr>
        <w:pStyle w:val="af6"/>
      </w:pPr>
      <w:r>
        <w:rPr>
          <w:rFonts w:hint="eastAsia"/>
        </w:rPr>
        <w:t>本标准的编制按照GB/T 1.1—2020《标准化工作导则 第1部分：标准化文件的结构和起草规则》、GB/T 20001《标准编写规则》等进行，使标准更严谨、更规范。标准</w:t>
      </w:r>
      <w:r w:rsidRPr="001B3D28">
        <w:rPr>
          <w:rFonts w:hint="eastAsia"/>
        </w:rPr>
        <w:t>制定流程遵循</w:t>
      </w:r>
      <w:r>
        <w:rPr>
          <w:rFonts w:hint="eastAsia"/>
        </w:rPr>
        <w:t>学会</w:t>
      </w:r>
      <w:r w:rsidRPr="001B3D28">
        <w:rPr>
          <w:rFonts w:hint="eastAsia"/>
        </w:rPr>
        <w:t>标准化程序，包括立项、起草、征求意见</w:t>
      </w:r>
      <w:r>
        <w:rPr>
          <w:rFonts w:hint="eastAsia"/>
        </w:rPr>
        <w:t>、送审报批</w:t>
      </w:r>
      <w:r w:rsidRPr="001B3D28">
        <w:rPr>
          <w:rFonts w:hint="eastAsia"/>
        </w:rPr>
        <w:t>等环节，以保证标准的权威性</w:t>
      </w:r>
      <w:r w:rsidRPr="001B3D28">
        <w:rPr>
          <w:rFonts w:ascii="Times New Roman"/>
        </w:rPr>
        <w:t>‌</w:t>
      </w:r>
      <w:r>
        <w:rPr>
          <w:rFonts w:ascii="Times New Roman" w:hint="eastAsia"/>
        </w:rPr>
        <w:t>。</w:t>
      </w:r>
    </w:p>
    <w:p w14:paraId="1F62B0CF" w14:textId="2825AFA5" w:rsidR="001B3D28" w:rsidRDefault="001B3D28" w:rsidP="001B3D28">
      <w:pPr>
        <w:pStyle w:val="a0"/>
        <w:numPr>
          <w:ilvl w:val="0"/>
          <w:numId w:val="0"/>
        </w:numPr>
        <w:spacing w:beforeLines="50" w:before="156" w:afterLines="50" w:after="156"/>
      </w:pPr>
      <w:r>
        <w:rPr>
          <w:rFonts w:hint="eastAsia"/>
        </w:rPr>
        <w:t>2.2科学性</w:t>
      </w:r>
    </w:p>
    <w:p w14:paraId="593A05B5" w14:textId="441ED619" w:rsidR="00F44D60" w:rsidRDefault="00F44D60" w:rsidP="00F44D60">
      <w:pPr>
        <w:pStyle w:val="af6"/>
      </w:pPr>
      <w:r>
        <w:rPr>
          <w:rFonts w:hint="eastAsia"/>
        </w:rPr>
        <w:t>本标准是根据燃煤发电厂输煤系统现存问题，基于</w:t>
      </w:r>
      <w:r w:rsidRPr="00F44D60">
        <w:rPr>
          <w:rFonts w:hint="eastAsia"/>
        </w:rPr>
        <w:t>北方联合电力有限责任公司包头第一热电厂</w:t>
      </w:r>
      <w:r>
        <w:rPr>
          <w:rFonts w:hint="eastAsia"/>
        </w:rPr>
        <w:t>对输煤系统人身安全主动防控的研发成果以及实际应用，围绕人身安全主动防控系统设计的相关要求进行编制的，以确保标准内容的准确性。</w:t>
      </w:r>
    </w:p>
    <w:p w14:paraId="448FCD87" w14:textId="4C44F520" w:rsidR="001B3D28" w:rsidRDefault="00A561DE" w:rsidP="00A561DE">
      <w:pPr>
        <w:pStyle w:val="a0"/>
        <w:numPr>
          <w:ilvl w:val="0"/>
          <w:numId w:val="0"/>
        </w:numPr>
        <w:spacing w:beforeLines="50" w:before="156" w:afterLines="50" w:after="156"/>
      </w:pPr>
      <w:r>
        <w:rPr>
          <w:rFonts w:hint="eastAsia"/>
        </w:rPr>
        <w:lastRenderedPageBreak/>
        <w:t>2.3适用性</w:t>
      </w:r>
    </w:p>
    <w:p w14:paraId="187A814A" w14:textId="75869273" w:rsidR="00A561DE" w:rsidRDefault="00A561DE" w:rsidP="00A561DE">
      <w:pPr>
        <w:pStyle w:val="af6"/>
      </w:pPr>
      <w:r>
        <w:rPr>
          <w:rFonts w:hint="eastAsia"/>
        </w:rPr>
        <w:t>本标准的编制立足于行业实际需求，以</w:t>
      </w:r>
      <w:r w:rsidRPr="00A561DE">
        <w:rPr>
          <w:rFonts w:hint="eastAsia"/>
        </w:rPr>
        <w:t>输煤智能化管理及防护体系的构建需求</w:t>
      </w:r>
      <w:r>
        <w:rPr>
          <w:rFonts w:hint="eastAsia"/>
        </w:rPr>
        <w:t>为导向，解决燃煤发电厂输煤系统</w:t>
      </w:r>
      <w:r w:rsidRPr="00A561DE">
        <w:rPr>
          <w:rFonts w:hint="eastAsia"/>
        </w:rPr>
        <w:t>人身安全隐患</w:t>
      </w:r>
      <w:r>
        <w:rPr>
          <w:rFonts w:hint="eastAsia"/>
        </w:rPr>
        <w:t>大、喊话系统沟通不畅、监控系统覆盖不全、巡检模式效率较低等共性问题，标准适用性强。</w:t>
      </w:r>
    </w:p>
    <w:p w14:paraId="14D4BE94" w14:textId="77777777" w:rsidR="00A561DE" w:rsidRDefault="001B3D28" w:rsidP="00A561DE">
      <w:pPr>
        <w:pStyle w:val="a0"/>
        <w:numPr>
          <w:ilvl w:val="0"/>
          <w:numId w:val="0"/>
        </w:numPr>
        <w:spacing w:beforeLines="50" w:before="156" w:afterLines="50" w:after="156"/>
      </w:pPr>
      <w:r>
        <w:rPr>
          <w:rFonts w:hint="eastAsia"/>
        </w:rPr>
        <w:t>2.3</w:t>
      </w:r>
      <w:r w:rsidR="00A561DE">
        <w:rPr>
          <w:rFonts w:hint="eastAsia"/>
        </w:rPr>
        <w:t xml:space="preserve"> 协调性</w:t>
      </w:r>
    </w:p>
    <w:p w14:paraId="409FF5ED" w14:textId="57646034" w:rsidR="00A561DE" w:rsidRDefault="00A561DE" w:rsidP="00A561DE">
      <w:pPr>
        <w:pStyle w:val="af6"/>
      </w:pPr>
      <w:r>
        <w:rPr>
          <w:rFonts w:hint="eastAsia"/>
        </w:rPr>
        <w:t>本标准在起草过程中注意了与有关法律法规、相关行业指导文件及规范政策、强制性国家标准、行业标准的协调，没有互相矛盾的内容。</w:t>
      </w:r>
      <w:r w:rsidR="00530FED" w:rsidRPr="00530FED">
        <w:rPr>
          <w:rFonts w:hint="eastAsia"/>
        </w:rPr>
        <w:t>及时响应</w:t>
      </w:r>
      <w:r w:rsidR="00530FED">
        <w:rPr>
          <w:rFonts w:hint="eastAsia"/>
        </w:rPr>
        <w:t>智能化</w:t>
      </w:r>
      <w:r w:rsidR="00530FED" w:rsidRPr="00530FED">
        <w:rPr>
          <w:rFonts w:hint="eastAsia"/>
        </w:rPr>
        <w:t>技术迭代</w:t>
      </w:r>
      <w:r w:rsidR="00530FED">
        <w:rPr>
          <w:rFonts w:hint="eastAsia"/>
        </w:rPr>
        <w:t>及</w:t>
      </w:r>
      <w:r w:rsidR="00530FED" w:rsidRPr="00530FED">
        <w:rPr>
          <w:rFonts w:hint="eastAsia"/>
        </w:rPr>
        <w:t>政策变化</w:t>
      </w:r>
      <w:r w:rsidR="00530FED">
        <w:rPr>
          <w:rFonts w:hint="eastAsia"/>
        </w:rPr>
        <w:t>，与现有电力行业输煤系统相关标准体系</w:t>
      </w:r>
      <w:r>
        <w:rPr>
          <w:rFonts w:hint="eastAsia"/>
        </w:rPr>
        <w:t>相互协调，互成</w:t>
      </w:r>
      <w:r w:rsidR="00530FED">
        <w:rPr>
          <w:rFonts w:hint="eastAsia"/>
        </w:rPr>
        <w:t>一体</w:t>
      </w:r>
      <w:r>
        <w:rPr>
          <w:rFonts w:hint="eastAsia"/>
        </w:rPr>
        <w:t>。</w:t>
      </w:r>
    </w:p>
    <w:p w14:paraId="78C1B431" w14:textId="77777777" w:rsidR="00C81D62" w:rsidRDefault="00C81D62" w:rsidP="00C81D62">
      <w:pPr>
        <w:pStyle w:val="11"/>
        <w:spacing w:before="312" w:after="312"/>
        <w:rPr>
          <w:rFonts w:ascii="宋体" w:hAnsi="宋体" w:hint="eastAsia"/>
          <w:szCs w:val="21"/>
        </w:rPr>
      </w:pPr>
      <w:bookmarkStart w:id="31" w:name="_Toc513731112"/>
      <w:r>
        <w:rPr>
          <w:rFonts w:ascii="宋体" w:hAnsi="宋体" w:hint="eastAsia"/>
          <w:szCs w:val="21"/>
        </w:rPr>
        <w:t xml:space="preserve">3 </w:t>
      </w:r>
      <w:r>
        <w:rPr>
          <w:rFonts w:ascii="宋体" w:hAnsi="宋体" w:hint="eastAsia"/>
          <w:szCs w:val="21"/>
        </w:rPr>
        <w:t>主要工作过程</w:t>
      </w:r>
      <w:bookmarkEnd w:id="31"/>
    </w:p>
    <w:p w14:paraId="04A2C0D5" w14:textId="7045F682" w:rsidR="00B451D3" w:rsidRDefault="00B451D3" w:rsidP="00B451D3">
      <w:pPr>
        <w:pStyle w:val="a0"/>
        <w:numPr>
          <w:ilvl w:val="0"/>
          <w:numId w:val="0"/>
        </w:numPr>
        <w:spacing w:beforeLines="50" w:before="156" w:afterLines="50" w:after="156"/>
      </w:pPr>
      <w:r>
        <w:rPr>
          <w:rFonts w:hint="eastAsia"/>
        </w:rPr>
        <w:t>3.1前期工作</w:t>
      </w:r>
    </w:p>
    <w:p w14:paraId="72CC51BD" w14:textId="0D4F5055" w:rsidR="00B451D3" w:rsidRDefault="00B451D3" w:rsidP="00B451D3">
      <w:pPr>
        <w:pStyle w:val="af6"/>
      </w:pPr>
      <w:r>
        <w:rPr>
          <w:rFonts w:hint="eastAsia"/>
        </w:rPr>
        <w:t>（1）成立标准编制工作组：2023年4月起，</w:t>
      </w:r>
      <w:r w:rsidR="00C8478C">
        <w:rPr>
          <w:rFonts w:hint="eastAsia"/>
        </w:rPr>
        <w:t>标准发起单位</w:t>
      </w:r>
      <w:r w:rsidR="00C8478C" w:rsidRPr="00C8478C">
        <w:rPr>
          <w:rFonts w:hint="eastAsia"/>
        </w:rPr>
        <w:t>中国华能集团北方联合电力有限责任公司</w:t>
      </w:r>
      <w:r>
        <w:rPr>
          <w:rFonts w:hint="eastAsia"/>
        </w:rPr>
        <w:t>联合</w:t>
      </w:r>
      <w:r w:rsidR="00C8478C" w:rsidRPr="00C8478C">
        <w:rPr>
          <w:rFonts w:hint="eastAsia"/>
        </w:rPr>
        <w:t>北方联合电力有限责任公司包头第三热电厂</w:t>
      </w:r>
      <w:r w:rsidR="00C8478C">
        <w:rPr>
          <w:rFonts w:hint="eastAsia"/>
        </w:rPr>
        <w:t>、</w:t>
      </w:r>
      <w:r w:rsidR="00C8478C" w:rsidRPr="00C8478C">
        <w:rPr>
          <w:rFonts w:hint="eastAsia"/>
        </w:rPr>
        <w:t>北方联合电力有限责任公司包头一电厂</w:t>
      </w:r>
      <w:r>
        <w:rPr>
          <w:rFonts w:hint="eastAsia"/>
        </w:rPr>
        <w:t>等参与单位着手进行编制准备。为保证标准编制工作的顺利开展，成立标准编制工作组。</w:t>
      </w:r>
    </w:p>
    <w:p w14:paraId="2368BFDD" w14:textId="733D2015" w:rsidR="00B451D3" w:rsidRDefault="00B451D3" w:rsidP="00B451D3">
      <w:pPr>
        <w:pStyle w:val="af6"/>
      </w:pPr>
      <w:r>
        <w:rPr>
          <w:rFonts w:hint="eastAsia"/>
        </w:rPr>
        <w:t>（2）调查研究和收集资料：2023年4月至5月，工作组组织多次讨论会议，并与相关企业及标准研究机构展开交流，对</w:t>
      </w:r>
      <w:r w:rsidR="00C8478C">
        <w:rPr>
          <w:rFonts w:hint="eastAsia"/>
        </w:rPr>
        <w:t>输煤系统人身安全防控技术</w:t>
      </w:r>
      <w:r>
        <w:rPr>
          <w:rFonts w:hint="eastAsia"/>
        </w:rPr>
        <w:t>国内外发展</w:t>
      </w:r>
      <w:r w:rsidR="00C8478C">
        <w:rPr>
          <w:rFonts w:hint="eastAsia"/>
        </w:rPr>
        <w:t>及应用</w:t>
      </w:r>
      <w:r>
        <w:rPr>
          <w:rFonts w:hint="eastAsia"/>
        </w:rPr>
        <w:t>等相关资料进行了收集与整理，系统梳理</w:t>
      </w:r>
      <w:r w:rsidR="00C8478C" w:rsidRPr="00C8478C">
        <w:rPr>
          <w:rFonts w:hint="eastAsia"/>
        </w:rPr>
        <w:t>人身安全防控</w:t>
      </w:r>
      <w:r w:rsidR="00C8478C">
        <w:rPr>
          <w:rFonts w:hint="eastAsia"/>
        </w:rPr>
        <w:t>系统</w:t>
      </w:r>
      <w:r>
        <w:rPr>
          <w:rFonts w:hint="eastAsia"/>
        </w:rPr>
        <w:t>核心信息。</w:t>
      </w:r>
    </w:p>
    <w:p w14:paraId="04955309" w14:textId="3A2D9B26" w:rsidR="00B451D3" w:rsidRDefault="00B451D3" w:rsidP="00B451D3">
      <w:pPr>
        <w:pStyle w:val="af6"/>
      </w:pPr>
      <w:r>
        <w:rPr>
          <w:rFonts w:hint="eastAsia"/>
        </w:rPr>
        <w:t>（3）初稿编制：2023年5月至6月，在前期项目研究、文献资料分析、信息调研的基础上，工作组确立了标准结构，形成标准草案。</w:t>
      </w:r>
    </w:p>
    <w:p w14:paraId="6F9F3A43" w14:textId="43E9089C" w:rsidR="00B451D3" w:rsidRDefault="00B451D3" w:rsidP="00B451D3">
      <w:pPr>
        <w:pStyle w:val="a0"/>
        <w:numPr>
          <w:ilvl w:val="0"/>
          <w:numId w:val="0"/>
        </w:numPr>
        <w:spacing w:beforeLines="50" w:before="156" w:afterLines="50" w:after="156"/>
      </w:pPr>
      <w:r>
        <w:rPr>
          <w:rFonts w:hint="eastAsia"/>
        </w:rPr>
        <w:t>3.2标准立项</w:t>
      </w:r>
    </w:p>
    <w:p w14:paraId="4A8B0CCF" w14:textId="17FC0DD0" w:rsidR="00B451D3" w:rsidRDefault="00B451D3" w:rsidP="00B451D3">
      <w:pPr>
        <w:pStyle w:val="af6"/>
      </w:pPr>
      <w:r>
        <w:rPr>
          <w:rFonts w:hint="eastAsia"/>
        </w:rPr>
        <w:t>2023年6月，</w:t>
      </w:r>
      <w:r w:rsidR="00E32CEF">
        <w:rPr>
          <w:rFonts w:hint="eastAsia"/>
        </w:rPr>
        <w:t>标准发起单位</w:t>
      </w:r>
      <w:r>
        <w:rPr>
          <w:rFonts w:hint="eastAsia"/>
        </w:rPr>
        <w:t>向</w:t>
      </w:r>
      <w:r w:rsidR="00E32CEF">
        <w:rPr>
          <w:rFonts w:hint="eastAsia"/>
        </w:rPr>
        <w:t>中国电机工程学会</w:t>
      </w:r>
      <w:r>
        <w:rPr>
          <w:rFonts w:hint="eastAsia"/>
        </w:rPr>
        <w:t>提</w:t>
      </w:r>
      <w:r w:rsidR="00E32CEF">
        <w:rPr>
          <w:rFonts w:hint="eastAsia"/>
        </w:rPr>
        <w:t>起</w:t>
      </w:r>
      <w:r>
        <w:rPr>
          <w:rFonts w:hint="eastAsia"/>
        </w:rPr>
        <w:t>立项申请</w:t>
      </w:r>
      <w:r w:rsidR="00E32CEF">
        <w:rPr>
          <w:rFonts w:hint="eastAsia"/>
        </w:rPr>
        <w:t>，</w:t>
      </w:r>
      <w:r>
        <w:rPr>
          <w:rFonts w:hint="eastAsia"/>
        </w:rPr>
        <w:t>经</w:t>
      </w:r>
      <w:r w:rsidR="00E32CEF">
        <w:rPr>
          <w:rFonts w:hint="eastAsia"/>
        </w:rPr>
        <w:t>专家</w:t>
      </w:r>
      <w:r>
        <w:rPr>
          <w:rFonts w:hint="eastAsia"/>
        </w:rPr>
        <w:t>质询与讨论一致同意通过该团体标准立项</w:t>
      </w:r>
      <w:r w:rsidR="00C8478C">
        <w:rPr>
          <w:rFonts w:hint="eastAsia"/>
        </w:rPr>
        <w:t>，并提出如下修改意见：(1)</w:t>
      </w:r>
      <w:r w:rsidR="00C8478C" w:rsidRPr="00C8478C">
        <w:rPr>
          <w:rFonts w:hint="eastAsia"/>
        </w:rPr>
        <w:t xml:space="preserve"> 进一步斟酌标准名称的主体元素</w:t>
      </w:r>
      <w:r w:rsidR="00C8478C">
        <w:rPr>
          <w:rFonts w:hint="eastAsia"/>
        </w:rPr>
        <w:t>；(2)</w:t>
      </w:r>
      <w:r w:rsidR="00C8478C" w:rsidRPr="00C8478C">
        <w:rPr>
          <w:rFonts w:hint="eastAsia"/>
        </w:rPr>
        <w:t>对系统的整体架构、系统构成、功能性能等进行深入研究</w:t>
      </w:r>
      <w:r w:rsidR="00C8478C">
        <w:rPr>
          <w:rFonts w:hint="eastAsia"/>
        </w:rPr>
        <w:t>；(3)</w:t>
      </w:r>
      <w:r w:rsidR="00C8478C" w:rsidRPr="00C8478C">
        <w:rPr>
          <w:rFonts w:hint="eastAsia"/>
        </w:rPr>
        <w:t xml:space="preserve"> 按照 GB/T 20001.7 的要求进行编制</w:t>
      </w:r>
      <w:r>
        <w:rPr>
          <w:rFonts w:hint="eastAsia"/>
        </w:rPr>
        <w:t xml:space="preserve">。 </w:t>
      </w:r>
    </w:p>
    <w:p w14:paraId="53772D67" w14:textId="26A6CECC" w:rsidR="00B451D3" w:rsidRDefault="00B451D3" w:rsidP="00E32CEF">
      <w:pPr>
        <w:pStyle w:val="af6"/>
      </w:pPr>
      <w:r>
        <w:rPr>
          <w:rFonts w:hint="eastAsia"/>
        </w:rPr>
        <w:t>2023年</w:t>
      </w:r>
      <w:r w:rsidR="00E32CEF">
        <w:rPr>
          <w:rFonts w:hint="eastAsia"/>
        </w:rPr>
        <w:t>8</w:t>
      </w:r>
      <w:r>
        <w:rPr>
          <w:rFonts w:hint="eastAsia"/>
        </w:rPr>
        <w:t>月1</w:t>
      </w:r>
      <w:r w:rsidR="00E32CEF">
        <w:rPr>
          <w:rFonts w:hint="eastAsia"/>
        </w:rPr>
        <w:t>5</w:t>
      </w:r>
      <w:r>
        <w:rPr>
          <w:rFonts w:hint="eastAsia"/>
        </w:rPr>
        <w:t>日，中国</w:t>
      </w:r>
      <w:r w:rsidR="00E32CEF">
        <w:rPr>
          <w:rFonts w:hint="eastAsia"/>
        </w:rPr>
        <w:t>电机工程学会</w:t>
      </w:r>
      <w:r>
        <w:rPr>
          <w:rFonts w:hint="eastAsia"/>
        </w:rPr>
        <w:t>发布《</w:t>
      </w:r>
      <w:r w:rsidR="00E32CEF">
        <w:rPr>
          <w:rFonts w:hint="eastAsia"/>
        </w:rPr>
        <w:t>“中国电机工程学会 2023 年标准计划（第一批）”的通知</w:t>
      </w:r>
      <w:r>
        <w:rPr>
          <w:rFonts w:hint="eastAsia"/>
        </w:rPr>
        <w:t>》（</w:t>
      </w:r>
      <w:r w:rsidR="00E32CEF" w:rsidRPr="00E32CEF">
        <w:rPr>
          <w:rFonts w:hint="eastAsia"/>
        </w:rPr>
        <w:t>电机</w:t>
      </w:r>
      <w:proofErr w:type="gramStart"/>
      <w:r w:rsidR="00E32CEF" w:rsidRPr="00E32CEF">
        <w:rPr>
          <w:rFonts w:hint="eastAsia"/>
        </w:rPr>
        <w:t>咨</w:t>
      </w:r>
      <w:proofErr w:type="gramEnd"/>
      <w:r w:rsidR="00E32CEF" w:rsidRPr="00E32CEF">
        <w:rPr>
          <w:rFonts w:hint="eastAsia"/>
        </w:rPr>
        <w:t>[2023]343号</w:t>
      </w:r>
      <w:r>
        <w:rPr>
          <w:rFonts w:hint="eastAsia"/>
        </w:rPr>
        <w:t>），该标准位列</w:t>
      </w:r>
      <w:r w:rsidR="00E32CEF">
        <w:rPr>
          <w:rFonts w:hint="eastAsia"/>
        </w:rPr>
        <w:t>其中</w:t>
      </w:r>
      <w:r>
        <w:rPr>
          <w:rFonts w:hint="eastAsia"/>
        </w:rPr>
        <w:t>，正式批准立项。</w:t>
      </w:r>
    </w:p>
    <w:p w14:paraId="1E1597D8" w14:textId="1A9283E2" w:rsidR="00B451D3" w:rsidRDefault="00B451D3" w:rsidP="00B451D3">
      <w:pPr>
        <w:pStyle w:val="a0"/>
        <w:numPr>
          <w:ilvl w:val="0"/>
          <w:numId w:val="0"/>
        </w:numPr>
        <w:spacing w:beforeLines="50" w:before="156" w:afterLines="50" w:after="156"/>
      </w:pPr>
      <w:r>
        <w:rPr>
          <w:rFonts w:hint="eastAsia"/>
        </w:rPr>
        <w:t>3.</w:t>
      </w:r>
      <w:r w:rsidR="00C8478C">
        <w:rPr>
          <w:rFonts w:hint="eastAsia"/>
        </w:rPr>
        <w:t>3</w:t>
      </w:r>
      <w:r>
        <w:rPr>
          <w:rFonts w:hint="eastAsia"/>
        </w:rPr>
        <w:t>预征求意见</w:t>
      </w:r>
    </w:p>
    <w:p w14:paraId="56EF0E63" w14:textId="02D3D58A" w:rsidR="00B451D3" w:rsidRPr="00B451D3" w:rsidRDefault="00E32CEF" w:rsidP="00E32CEF">
      <w:pPr>
        <w:pStyle w:val="af6"/>
      </w:pPr>
      <w:r>
        <w:rPr>
          <w:rFonts w:hint="eastAsia"/>
        </w:rPr>
        <w:t>标准立项后</w:t>
      </w:r>
      <w:r w:rsidR="00B451D3">
        <w:rPr>
          <w:rFonts w:hint="eastAsia"/>
        </w:rPr>
        <w:t>，</w:t>
      </w:r>
      <w:r>
        <w:rPr>
          <w:rFonts w:hint="eastAsia"/>
        </w:rPr>
        <w:t>标准编制</w:t>
      </w:r>
      <w:r w:rsidR="00B451D3">
        <w:rPr>
          <w:rFonts w:hint="eastAsia"/>
        </w:rPr>
        <w:t>工作组多次召开</w:t>
      </w:r>
      <w:r>
        <w:rPr>
          <w:rFonts w:hint="eastAsia"/>
        </w:rPr>
        <w:t>内部讨论</w:t>
      </w:r>
      <w:r w:rsidR="00B451D3">
        <w:rPr>
          <w:rFonts w:hint="eastAsia"/>
        </w:rPr>
        <w:t>会，</w:t>
      </w:r>
      <w:r>
        <w:rPr>
          <w:rFonts w:hint="eastAsia"/>
        </w:rPr>
        <w:t>并在协会组织</w:t>
      </w:r>
      <w:proofErr w:type="gramStart"/>
      <w:r>
        <w:rPr>
          <w:rFonts w:hint="eastAsia"/>
        </w:rPr>
        <w:t>下邀请</w:t>
      </w:r>
      <w:proofErr w:type="gramEnd"/>
      <w:r>
        <w:rPr>
          <w:rFonts w:hint="eastAsia"/>
        </w:rPr>
        <w:t>行业专家进行研讨，</w:t>
      </w:r>
      <w:r w:rsidR="00B451D3">
        <w:rPr>
          <w:rFonts w:hint="eastAsia"/>
        </w:rPr>
        <w:t>不断收集、</w:t>
      </w:r>
      <w:r>
        <w:rPr>
          <w:rFonts w:hint="eastAsia"/>
        </w:rPr>
        <w:t>完善</w:t>
      </w:r>
      <w:r w:rsidR="00B451D3">
        <w:rPr>
          <w:rFonts w:hint="eastAsia"/>
        </w:rPr>
        <w:t>标准相关内容。</w:t>
      </w:r>
      <w:r>
        <w:rPr>
          <w:rFonts w:hint="eastAsia"/>
        </w:rPr>
        <w:t>计划</w:t>
      </w:r>
      <w:r w:rsidR="00B451D3">
        <w:rPr>
          <w:rFonts w:hint="eastAsia"/>
        </w:rPr>
        <w:t>202</w:t>
      </w:r>
      <w:r>
        <w:rPr>
          <w:rFonts w:hint="eastAsia"/>
        </w:rPr>
        <w:t>5</w:t>
      </w:r>
      <w:r w:rsidR="00B451D3">
        <w:rPr>
          <w:rFonts w:hint="eastAsia"/>
        </w:rPr>
        <w:t>年</w:t>
      </w:r>
      <w:r>
        <w:rPr>
          <w:rFonts w:hint="eastAsia"/>
        </w:rPr>
        <w:t>3</w:t>
      </w:r>
      <w:r w:rsidR="00B451D3">
        <w:rPr>
          <w:rFonts w:hint="eastAsia"/>
        </w:rPr>
        <w:t>月</w:t>
      </w:r>
      <w:r>
        <w:rPr>
          <w:rFonts w:hint="eastAsia"/>
        </w:rPr>
        <w:t>形成</w:t>
      </w:r>
      <w:bookmarkStart w:id="32" w:name="_Hlk192345125"/>
      <w:r w:rsidR="00B451D3">
        <w:rPr>
          <w:rFonts w:hint="eastAsia"/>
        </w:rPr>
        <w:t>《</w:t>
      </w:r>
      <w:bookmarkStart w:id="33" w:name="_Hlk192344734"/>
      <w:r>
        <w:rPr>
          <w:rFonts w:hint="eastAsia"/>
        </w:rPr>
        <w:t>燃煤发电厂输煤系统人身安全主动防控智能系统设计指南</w:t>
      </w:r>
      <w:bookmarkEnd w:id="33"/>
      <w:r w:rsidR="00B451D3">
        <w:rPr>
          <w:rFonts w:hint="eastAsia"/>
        </w:rPr>
        <w:t>》</w:t>
      </w:r>
      <w:bookmarkEnd w:id="32"/>
      <w:r w:rsidR="00B451D3">
        <w:rPr>
          <w:rFonts w:hint="eastAsia"/>
        </w:rPr>
        <w:t>(征求意见稿)</w:t>
      </w:r>
      <w:r w:rsidR="00C8478C">
        <w:rPr>
          <w:rFonts w:hint="eastAsia"/>
        </w:rPr>
        <w:t>及编制说明</w:t>
      </w:r>
      <w:r w:rsidR="00B451D3">
        <w:rPr>
          <w:rFonts w:hint="eastAsia"/>
        </w:rPr>
        <w:t>提交协会，</w:t>
      </w:r>
      <w:r w:rsidR="00C8478C">
        <w:rPr>
          <w:rFonts w:hint="eastAsia"/>
        </w:rPr>
        <w:t>经协会审核通过后正式</w:t>
      </w:r>
      <w:r w:rsidR="00B451D3">
        <w:rPr>
          <w:rFonts w:hint="eastAsia"/>
        </w:rPr>
        <w:t>进入征求意见阶段。</w:t>
      </w:r>
    </w:p>
    <w:p w14:paraId="15167D21" w14:textId="77777777" w:rsidR="00C81D62" w:rsidRDefault="00C81D62" w:rsidP="00C81D62">
      <w:pPr>
        <w:pStyle w:val="11"/>
        <w:spacing w:before="312" w:after="312"/>
      </w:pPr>
      <w:bookmarkStart w:id="34" w:name="_Toc513731113"/>
      <w:r>
        <w:rPr>
          <w:rFonts w:ascii="宋体" w:hAnsi="宋体" w:hint="eastAsia"/>
          <w:szCs w:val="21"/>
        </w:rPr>
        <w:t>4</w:t>
      </w:r>
      <w:r>
        <w:rPr>
          <w:rFonts w:hint="eastAsia"/>
        </w:rPr>
        <w:t xml:space="preserve"> </w:t>
      </w:r>
      <w:r>
        <w:rPr>
          <w:rFonts w:hint="eastAsia"/>
        </w:rPr>
        <w:t>标准结构和内容说明</w:t>
      </w:r>
      <w:bookmarkEnd w:id="34"/>
    </w:p>
    <w:p w14:paraId="14BA24F1" w14:textId="3C8C1363" w:rsidR="00C8478C" w:rsidRDefault="00C8478C" w:rsidP="00C8478C">
      <w:pPr>
        <w:pStyle w:val="a0"/>
        <w:numPr>
          <w:ilvl w:val="0"/>
          <w:numId w:val="0"/>
        </w:numPr>
        <w:spacing w:beforeLines="50" w:before="156" w:afterLines="50" w:after="156"/>
      </w:pPr>
      <w:r>
        <w:rPr>
          <w:rFonts w:hint="eastAsia"/>
        </w:rPr>
        <w:t>4.1适用范围</w:t>
      </w:r>
    </w:p>
    <w:p w14:paraId="2F9B2101" w14:textId="53900803" w:rsidR="00C8478C" w:rsidRDefault="00C8478C" w:rsidP="00C8478C">
      <w:pPr>
        <w:pStyle w:val="af6"/>
      </w:pPr>
      <w:r>
        <w:rPr>
          <w:rFonts w:hint="eastAsia"/>
        </w:rPr>
        <w:t>本标准提供了燃煤发电厂输煤系统人身安全主动防控智能系统设计的总体原则、系统架构、子系统及输煤集控中心架构、功能等方面的指导，适用于新建或改、扩建的燃煤发电厂输煤系统人身安全主动防控智能系统的设计与升级。</w:t>
      </w:r>
    </w:p>
    <w:p w14:paraId="7D160475" w14:textId="0240DF69" w:rsidR="00C81D62" w:rsidRDefault="00C8478C" w:rsidP="00C8478C">
      <w:pPr>
        <w:pStyle w:val="a0"/>
        <w:numPr>
          <w:ilvl w:val="0"/>
          <w:numId w:val="0"/>
        </w:numPr>
        <w:spacing w:beforeLines="50" w:before="156" w:afterLines="50" w:after="156"/>
      </w:pPr>
      <w:r>
        <w:rPr>
          <w:rFonts w:hint="eastAsia"/>
        </w:rPr>
        <w:t>4.2主要技术内容</w:t>
      </w:r>
    </w:p>
    <w:p w14:paraId="52D559ED" w14:textId="3E422C4C" w:rsidR="00C8478C" w:rsidRDefault="00C8478C" w:rsidP="00C8478C">
      <w:pPr>
        <w:pStyle w:val="af6"/>
      </w:pPr>
      <w:r>
        <w:rPr>
          <w:rFonts w:hint="eastAsia"/>
        </w:rPr>
        <w:lastRenderedPageBreak/>
        <w:t>（1）术语和定义：对输煤系统、</w:t>
      </w:r>
      <w:r w:rsidRPr="00C8478C">
        <w:rPr>
          <w:rFonts w:hint="eastAsia"/>
        </w:rPr>
        <w:t>人身安全主动防控智能系统</w:t>
      </w:r>
      <w:r>
        <w:rPr>
          <w:rFonts w:hint="eastAsia"/>
        </w:rPr>
        <w:t>、工作票、操作票</w:t>
      </w:r>
      <w:r w:rsidR="00175325">
        <w:rPr>
          <w:rFonts w:hint="eastAsia"/>
        </w:rPr>
        <w:t>的</w:t>
      </w:r>
      <w:r>
        <w:rPr>
          <w:rFonts w:hint="eastAsia"/>
        </w:rPr>
        <w:t>定义进行了阐述</w:t>
      </w:r>
      <w:r w:rsidR="00175325">
        <w:rPr>
          <w:rFonts w:hint="eastAsia"/>
        </w:rPr>
        <w:t>；</w:t>
      </w:r>
    </w:p>
    <w:p w14:paraId="413C82D1" w14:textId="69107E85" w:rsidR="00175325" w:rsidRDefault="00175325" w:rsidP="00C8478C">
      <w:pPr>
        <w:pStyle w:val="af6"/>
      </w:pPr>
      <w:r>
        <w:rPr>
          <w:rFonts w:hint="eastAsia"/>
        </w:rPr>
        <w:t>（2）</w:t>
      </w:r>
      <w:r w:rsidR="00FA7E07">
        <w:rPr>
          <w:rFonts w:hint="eastAsia"/>
        </w:rPr>
        <w:t>总体原则</w:t>
      </w:r>
      <w:r>
        <w:rPr>
          <w:rFonts w:hint="eastAsia"/>
        </w:rPr>
        <w:t>：对</w:t>
      </w:r>
      <w:r w:rsidRPr="00C8478C">
        <w:rPr>
          <w:rFonts w:hint="eastAsia"/>
        </w:rPr>
        <w:t>人身安全主动防控智能系统</w:t>
      </w:r>
      <w:r>
        <w:rPr>
          <w:rFonts w:hint="eastAsia"/>
        </w:rPr>
        <w:t>设计所应遵循的总体原则进行说明；</w:t>
      </w:r>
    </w:p>
    <w:p w14:paraId="6A24E1A9" w14:textId="6DAFF48B" w:rsidR="00175325" w:rsidRDefault="00175325" w:rsidP="00C8478C">
      <w:pPr>
        <w:pStyle w:val="af6"/>
      </w:pPr>
      <w:r>
        <w:rPr>
          <w:rFonts w:hint="eastAsia"/>
        </w:rPr>
        <w:t>（3）系统设计：对</w:t>
      </w:r>
      <w:r w:rsidRPr="00C8478C">
        <w:rPr>
          <w:rFonts w:hint="eastAsia"/>
        </w:rPr>
        <w:t>人身安全主动防控智能系统</w:t>
      </w:r>
      <w:r>
        <w:rPr>
          <w:rFonts w:hint="eastAsia"/>
        </w:rPr>
        <w:t>构架设计及主要功能提供了相关指导；</w:t>
      </w:r>
    </w:p>
    <w:p w14:paraId="25442188" w14:textId="0DA95F73" w:rsidR="00175325" w:rsidRDefault="00175325" w:rsidP="00C8478C">
      <w:pPr>
        <w:pStyle w:val="af6"/>
      </w:pPr>
      <w:r>
        <w:rPr>
          <w:rFonts w:hint="eastAsia"/>
        </w:rPr>
        <w:t>（4）安全准入系统：对安全准入系统设计、功能等提供了相关指导；</w:t>
      </w:r>
    </w:p>
    <w:p w14:paraId="61D5C6F1" w14:textId="7210ADF4" w:rsidR="00175325" w:rsidRDefault="00175325" w:rsidP="00C8478C">
      <w:pPr>
        <w:pStyle w:val="af6"/>
      </w:pPr>
      <w:r>
        <w:rPr>
          <w:rFonts w:hint="eastAsia"/>
        </w:rPr>
        <w:t>（5）</w:t>
      </w:r>
      <w:r w:rsidRPr="00175325">
        <w:rPr>
          <w:rFonts w:hint="eastAsia"/>
        </w:rPr>
        <w:t>气体浓度检测系统</w:t>
      </w:r>
      <w:r>
        <w:rPr>
          <w:rFonts w:hint="eastAsia"/>
        </w:rPr>
        <w:t>：对</w:t>
      </w:r>
      <w:r w:rsidRPr="00175325">
        <w:rPr>
          <w:rFonts w:hint="eastAsia"/>
        </w:rPr>
        <w:t>气体浓度检测系统</w:t>
      </w:r>
      <w:r>
        <w:rPr>
          <w:rFonts w:hint="eastAsia"/>
        </w:rPr>
        <w:t>设计、功能等提供了相关指导；</w:t>
      </w:r>
    </w:p>
    <w:p w14:paraId="238A75F4" w14:textId="2E7670B1" w:rsidR="00175325" w:rsidRDefault="00175325" w:rsidP="00C8478C">
      <w:pPr>
        <w:pStyle w:val="af6"/>
      </w:pPr>
      <w:r>
        <w:rPr>
          <w:rFonts w:hint="eastAsia"/>
        </w:rPr>
        <w:t>（6）</w:t>
      </w:r>
      <w:r w:rsidRPr="00175325">
        <w:rPr>
          <w:rFonts w:hint="eastAsia"/>
        </w:rPr>
        <w:t>皮带运行安全防护系统</w:t>
      </w:r>
      <w:r>
        <w:rPr>
          <w:rFonts w:hint="eastAsia"/>
        </w:rPr>
        <w:t>：设计、功能等提供了相关指导；</w:t>
      </w:r>
    </w:p>
    <w:p w14:paraId="770848E5" w14:textId="273B30D3" w:rsidR="00175325" w:rsidRDefault="00175325" w:rsidP="00C8478C">
      <w:pPr>
        <w:pStyle w:val="af6"/>
      </w:pPr>
      <w:r>
        <w:rPr>
          <w:rFonts w:hint="eastAsia"/>
        </w:rPr>
        <w:t>（7）</w:t>
      </w:r>
      <w:r w:rsidRPr="00175325">
        <w:rPr>
          <w:rFonts w:hint="eastAsia"/>
        </w:rPr>
        <w:t>推煤车安全监管系统</w:t>
      </w:r>
      <w:r>
        <w:rPr>
          <w:rFonts w:hint="eastAsia"/>
        </w:rPr>
        <w:t>：对</w:t>
      </w:r>
      <w:r w:rsidRPr="00175325">
        <w:rPr>
          <w:rFonts w:hint="eastAsia"/>
        </w:rPr>
        <w:t>推煤车安全监管系统</w:t>
      </w:r>
      <w:r>
        <w:rPr>
          <w:rFonts w:hint="eastAsia"/>
        </w:rPr>
        <w:t>设计、功能等提供了相关指导；</w:t>
      </w:r>
    </w:p>
    <w:p w14:paraId="102AFE6A" w14:textId="1A176DE6" w:rsidR="00175325" w:rsidRDefault="00175325" w:rsidP="00C8478C">
      <w:pPr>
        <w:pStyle w:val="af6"/>
      </w:pPr>
      <w:r>
        <w:rPr>
          <w:rFonts w:hint="eastAsia"/>
        </w:rPr>
        <w:t>（8）</w:t>
      </w:r>
      <w:r w:rsidRPr="00175325">
        <w:rPr>
          <w:rFonts w:hint="eastAsia"/>
        </w:rPr>
        <w:t>智慧广播管理系统</w:t>
      </w:r>
      <w:r>
        <w:rPr>
          <w:rFonts w:hint="eastAsia"/>
        </w:rPr>
        <w:t>；对</w:t>
      </w:r>
      <w:r w:rsidRPr="00175325">
        <w:rPr>
          <w:rFonts w:hint="eastAsia"/>
        </w:rPr>
        <w:t>智慧广播管理系统</w:t>
      </w:r>
      <w:r>
        <w:rPr>
          <w:rFonts w:hint="eastAsia"/>
        </w:rPr>
        <w:t>设计、功能等提供了相关指导；</w:t>
      </w:r>
    </w:p>
    <w:p w14:paraId="20220A25" w14:textId="4F88060B" w:rsidR="00175325" w:rsidRDefault="00175325" w:rsidP="00C8478C">
      <w:pPr>
        <w:pStyle w:val="af6"/>
      </w:pPr>
      <w:r>
        <w:rPr>
          <w:rFonts w:hint="eastAsia"/>
        </w:rPr>
        <w:t>（9）</w:t>
      </w:r>
      <w:r w:rsidRPr="00175325">
        <w:rPr>
          <w:rFonts w:hint="eastAsia"/>
        </w:rPr>
        <w:t>作业安全监管系统</w:t>
      </w:r>
      <w:r>
        <w:rPr>
          <w:rFonts w:hint="eastAsia"/>
        </w:rPr>
        <w:t>：对</w:t>
      </w:r>
      <w:r w:rsidRPr="00175325">
        <w:rPr>
          <w:rFonts w:hint="eastAsia"/>
        </w:rPr>
        <w:t>作业安全监管系统</w:t>
      </w:r>
      <w:r>
        <w:rPr>
          <w:rFonts w:hint="eastAsia"/>
        </w:rPr>
        <w:t>设计、功能等提供了相关指导；</w:t>
      </w:r>
    </w:p>
    <w:p w14:paraId="54F79687" w14:textId="462737BE" w:rsidR="00175325" w:rsidRDefault="00175325" w:rsidP="00C8478C">
      <w:pPr>
        <w:pStyle w:val="af6"/>
      </w:pPr>
      <w:r>
        <w:rPr>
          <w:rFonts w:hint="eastAsia"/>
        </w:rPr>
        <w:t>（10）</w:t>
      </w:r>
      <w:r w:rsidRPr="00175325">
        <w:rPr>
          <w:rFonts w:hint="eastAsia"/>
        </w:rPr>
        <w:t>输煤集控中心</w:t>
      </w:r>
      <w:r>
        <w:rPr>
          <w:rFonts w:hint="eastAsia"/>
        </w:rPr>
        <w:t>：对</w:t>
      </w:r>
      <w:r w:rsidRPr="00175325">
        <w:rPr>
          <w:rFonts w:hint="eastAsia"/>
        </w:rPr>
        <w:t>输煤集控中心</w:t>
      </w:r>
      <w:r>
        <w:rPr>
          <w:rFonts w:hint="eastAsia"/>
        </w:rPr>
        <w:t>设计、功能等提供了相关指导；</w:t>
      </w:r>
    </w:p>
    <w:p w14:paraId="5ABB4B5F" w14:textId="3BF0D563" w:rsidR="00175325" w:rsidRDefault="00175325" w:rsidP="00C8478C">
      <w:pPr>
        <w:pStyle w:val="af6"/>
      </w:pPr>
      <w:r>
        <w:rPr>
          <w:rFonts w:hint="eastAsia"/>
        </w:rPr>
        <w:t>（11）</w:t>
      </w:r>
      <w:r w:rsidRPr="00175325">
        <w:rPr>
          <w:rFonts w:hint="eastAsia"/>
        </w:rPr>
        <w:t>安全生产管理平台</w:t>
      </w:r>
      <w:r>
        <w:rPr>
          <w:rFonts w:hint="eastAsia"/>
        </w:rPr>
        <w:t>：对</w:t>
      </w:r>
      <w:r w:rsidRPr="00175325">
        <w:rPr>
          <w:rFonts w:hint="eastAsia"/>
        </w:rPr>
        <w:t>安全生产管理平台</w:t>
      </w:r>
      <w:r>
        <w:rPr>
          <w:rFonts w:hint="eastAsia"/>
        </w:rPr>
        <w:t>设计、平台应用等提供了相关指导；</w:t>
      </w:r>
    </w:p>
    <w:p w14:paraId="2FA65068" w14:textId="162CCE5A" w:rsidR="00175325" w:rsidRPr="00C8478C" w:rsidRDefault="00175325" w:rsidP="00C8478C">
      <w:pPr>
        <w:pStyle w:val="af6"/>
      </w:pPr>
      <w:r>
        <w:rPr>
          <w:rFonts w:hint="eastAsia"/>
        </w:rPr>
        <w:t>（12）</w:t>
      </w:r>
      <w:r w:rsidRPr="00175325">
        <w:rPr>
          <w:rFonts w:hint="eastAsia"/>
        </w:rPr>
        <w:t>AI开放平台</w:t>
      </w:r>
      <w:r>
        <w:rPr>
          <w:rFonts w:hint="eastAsia"/>
        </w:rPr>
        <w:t>：对</w:t>
      </w:r>
      <w:r w:rsidRPr="00175325">
        <w:rPr>
          <w:rFonts w:hint="eastAsia"/>
        </w:rPr>
        <w:t>AI开放平台</w:t>
      </w:r>
      <w:r>
        <w:rPr>
          <w:rFonts w:hint="eastAsia"/>
        </w:rPr>
        <w:t>设计、功能等提供了相关指导。</w:t>
      </w:r>
    </w:p>
    <w:p w14:paraId="50B5F0A4" w14:textId="77777777" w:rsidR="00C81D62" w:rsidRDefault="00C81D62" w:rsidP="00C81D62">
      <w:pPr>
        <w:pStyle w:val="11"/>
        <w:spacing w:before="312" w:after="312"/>
      </w:pPr>
      <w:bookmarkStart w:id="35" w:name="_Toc513731114"/>
      <w:r>
        <w:rPr>
          <w:rFonts w:ascii="宋体" w:hAnsi="宋体" w:hint="eastAsia"/>
          <w:szCs w:val="21"/>
        </w:rPr>
        <w:t>5</w:t>
      </w:r>
      <w:r>
        <w:rPr>
          <w:rFonts w:ascii="宋体" w:hAnsi="宋体" w:hint="eastAsia"/>
          <w:szCs w:val="21"/>
        </w:rPr>
        <w:t>相关</w:t>
      </w:r>
      <w:r>
        <w:rPr>
          <w:rFonts w:hint="eastAsia"/>
        </w:rPr>
        <w:t>标准对比说明</w:t>
      </w:r>
      <w:bookmarkEnd w:id="35"/>
    </w:p>
    <w:p w14:paraId="531D3B46" w14:textId="222B8BB8" w:rsidR="007F43C0" w:rsidRDefault="007F43C0" w:rsidP="007F43C0">
      <w:pPr>
        <w:pStyle w:val="af6"/>
      </w:pPr>
      <w:r>
        <w:rPr>
          <w:rFonts w:hint="eastAsia"/>
        </w:rPr>
        <w:t>（1）《电业安全工作规程 第1部分：热力和机械》（GB 26164.1-2010）</w:t>
      </w:r>
      <w:r w:rsidRPr="007F43C0">
        <w:rPr>
          <w:rFonts w:hint="eastAsia"/>
        </w:rPr>
        <w:t>规定</w:t>
      </w:r>
      <w:r>
        <w:rPr>
          <w:rFonts w:hint="eastAsia"/>
        </w:rPr>
        <w:t>了</w:t>
      </w:r>
      <w:r w:rsidRPr="007F43C0">
        <w:rPr>
          <w:rFonts w:hint="eastAsia"/>
        </w:rPr>
        <w:t>输煤作业人员的安全行为规范</w:t>
      </w:r>
      <w:r>
        <w:rPr>
          <w:rFonts w:hint="eastAsia"/>
        </w:rPr>
        <w:t>、设施设备使用规范，强调人员培训和现场管理，依赖人工执行与管理。本标准通过</w:t>
      </w:r>
      <w:r>
        <w:t>UWB</w:t>
      </w:r>
      <w:r>
        <w:rPr>
          <w:rFonts w:hint="eastAsia"/>
        </w:rPr>
        <w:t>定位技术、电子围栏等功能，可自动识别人员位置并联动设备启停，减少人为误操作风险。</w:t>
      </w:r>
    </w:p>
    <w:p w14:paraId="3F2C40A0" w14:textId="58470533" w:rsidR="007F43C0" w:rsidRDefault="007F43C0" w:rsidP="007F43C0">
      <w:pPr>
        <w:pStyle w:val="af6"/>
      </w:pPr>
      <w:r>
        <w:rPr>
          <w:rFonts w:hint="eastAsia"/>
        </w:rPr>
        <w:t>（2）《火力发电企业生产安全设施配置标准》</w:t>
      </w:r>
      <w:r>
        <w:rPr>
          <w:rFonts w:ascii="Times New Roman"/>
        </w:rPr>
        <w:t>​</w:t>
      </w:r>
      <w:r>
        <w:rPr>
          <w:rFonts w:ascii="Times New Roman" w:hint="eastAsia"/>
        </w:rPr>
        <w:t>（</w:t>
      </w:r>
      <w:r w:rsidRPr="007F43C0">
        <w:t>DL/T 1123-2009</w:t>
      </w:r>
      <w:r>
        <w:rPr>
          <w:rFonts w:ascii="Times New Roman" w:hint="eastAsia"/>
        </w:rPr>
        <w:t>）</w:t>
      </w:r>
      <w:r>
        <w:rPr>
          <w:rFonts w:hint="eastAsia"/>
        </w:rPr>
        <w:t>规范了输煤系统作业现场的安全设施配置，包括护栏、盖板、警示标识、应急照明等基础防护措施。属于</w:t>
      </w:r>
      <w:r>
        <w:t>​</w:t>
      </w:r>
      <w:r>
        <w:rPr>
          <w:rFonts w:hint="eastAsia"/>
        </w:rPr>
        <w:t>传统被动防护，侧重物理隔离和人工管理，缺乏对动态风险的实时监测与主动干预能力。本标准采用</w:t>
      </w:r>
      <w:r>
        <w:t>UWB</w:t>
      </w:r>
      <w:r>
        <w:rPr>
          <w:rFonts w:hint="eastAsia"/>
        </w:rPr>
        <w:t>定位技术等智能手段，</w:t>
      </w:r>
      <w:r w:rsidRPr="007F43C0">
        <w:rPr>
          <w:rFonts w:hint="eastAsia"/>
        </w:rPr>
        <w:t>实现设备状态实时监控或人员行为风险预警</w:t>
      </w:r>
      <w:r>
        <w:rPr>
          <w:rFonts w:hint="eastAsia"/>
        </w:rPr>
        <w:t>。</w:t>
      </w:r>
    </w:p>
    <w:p w14:paraId="35920ABD" w14:textId="1AD53061" w:rsidR="006E2E9A" w:rsidRDefault="007F43C0" w:rsidP="006E2E9A">
      <w:pPr>
        <w:pStyle w:val="af6"/>
      </w:pPr>
      <w:r>
        <w:t>​</w:t>
      </w:r>
      <w:r>
        <w:rPr>
          <w:rFonts w:hint="eastAsia"/>
        </w:rPr>
        <w:t>（3）</w:t>
      </w:r>
      <w:r w:rsidR="006E2E9A">
        <w:rPr>
          <w:rFonts w:hint="eastAsia"/>
        </w:rPr>
        <w:t>《</w:t>
      </w:r>
      <w:r w:rsidR="006E2E9A" w:rsidRPr="006E2E9A">
        <w:rPr>
          <w:rFonts w:hint="eastAsia"/>
        </w:rPr>
        <w:t>电力设备典型消防规程</w:t>
      </w:r>
      <w:r w:rsidR="006E2E9A">
        <w:rPr>
          <w:rFonts w:hint="eastAsia"/>
        </w:rPr>
        <w:t>》（</w:t>
      </w:r>
      <w:r w:rsidR="006E2E9A" w:rsidRPr="006E2E9A">
        <w:t>DL 5027-2015</w:t>
      </w:r>
      <w:r w:rsidR="006E2E9A">
        <w:rPr>
          <w:rFonts w:hint="eastAsia"/>
        </w:rPr>
        <w:t>）提及针对输煤系统火灾风险，要求配置消防设施（如灭火器、喷淋系统）和煤粉浓度监测装置，聚焦火灾发生后的应急措施，是以</w:t>
      </w:r>
      <w:r w:rsidR="006E2E9A">
        <w:t>​</w:t>
      </w:r>
      <w:r w:rsidR="006E2E9A">
        <w:rPr>
          <w:rFonts w:hint="eastAsia"/>
        </w:rPr>
        <w:t>事后处置为主。本标准通过实时监测气体、粉尘浓度等参数，结合</w:t>
      </w:r>
      <w:r w:rsidR="006E2E9A">
        <w:t>AI</w:t>
      </w:r>
      <w:r w:rsidR="006E2E9A">
        <w:rPr>
          <w:rFonts w:hint="eastAsia"/>
        </w:rPr>
        <w:t>算法预测火灾风险并提前干预，实现从“灭火”到“防火”的转变。</w:t>
      </w:r>
    </w:p>
    <w:p w14:paraId="5D3B36C0" w14:textId="3985945B" w:rsidR="006E2E9A" w:rsidRDefault="006E2E9A" w:rsidP="006E2E9A">
      <w:pPr>
        <w:pStyle w:val="af6"/>
      </w:pPr>
      <w:r>
        <w:t>​</w:t>
      </w:r>
      <w:r>
        <w:rPr>
          <w:rFonts w:hint="eastAsia"/>
        </w:rPr>
        <w:t>（4）《</w:t>
      </w:r>
      <w:r w:rsidRPr="006E2E9A">
        <w:rPr>
          <w:rFonts w:hint="eastAsia"/>
        </w:rPr>
        <w:t>机械安全</w:t>
      </w:r>
      <w:r>
        <w:rPr>
          <w:rFonts w:hint="eastAsia"/>
        </w:rPr>
        <w:t xml:space="preserve"> </w:t>
      </w:r>
      <w:r w:rsidRPr="006E2E9A">
        <w:rPr>
          <w:rFonts w:hint="eastAsia"/>
        </w:rPr>
        <w:t>设计一般原则</w:t>
      </w:r>
      <w:r>
        <w:rPr>
          <w:rFonts w:hint="eastAsia"/>
        </w:rPr>
        <w:t xml:space="preserve"> </w:t>
      </w:r>
      <w:r w:rsidRPr="006E2E9A">
        <w:rPr>
          <w:rFonts w:hint="eastAsia"/>
        </w:rPr>
        <w:t>风险评估和风险降低</w:t>
      </w:r>
      <w:r>
        <w:rPr>
          <w:rFonts w:hint="eastAsia"/>
        </w:rPr>
        <w:t>》（</w:t>
      </w:r>
      <w:r>
        <w:t>​</w:t>
      </w:r>
      <w:r>
        <w:t>ISO 12100</w:t>
      </w:r>
      <w:r>
        <w:t>​</w:t>
      </w:r>
      <w:r>
        <w:rPr>
          <w:rFonts w:hint="eastAsia"/>
        </w:rPr>
        <w:t>）为通用性框架，强调机械设计阶段的本质安全，</w:t>
      </w:r>
      <w:r w:rsidRPr="006E2E9A">
        <w:rPr>
          <w:rFonts w:hint="eastAsia"/>
        </w:rPr>
        <w:t>聚焦传统安全设计</w:t>
      </w:r>
      <w:r>
        <w:rPr>
          <w:rFonts w:hint="eastAsia"/>
        </w:rPr>
        <w:t>，但未涉及智能化主动防控技术。</w:t>
      </w:r>
      <w:r w:rsidR="00750F8D">
        <w:rPr>
          <w:rFonts w:hint="eastAsia"/>
        </w:rPr>
        <w:t>本标准所述主动防控系统可完成</w:t>
      </w:r>
      <w:r w:rsidR="00750F8D" w:rsidRPr="00750F8D">
        <w:rPr>
          <w:rFonts w:hint="eastAsia"/>
        </w:rPr>
        <w:t>从数据采集到自动控制的</w:t>
      </w:r>
      <w:proofErr w:type="gramStart"/>
      <w:r w:rsidR="00750F8D" w:rsidRPr="00750F8D">
        <w:rPr>
          <w:rFonts w:hint="eastAsia"/>
        </w:rPr>
        <w:t>完整技术</w:t>
      </w:r>
      <w:proofErr w:type="gramEnd"/>
      <w:r w:rsidR="00750F8D" w:rsidRPr="00750F8D">
        <w:rPr>
          <w:rFonts w:hint="eastAsia"/>
        </w:rPr>
        <w:t>链路，强化动态</w:t>
      </w:r>
      <w:r w:rsidR="00750F8D">
        <w:rPr>
          <w:rFonts w:hint="eastAsia"/>
        </w:rPr>
        <w:t>、</w:t>
      </w:r>
      <w:proofErr w:type="gramStart"/>
      <w:r w:rsidR="00750F8D">
        <w:rPr>
          <w:rFonts w:hint="eastAsia"/>
        </w:rPr>
        <w:t>实时</w:t>
      </w:r>
      <w:r w:rsidR="00750F8D" w:rsidRPr="00750F8D">
        <w:rPr>
          <w:rFonts w:hint="eastAsia"/>
        </w:rPr>
        <w:t>管</w:t>
      </w:r>
      <w:proofErr w:type="gramEnd"/>
      <w:r w:rsidR="00750F8D" w:rsidRPr="00750F8D">
        <w:rPr>
          <w:rFonts w:hint="eastAsia"/>
        </w:rPr>
        <w:t>控</w:t>
      </w:r>
      <w:r w:rsidR="00750F8D">
        <w:rPr>
          <w:rFonts w:hint="eastAsia"/>
        </w:rPr>
        <w:t>。</w:t>
      </w:r>
    </w:p>
    <w:p w14:paraId="4A11BF55" w14:textId="466B9B4F" w:rsidR="00C81D62" w:rsidRDefault="006E2E9A" w:rsidP="006E2E9A">
      <w:pPr>
        <w:pStyle w:val="af6"/>
      </w:pPr>
      <w:r>
        <w:t>​</w:t>
      </w:r>
      <w:r>
        <w:rPr>
          <w:rFonts w:hint="eastAsia"/>
        </w:rPr>
        <w:t>（5）《</w:t>
      </w:r>
      <w:r w:rsidRPr="006E2E9A">
        <w:rPr>
          <w:rFonts w:hint="eastAsia"/>
        </w:rPr>
        <w:t>电气/电子/可编程电子安全</w:t>
      </w:r>
      <w:r>
        <w:rPr>
          <w:rFonts w:hint="eastAsia"/>
        </w:rPr>
        <w:t>相关系统</w:t>
      </w:r>
      <w:r w:rsidRPr="006E2E9A">
        <w:rPr>
          <w:rFonts w:hint="eastAsia"/>
        </w:rPr>
        <w:t>的功能安全</w:t>
      </w:r>
      <w:r>
        <w:rPr>
          <w:rFonts w:hint="eastAsia"/>
        </w:rPr>
        <w:t>》（</w:t>
      </w:r>
      <w:r>
        <w:t>IEC 61508</w:t>
      </w:r>
      <w:r>
        <w:rPr>
          <w:rFonts w:hint="eastAsia"/>
        </w:rPr>
        <w:t>）聚焦功能安全设计，但未针对燃煤发电厂场景进行细化。</w:t>
      </w:r>
      <w:r w:rsidR="00750F8D">
        <w:rPr>
          <w:rFonts w:hint="eastAsia"/>
        </w:rPr>
        <w:t>本标准聚焦于燃煤发电厂输煤系统，对其主动防控智能化系统设计进行说明。</w:t>
      </w:r>
    </w:p>
    <w:p w14:paraId="022B5F36" w14:textId="77777777" w:rsidR="00C81D62" w:rsidRDefault="00C81D62" w:rsidP="00C81D62">
      <w:pPr>
        <w:pStyle w:val="11"/>
        <w:spacing w:before="312" w:after="312"/>
        <w:rPr>
          <w:rFonts w:ascii="宋体" w:hAnsi="宋体" w:hint="eastAsia"/>
          <w:szCs w:val="21"/>
        </w:rPr>
      </w:pPr>
      <w:bookmarkStart w:id="36" w:name="_Toc513731115"/>
      <w:r>
        <w:rPr>
          <w:rFonts w:ascii="宋体" w:hAnsi="宋体" w:hint="eastAsia"/>
          <w:szCs w:val="21"/>
        </w:rPr>
        <w:t>6</w:t>
      </w:r>
      <w:r>
        <w:rPr>
          <w:rFonts w:ascii="宋体" w:hAnsi="宋体" w:hint="eastAsia"/>
          <w:szCs w:val="21"/>
        </w:rPr>
        <w:t>标准实施措施说明</w:t>
      </w:r>
      <w:bookmarkEnd w:id="36"/>
    </w:p>
    <w:p w14:paraId="2B8ACB62" w14:textId="50F50269" w:rsidR="00C8478C" w:rsidRPr="00C8478C" w:rsidRDefault="00C8478C" w:rsidP="00C8478C">
      <w:pPr>
        <w:pStyle w:val="af6"/>
      </w:pPr>
      <w:r w:rsidRPr="00C8478C">
        <w:rPr>
          <w:rFonts w:hint="eastAsia"/>
        </w:rPr>
        <w:t>本标准</w:t>
      </w:r>
      <w:r w:rsidR="00750F8D">
        <w:rPr>
          <w:rFonts w:hint="eastAsia"/>
        </w:rPr>
        <w:t>发布</w:t>
      </w:r>
      <w:r w:rsidRPr="00C8478C">
        <w:rPr>
          <w:rFonts w:hint="eastAsia"/>
        </w:rPr>
        <w:t>后，</w:t>
      </w:r>
      <w:r w:rsidR="00750F8D">
        <w:rPr>
          <w:rFonts w:hint="eastAsia"/>
        </w:rPr>
        <w:t>标准发起单位</w:t>
      </w:r>
      <w:r w:rsidR="00750F8D" w:rsidRPr="00750F8D">
        <w:rPr>
          <w:rFonts w:hint="eastAsia"/>
        </w:rPr>
        <w:t>中国华能集团北方联合电力有限责任公司</w:t>
      </w:r>
      <w:r w:rsidRPr="00C8478C">
        <w:rPr>
          <w:rFonts w:hint="eastAsia"/>
        </w:rPr>
        <w:t>将发挥行业领域带头作用，</w:t>
      </w:r>
      <w:r w:rsidR="00750F8D">
        <w:rPr>
          <w:rFonts w:hint="eastAsia"/>
        </w:rPr>
        <w:t>联合参与单位</w:t>
      </w:r>
      <w:r w:rsidRPr="00C8478C">
        <w:rPr>
          <w:rFonts w:hint="eastAsia"/>
        </w:rPr>
        <w:t>组织开展宣贯培训，高效协调</w:t>
      </w:r>
      <w:r w:rsidR="00750F8D">
        <w:rPr>
          <w:rFonts w:hint="eastAsia"/>
        </w:rPr>
        <w:t>行业内相关电力公司、发电厂等单位</w:t>
      </w:r>
      <w:r w:rsidRPr="00C8478C">
        <w:rPr>
          <w:rFonts w:hint="eastAsia"/>
        </w:rPr>
        <w:t>参与标准学习，保障标准有效落地，并对标准实施成效</w:t>
      </w:r>
      <w:proofErr w:type="gramStart"/>
      <w:r w:rsidRPr="00C8478C">
        <w:rPr>
          <w:rFonts w:hint="eastAsia"/>
        </w:rPr>
        <w:t>作出</w:t>
      </w:r>
      <w:proofErr w:type="gramEnd"/>
      <w:r w:rsidRPr="00C8478C">
        <w:rPr>
          <w:rFonts w:hint="eastAsia"/>
        </w:rPr>
        <w:t>充分的评估及持续改进。</w:t>
      </w:r>
      <w:r w:rsidR="00750F8D">
        <w:rPr>
          <w:rFonts w:hint="eastAsia"/>
        </w:rPr>
        <w:t>集团</w:t>
      </w:r>
      <w:r w:rsidRPr="00C8478C">
        <w:rPr>
          <w:rFonts w:hint="eastAsia"/>
        </w:rPr>
        <w:t>将第一时间落实标准内容，建立长效管理机制，确保落实到位。</w:t>
      </w:r>
    </w:p>
    <w:p w14:paraId="06A94AC4" w14:textId="77777777" w:rsidR="00C8478C" w:rsidRPr="00C8478C" w:rsidRDefault="00C8478C" w:rsidP="00C8478C">
      <w:pPr>
        <w:pStyle w:val="af6"/>
      </w:pPr>
      <w:r w:rsidRPr="00C8478C">
        <w:rPr>
          <w:rFonts w:hint="eastAsia"/>
        </w:rPr>
        <w:t>为全面宣传和贯彻执行标准，需采取下列措施进行推进：</w:t>
      </w:r>
    </w:p>
    <w:p w14:paraId="27A604B7" w14:textId="5C28BEEE" w:rsidR="00C8478C" w:rsidRPr="00C8478C" w:rsidRDefault="00750F8D" w:rsidP="00C8478C">
      <w:pPr>
        <w:pStyle w:val="af6"/>
      </w:pPr>
      <w:r>
        <w:rPr>
          <w:rFonts w:hint="eastAsia"/>
        </w:rPr>
        <w:t>（1）</w:t>
      </w:r>
      <w:r w:rsidR="00C8478C" w:rsidRPr="00C8478C">
        <w:rPr>
          <w:rFonts w:hint="eastAsia"/>
        </w:rPr>
        <w:t>组建宣贯领导组和工作组。组织参与</w:t>
      </w:r>
      <w:r>
        <w:rPr>
          <w:rFonts w:hint="eastAsia"/>
        </w:rPr>
        <w:t>本标准编制</w:t>
      </w:r>
      <w:r w:rsidR="00C8478C" w:rsidRPr="00C8478C">
        <w:rPr>
          <w:rFonts w:hint="eastAsia"/>
        </w:rPr>
        <w:t>工作的相关人员组成标准宣贯领导组和工作组；</w:t>
      </w:r>
    </w:p>
    <w:p w14:paraId="47E948AF" w14:textId="48273B11" w:rsidR="00C81D62" w:rsidRDefault="00750F8D" w:rsidP="00C8478C">
      <w:pPr>
        <w:pStyle w:val="af6"/>
      </w:pPr>
      <w:r>
        <w:rPr>
          <w:rFonts w:hint="eastAsia"/>
        </w:rPr>
        <w:lastRenderedPageBreak/>
        <w:t>（2）</w:t>
      </w:r>
      <w:r w:rsidR="00C8478C" w:rsidRPr="00C8478C">
        <w:rPr>
          <w:rFonts w:hint="eastAsia"/>
        </w:rPr>
        <w:t>广泛宣传，大力动员。举办宣传贯彻培训班，印制发放宣传手册，借助政府网站、新闻媒体、现代通信手段</w:t>
      </w:r>
      <w:proofErr w:type="gramStart"/>
      <w:r w:rsidR="00C8478C" w:rsidRPr="00C8478C">
        <w:rPr>
          <w:rFonts w:hint="eastAsia"/>
        </w:rPr>
        <w:t>如微信等</w:t>
      </w:r>
      <w:proofErr w:type="gramEnd"/>
      <w:r w:rsidR="00C8478C" w:rsidRPr="00C8478C">
        <w:rPr>
          <w:rFonts w:hint="eastAsia"/>
        </w:rPr>
        <w:t>平台进行广泛宣传。</w:t>
      </w:r>
    </w:p>
    <w:p w14:paraId="6C71F28D" w14:textId="4B569D43" w:rsidR="00750F8D" w:rsidRPr="00C8478C" w:rsidRDefault="00750F8D" w:rsidP="00C8478C">
      <w:pPr>
        <w:pStyle w:val="af6"/>
      </w:pPr>
      <w:r>
        <w:rPr>
          <w:rFonts w:hint="eastAsia"/>
        </w:rPr>
        <w:t>（3）</w:t>
      </w:r>
      <w:r w:rsidRPr="00750F8D">
        <w:rPr>
          <w:rFonts w:hint="eastAsia"/>
        </w:rPr>
        <w:t>解析技术指标与实施难点</w:t>
      </w:r>
      <w:r w:rsidR="001539A9">
        <w:rPr>
          <w:rFonts w:hint="eastAsia"/>
        </w:rPr>
        <w:t>。</w:t>
      </w:r>
      <w:r>
        <w:rPr>
          <w:rFonts w:hint="eastAsia"/>
        </w:rPr>
        <w:t>联合</w:t>
      </w:r>
      <w:r w:rsidR="001539A9">
        <w:rPr>
          <w:rFonts w:hint="eastAsia"/>
        </w:rPr>
        <w:t>主动防控</w:t>
      </w:r>
      <w:r>
        <w:rPr>
          <w:rFonts w:hint="eastAsia"/>
        </w:rPr>
        <w:t>系统设计人员，对</w:t>
      </w:r>
      <w:r w:rsidR="001539A9">
        <w:rPr>
          <w:rFonts w:hint="eastAsia"/>
        </w:rPr>
        <w:t>发电厂等相关单位</w:t>
      </w:r>
      <w:r>
        <w:rPr>
          <w:rFonts w:hint="eastAsia"/>
        </w:rPr>
        <w:t>开展操作演练，技术指导及案例解析等</w:t>
      </w:r>
      <w:r w:rsidR="001539A9">
        <w:rPr>
          <w:rFonts w:hint="eastAsia"/>
        </w:rPr>
        <w:t>，为系统建设提供有效的技术指导</w:t>
      </w:r>
      <w:r>
        <w:rPr>
          <w:rFonts w:hint="eastAsia"/>
        </w:rPr>
        <w:t>。</w:t>
      </w:r>
    </w:p>
    <w:p w14:paraId="5B963CC3" w14:textId="77777777" w:rsidR="00C81D62" w:rsidRDefault="00C81D62" w:rsidP="00C81D62">
      <w:pPr>
        <w:rPr>
          <w:rFonts w:ascii="黑体" w:eastAsia="黑体" w:hAnsi="黑体" w:hint="eastAsia"/>
          <w:bCs/>
          <w:sz w:val="32"/>
          <w:szCs w:val="32"/>
        </w:rPr>
      </w:pPr>
    </w:p>
    <w:p w14:paraId="5948D186" w14:textId="77777777" w:rsidR="00746DE5" w:rsidRDefault="00746DE5"/>
    <w:sectPr w:rsidR="00746DE5" w:rsidSect="00C81D62">
      <w:pgSz w:w="11906" w:h="16838"/>
      <w:pgMar w:top="1440"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9E7A4" w14:textId="77777777" w:rsidR="00FE50F1" w:rsidRDefault="00FE50F1" w:rsidP="00C81D62">
      <w:r>
        <w:separator/>
      </w:r>
    </w:p>
  </w:endnote>
  <w:endnote w:type="continuationSeparator" w:id="0">
    <w:p w14:paraId="6036CE76" w14:textId="77777777" w:rsidR="00FE50F1" w:rsidRDefault="00FE50F1" w:rsidP="00C8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BA72" w14:textId="77777777" w:rsidR="00C81D62" w:rsidRDefault="00C81D62">
    <w:pPr>
      <w:pStyle w:val="af9"/>
      <w:jc w:val="center"/>
    </w:pPr>
    <w:r>
      <w:rPr>
        <w:kern w:val="2"/>
      </w:rPr>
      <w:fldChar w:fldCharType="begin"/>
    </w:r>
    <w:r>
      <w:rPr>
        <w:rStyle w:val="af4"/>
        <w:kern w:val="2"/>
      </w:rPr>
      <w:instrText xml:space="preserve"> PAGE </w:instrText>
    </w:r>
    <w:r>
      <w:rPr>
        <w:kern w:val="2"/>
      </w:rPr>
      <w:fldChar w:fldCharType="separate"/>
    </w:r>
    <w:r>
      <w:rPr>
        <w:rStyle w:val="af4"/>
        <w:kern w:val="2"/>
      </w:rPr>
      <w:t>27</w:t>
    </w:r>
    <w:r>
      <w:rPr>
        <w:kern w:val="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82B3" w14:textId="77777777" w:rsidR="00C81D62" w:rsidRDefault="00000000">
    <w:pPr>
      <w:pStyle w:val="af2"/>
    </w:pPr>
    <w:r>
      <w:pict w14:anchorId="2DA5E0DA">
        <v:shapetype id="_x0000_t202" coordsize="21600,21600" o:spt="202" path="m,l,21600r21600,l21600,xe">
          <v:stroke joinstyle="miter"/>
          <v:path gradientshapeok="t" o:connecttype="rect"/>
        </v:shapetype>
        <v:shape id="文本框 5" o:spid="_x0000_s1025" type="#_x0000_t202" style="position:absolute;margin-left:0;margin-top:0;width:20.9pt;height:13.75pt;z-index:251659264;mso-position-horizontal:center;mso-position-horizontal-relative:margin" filled="f" stroked="f">
          <v:fill o:detectmouseclick="t"/>
          <v:textbox inset="0,0,0,0">
            <w:txbxContent>
              <w:p w14:paraId="4FAFE722" w14:textId="77777777" w:rsidR="00C81D62" w:rsidRDefault="00C81D62">
                <w:pPr>
                  <w:tabs>
                    <w:tab w:val="center" w:pos="4153"/>
                    <w:tab w:val="right" w:pos="8306"/>
                  </w:tabs>
                </w:pPr>
                <w:r>
                  <w:fldChar w:fldCharType="begin"/>
                </w:r>
                <w:r>
                  <w:instrText xml:space="preserve"> PAGE  \* MERGEFORMAT </w:instrText>
                </w:r>
                <w:r>
                  <w:fldChar w:fldCharType="separate"/>
                </w:r>
                <w:r>
                  <w:t>33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88B5" w14:textId="77777777" w:rsidR="00FE50F1" w:rsidRDefault="00FE50F1" w:rsidP="00C81D62">
      <w:r>
        <w:separator/>
      </w:r>
    </w:p>
  </w:footnote>
  <w:footnote w:type="continuationSeparator" w:id="0">
    <w:p w14:paraId="60726916" w14:textId="77777777" w:rsidR="00FE50F1" w:rsidRDefault="00FE50F1" w:rsidP="00C8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9AE1" w14:textId="77777777" w:rsidR="00C81D62" w:rsidRDefault="00C81D62">
    <w:pPr>
      <w:pStyle w:val="af7"/>
      <w:spacing w:before="120" w:after="120"/>
      <w:jc w:val="both"/>
    </w:pPr>
    <w:r>
      <w:t>Q/</w:t>
    </w:r>
    <w:r>
      <w:rPr>
        <w:rFonts w:hint="eastAsia"/>
      </w:rPr>
      <w:t>GDW</w:t>
    </w:r>
    <w:r>
      <w:rPr>
        <w:rFonts w:hAnsi="宋体" w:hint="eastAsia"/>
      </w:rPr>
      <w:t xml:space="preserve"> </w:t>
    </w:r>
    <w:r>
      <w:rPr>
        <w:rFonts w:hAnsi="黑体" w:hint="eastAsia"/>
      </w:rPr>
      <w:t>XX-XXX</w:t>
    </w:r>
    <w:r>
      <w:rPr>
        <w:rFonts w:hAnsi="黑体"/>
      </w:rPr>
      <w:t>—</w:t>
    </w:r>
    <w:r>
      <w:rPr>
        <w:rFonts w:hAnsi="黑体" w:hint="eastAsia"/>
      </w:rPr>
      <w:t>2012-1XXXX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C7861" w14:textId="77777777" w:rsidR="00C81D62" w:rsidRDefault="00C81D62">
    <w:pPr>
      <w:pStyle w:val="af7"/>
      <w:wordWrap w:val="0"/>
    </w:pPr>
    <w:r>
      <w:rPr>
        <w:rFonts w:hint="eastAsia"/>
      </w:rPr>
      <w:t>T</w:t>
    </w:r>
    <w:r>
      <w:t>/</w:t>
    </w:r>
    <w:r>
      <w:rPr>
        <w:rFonts w:hint="eastAsia"/>
      </w:rPr>
      <w:t>CSEE</w:t>
    </w:r>
    <w:r>
      <w:rPr>
        <w:rFonts w:hAnsi="黑体" w:hint="eastAsia"/>
      </w:rPr>
      <w:t xml:space="preserve"> XXXX-YYYY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896C" w14:textId="77777777" w:rsidR="00C81D62" w:rsidRDefault="00C81D62">
    <w:pPr>
      <w:pStyle w:val="af7"/>
      <w:wordWrap w:val="0"/>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490705533">
    <w:abstractNumId w:val="0"/>
  </w:num>
  <w:num w:numId="2" w16cid:durableId="2043086717">
    <w:abstractNumId w:val="1"/>
  </w:num>
  <w:num w:numId="3" w16cid:durableId="1622420841">
    <w:abstractNumId w:val="1"/>
  </w:num>
  <w:num w:numId="4" w16cid:durableId="1833065202">
    <w:abstractNumId w:val="1"/>
  </w:num>
  <w:num w:numId="5" w16cid:durableId="585458316">
    <w:abstractNumId w:val="1"/>
  </w:num>
  <w:num w:numId="6" w16cid:durableId="83890882">
    <w:abstractNumId w:val="1"/>
  </w:num>
  <w:num w:numId="7" w16cid:durableId="1107772741">
    <w:abstractNumId w:val="1"/>
  </w:num>
  <w:num w:numId="8" w16cid:durableId="2073388688">
    <w:abstractNumId w:val="1"/>
  </w:num>
  <w:num w:numId="9" w16cid:durableId="272178170">
    <w:abstractNumId w:val="1"/>
  </w:num>
  <w:num w:numId="10" w16cid:durableId="887187172">
    <w:abstractNumId w:val="1"/>
  </w:num>
  <w:num w:numId="11" w16cid:durableId="147706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23E9"/>
    <w:rsid w:val="0008287A"/>
    <w:rsid w:val="000C5607"/>
    <w:rsid w:val="00131C5B"/>
    <w:rsid w:val="00153106"/>
    <w:rsid w:val="001539A9"/>
    <w:rsid w:val="00163E9D"/>
    <w:rsid w:val="00175325"/>
    <w:rsid w:val="001B3D28"/>
    <w:rsid w:val="001B73FA"/>
    <w:rsid w:val="001E3E8B"/>
    <w:rsid w:val="002763D4"/>
    <w:rsid w:val="002F2E48"/>
    <w:rsid w:val="00530FED"/>
    <w:rsid w:val="005A7CD2"/>
    <w:rsid w:val="005B2AD1"/>
    <w:rsid w:val="006E2E9A"/>
    <w:rsid w:val="00746DE5"/>
    <w:rsid w:val="00750F8D"/>
    <w:rsid w:val="007538E1"/>
    <w:rsid w:val="007F43C0"/>
    <w:rsid w:val="00843D4B"/>
    <w:rsid w:val="008502D9"/>
    <w:rsid w:val="008519DE"/>
    <w:rsid w:val="008631BA"/>
    <w:rsid w:val="008A71FC"/>
    <w:rsid w:val="008F28F5"/>
    <w:rsid w:val="0094403B"/>
    <w:rsid w:val="009A23E9"/>
    <w:rsid w:val="00A407CD"/>
    <w:rsid w:val="00A561DE"/>
    <w:rsid w:val="00B451D3"/>
    <w:rsid w:val="00BE7592"/>
    <w:rsid w:val="00C41E93"/>
    <w:rsid w:val="00C81D62"/>
    <w:rsid w:val="00C8478C"/>
    <w:rsid w:val="00E32CEF"/>
    <w:rsid w:val="00EA60AA"/>
    <w:rsid w:val="00F37B7C"/>
    <w:rsid w:val="00F44D60"/>
    <w:rsid w:val="00FA7E07"/>
    <w:rsid w:val="00FE5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6734B"/>
  <w15:chartTrackingRefBased/>
  <w15:docId w15:val="{A72008E6-6AE0-46DE-82FC-B779A6B7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1D62"/>
    <w:pPr>
      <w:widowControl w:val="0"/>
      <w:jc w:val="both"/>
    </w:pPr>
    <w:rPr>
      <w:rFonts w:ascii="Times New Roman" w:eastAsia="宋体" w:hAnsi="Times New Roman" w:cs="Times New Roman"/>
      <w:szCs w:val="20"/>
      <w14:ligatures w14:val="none"/>
    </w:rPr>
  </w:style>
  <w:style w:type="paragraph" w:styleId="1">
    <w:name w:val="heading 1"/>
    <w:basedOn w:val="a1"/>
    <w:next w:val="a1"/>
    <w:link w:val="10"/>
    <w:uiPriority w:val="9"/>
    <w:qFormat/>
    <w:rsid w:val="009A23E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1"/>
    <w:next w:val="a1"/>
    <w:link w:val="20"/>
    <w:uiPriority w:val="9"/>
    <w:semiHidden/>
    <w:unhideWhenUsed/>
    <w:qFormat/>
    <w:rsid w:val="009A23E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1"/>
    <w:next w:val="a1"/>
    <w:link w:val="30"/>
    <w:uiPriority w:val="9"/>
    <w:semiHidden/>
    <w:unhideWhenUsed/>
    <w:qFormat/>
    <w:rsid w:val="009A23E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1"/>
    <w:next w:val="a1"/>
    <w:link w:val="40"/>
    <w:uiPriority w:val="9"/>
    <w:semiHidden/>
    <w:unhideWhenUsed/>
    <w:qFormat/>
    <w:rsid w:val="009A23E9"/>
    <w:pPr>
      <w:keepNext/>
      <w:keepLines/>
      <w:spacing w:before="80" w:after="40"/>
      <w:outlineLvl w:val="3"/>
    </w:pPr>
    <w:rPr>
      <w:rFonts w:cstheme="majorBidi"/>
      <w:color w:val="0F4761" w:themeColor="accent1" w:themeShade="BF"/>
      <w:sz w:val="28"/>
      <w:szCs w:val="28"/>
    </w:rPr>
  </w:style>
  <w:style w:type="paragraph" w:styleId="5">
    <w:name w:val="heading 5"/>
    <w:basedOn w:val="a1"/>
    <w:next w:val="a1"/>
    <w:link w:val="50"/>
    <w:uiPriority w:val="9"/>
    <w:semiHidden/>
    <w:unhideWhenUsed/>
    <w:qFormat/>
    <w:rsid w:val="009A23E9"/>
    <w:pPr>
      <w:keepNext/>
      <w:keepLines/>
      <w:spacing w:before="80" w:after="40"/>
      <w:outlineLvl w:val="4"/>
    </w:pPr>
    <w:rPr>
      <w:rFonts w:cstheme="majorBidi"/>
      <w:color w:val="0F4761" w:themeColor="accent1" w:themeShade="BF"/>
      <w:sz w:val="24"/>
      <w:szCs w:val="24"/>
    </w:rPr>
  </w:style>
  <w:style w:type="paragraph" w:styleId="6">
    <w:name w:val="heading 6"/>
    <w:basedOn w:val="a1"/>
    <w:next w:val="a1"/>
    <w:link w:val="60"/>
    <w:uiPriority w:val="9"/>
    <w:semiHidden/>
    <w:unhideWhenUsed/>
    <w:qFormat/>
    <w:rsid w:val="009A23E9"/>
    <w:pPr>
      <w:keepNext/>
      <w:keepLines/>
      <w:spacing w:before="40"/>
      <w:outlineLvl w:val="5"/>
    </w:pPr>
    <w:rPr>
      <w:rFonts w:cstheme="majorBidi"/>
      <w:b/>
      <w:bCs/>
      <w:color w:val="0F4761" w:themeColor="accent1" w:themeShade="BF"/>
    </w:rPr>
  </w:style>
  <w:style w:type="paragraph" w:styleId="7">
    <w:name w:val="heading 7"/>
    <w:basedOn w:val="a1"/>
    <w:next w:val="a1"/>
    <w:link w:val="70"/>
    <w:uiPriority w:val="9"/>
    <w:semiHidden/>
    <w:unhideWhenUsed/>
    <w:qFormat/>
    <w:rsid w:val="009A23E9"/>
    <w:pPr>
      <w:keepNext/>
      <w:keepLines/>
      <w:spacing w:before="40"/>
      <w:outlineLvl w:val="6"/>
    </w:pPr>
    <w:rPr>
      <w:rFonts w:cstheme="majorBidi"/>
      <w:b/>
      <w:bCs/>
      <w:color w:val="595959" w:themeColor="text1" w:themeTint="A6"/>
    </w:rPr>
  </w:style>
  <w:style w:type="paragraph" w:styleId="8">
    <w:name w:val="heading 8"/>
    <w:basedOn w:val="a1"/>
    <w:next w:val="a1"/>
    <w:link w:val="80"/>
    <w:uiPriority w:val="9"/>
    <w:semiHidden/>
    <w:unhideWhenUsed/>
    <w:qFormat/>
    <w:rsid w:val="009A23E9"/>
    <w:pPr>
      <w:keepNext/>
      <w:keepLines/>
      <w:outlineLvl w:val="7"/>
    </w:pPr>
    <w:rPr>
      <w:rFonts w:cstheme="majorBidi"/>
      <w:color w:val="595959" w:themeColor="text1" w:themeTint="A6"/>
    </w:rPr>
  </w:style>
  <w:style w:type="paragraph" w:styleId="9">
    <w:name w:val="heading 9"/>
    <w:basedOn w:val="a1"/>
    <w:next w:val="a1"/>
    <w:link w:val="90"/>
    <w:uiPriority w:val="9"/>
    <w:semiHidden/>
    <w:unhideWhenUsed/>
    <w:qFormat/>
    <w:rsid w:val="009A23E9"/>
    <w:pPr>
      <w:keepNext/>
      <w:keepLines/>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9A23E9"/>
    <w:rPr>
      <w:rFonts w:asciiTheme="majorHAnsi" w:eastAsiaTheme="majorEastAsia" w:hAnsiTheme="majorHAnsi" w:cstheme="majorBidi"/>
      <w:color w:val="0F4761" w:themeColor="accent1" w:themeShade="BF"/>
      <w:sz w:val="48"/>
      <w:szCs w:val="48"/>
    </w:rPr>
  </w:style>
  <w:style w:type="character" w:customStyle="1" w:styleId="20">
    <w:name w:val="标题 2 字符"/>
    <w:basedOn w:val="a2"/>
    <w:link w:val="2"/>
    <w:uiPriority w:val="9"/>
    <w:semiHidden/>
    <w:rsid w:val="009A23E9"/>
    <w:rPr>
      <w:rFonts w:asciiTheme="majorHAnsi" w:eastAsiaTheme="majorEastAsia" w:hAnsiTheme="majorHAnsi" w:cstheme="majorBidi"/>
      <w:color w:val="0F4761" w:themeColor="accent1" w:themeShade="BF"/>
      <w:sz w:val="40"/>
      <w:szCs w:val="40"/>
    </w:rPr>
  </w:style>
  <w:style w:type="character" w:customStyle="1" w:styleId="30">
    <w:name w:val="标题 3 字符"/>
    <w:basedOn w:val="a2"/>
    <w:link w:val="3"/>
    <w:uiPriority w:val="9"/>
    <w:semiHidden/>
    <w:rsid w:val="009A23E9"/>
    <w:rPr>
      <w:rFonts w:asciiTheme="majorHAnsi" w:eastAsiaTheme="majorEastAsia" w:hAnsiTheme="majorHAnsi" w:cstheme="majorBidi"/>
      <w:color w:val="0F4761" w:themeColor="accent1" w:themeShade="BF"/>
      <w:sz w:val="32"/>
      <w:szCs w:val="32"/>
    </w:rPr>
  </w:style>
  <w:style w:type="character" w:customStyle="1" w:styleId="40">
    <w:name w:val="标题 4 字符"/>
    <w:basedOn w:val="a2"/>
    <w:link w:val="4"/>
    <w:uiPriority w:val="9"/>
    <w:semiHidden/>
    <w:rsid w:val="009A23E9"/>
    <w:rPr>
      <w:rFonts w:cstheme="majorBidi"/>
      <w:color w:val="0F4761" w:themeColor="accent1" w:themeShade="BF"/>
      <w:sz w:val="28"/>
      <w:szCs w:val="28"/>
    </w:rPr>
  </w:style>
  <w:style w:type="character" w:customStyle="1" w:styleId="50">
    <w:name w:val="标题 5 字符"/>
    <w:basedOn w:val="a2"/>
    <w:link w:val="5"/>
    <w:uiPriority w:val="9"/>
    <w:semiHidden/>
    <w:rsid w:val="009A23E9"/>
    <w:rPr>
      <w:rFonts w:cstheme="majorBidi"/>
      <w:color w:val="0F4761" w:themeColor="accent1" w:themeShade="BF"/>
      <w:sz w:val="24"/>
      <w:szCs w:val="24"/>
    </w:rPr>
  </w:style>
  <w:style w:type="character" w:customStyle="1" w:styleId="60">
    <w:name w:val="标题 6 字符"/>
    <w:basedOn w:val="a2"/>
    <w:link w:val="6"/>
    <w:uiPriority w:val="9"/>
    <w:semiHidden/>
    <w:rsid w:val="009A23E9"/>
    <w:rPr>
      <w:rFonts w:cstheme="majorBidi"/>
      <w:b/>
      <w:bCs/>
      <w:color w:val="0F4761" w:themeColor="accent1" w:themeShade="BF"/>
    </w:rPr>
  </w:style>
  <w:style w:type="character" w:customStyle="1" w:styleId="70">
    <w:name w:val="标题 7 字符"/>
    <w:basedOn w:val="a2"/>
    <w:link w:val="7"/>
    <w:uiPriority w:val="9"/>
    <w:semiHidden/>
    <w:rsid w:val="009A23E9"/>
    <w:rPr>
      <w:rFonts w:cstheme="majorBidi"/>
      <w:b/>
      <w:bCs/>
      <w:color w:val="595959" w:themeColor="text1" w:themeTint="A6"/>
    </w:rPr>
  </w:style>
  <w:style w:type="character" w:customStyle="1" w:styleId="80">
    <w:name w:val="标题 8 字符"/>
    <w:basedOn w:val="a2"/>
    <w:link w:val="8"/>
    <w:uiPriority w:val="9"/>
    <w:semiHidden/>
    <w:rsid w:val="009A23E9"/>
    <w:rPr>
      <w:rFonts w:cstheme="majorBidi"/>
      <w:color w:val="595959" w:themeColor="text1" w:themeTint="A6"/>
    </w:rPr>
  </w:style>
  <w:style w:type="character" w:customStyle="1" w:styleId="90">
    <w:name w:val="标题 9 字符"/>
    <w:basedOn w:val="a2"/>
    <w:link w:val="9"/>
    <w:uiPriority w:val="9"/>
    <w:semiHidden/>
    <w:rsid w:val="009A23E9"/>
    <w:rPr>
      <w:rFonts w:eastAsiaTheme="majorEastAsia" w:cstheme="majorBidi"/>
      <w:color w:val="595959" w:themeColor="text1" w:themeTint="A6"/>
    </w:rPr>
  </w:style>
  <w:style w:type="paragraph" w:styleId="a5">
    <w:name w:val="Title"/>
    <w:basedOn w:val="a1"/>
    <w:next w:val="a1"/>
    <w:link w:val="a6"/>
    <w:qFormat/>
    <w:rsid w:val="009A23E9"/>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9A23E9"/>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9A23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9A23E9"/>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9A23E9"/>
    <w:pPr>
      <w:spacing w:before="160" w:after="160"/>
      <w:jc w:val="center"/>
    </w:pPr>
    <w:rPr>
      <w:i/>
      <w:iCs/>
      <w:color w:val="404040" w:themeColor="text1" w:themeTint="BF"/>
    </w:rPr>
  </w:style>
  <w:style w:type="character" w:customStyle="1" w:styleId="aa">
    <w:name w:val="引用 字符"/>
    <w:basedOn w:val="a2"/>
    <w:link w:val="a9"/>
    <w:uiPriority w:val="29"/>
    <w:rsid w:val="009A23E9"/>
    <w:rPr>
      <w:i/>
      <w:iCs/>
      <w:color w:val="404040" w:themeColor="text1" w:themeTint="BF"/>
    </w:rPr>
  </w:style>
  <w:style w:type="paragraph" w:styleId="ab">
    <w:name w:val="List Paragraph"/>
    <w:basedOn w:val="a1"/>
    <w:uiPriority w:val="34"/>
    <w:qFormat/>
    <w:rsid w:val="009A23E9"/>
    <w:pPr>
      <w:ind w:left="720"/>
      <w:contextualSpacing/>
    </w:pPr>
  </w:style>
  <w:style w:type="character" w:styleId="ac">
    <w:name w:val="Intense Emphasis"/>
    <w:basedOn w:val="a2"/>
    <w:uiPriority w:val="21"/>
    <w:qFormat/>
    <w:rsid w:val="009A23E9"/>
    <w:rPr>
      <w:i/>
      <w:iCs/>
      <w:color w:val="0F4761" w:themeColor="accent1" w:themeShade="BF"/>
    </w:rPr>
  </w:style>
  <w:style w:type="paragraph" w:styleId="ad">
    <w:name w:val="Intense Quote"/>
    <w:basedOn w:val="a1"/>
    <w:next w:val="a1"/>
    <w:link w:val="ae"/>
    <w:uiPriority w:val="30"/>
    <w:qFormat/>
    <w:rsid w:val="009A2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9A23E9"/>
    <w:rPr>
      <w:i/>
      <w:iCs/>
      <w:color w:val="0F4761" w:themeColor="accent1" w:themeShade="BF"/>
    </w:rPr>
  </w:style>
  <w:style w:type="character" w:styleId="af">
    <w:name w:val="Intense Reference"/>
    <w:basedOn w:val="a2"/>
    <w:uiPriority w:val="32"/>
    <w:qFormat/>
    <w:rsid w:val="009A23E9"/>
    <w:rPr>
      <w:b/>
      <w:bCs/>
      <w:smallCaps/>
      <w:color w:val="0F4761" w:themeColor="accent1" w:themeShade="BF"/>
      <w:spacing w:val="5"/>
    </w:rPr>
  </w:style>
  <w:style w:type="paragraph" w:styleId="af0">
    <w:name w:val="header"/>
    <w:basedOn w:val="a1"/>
    <w:link w:val="af1"/>
    <w:uiPriority w:val="99"/>
    <w:unhideWhenUsed/>
    <w:rsid w:val="00C81D62"/>
    <w:pPr>
      <w:tabs>
        <w:tab w:val="center" w:pos="4153"/>
        <w:tab w:val="right" w:pos="8306"/>
      </w:tabs>
      <w:snapToGrid w:val="0"/>
      <w:jc w:val="center"/>
    </w:pPr>
    <w:rPr>
      <w:sz w:val="18"/>
      <w:szCs w:val="18"/>
    </w:rPr>
  </w:style>
  <w:style w:type="character" w:customStyle="1" w:styleId="af1">
    <w:name w:val="页眉 字符"/>
    <w:basedOn w:val="a2"/>
    <w:link w:val="af0"/>
    <w:uiPriority w:val="99"/>
    <w:rsid w:val="00C81D62"/>
    <w:rPr>
      <w:sz w:val="18"/>
      <w:szCs w:val="18"/>
    </w:rPr>
  </w:style>
  <w:style w:type="paragraph" w:styleId="af2">
    <w:name w:val="footer"/>
    <w:basedOn w:val="a1"/>
    <w:link w:val="af3"/>
    <w:uiPriority w:val="99"/>
    <w:unhideWhenUsed/>
    <w:rsid w:val="00C81D62"/>
    <w:pPr>
      <w:tabs>
        <w:tab w:val="center" w:pos="4153"/>
        <w:tab w:val="right" w:pos="8306"/>
      </w:tabs>
      <w:snapToGrid w:val="0"/>
      <w:jc w:val="left"/>
    </w:pPr>
    <w:rPr>
      <w:sz w:val="18"/>
      <w:szCs w:val="18"/>
    </w:rPr>
  </w:style>
  <w:style w:type="character" w:customStyle="1" w:styleId="af3">
    <w:name w:val="页脚 字符"/>
    <w:basedOn w:val="a2"/>
    <w:link w:val="af2"/>
    <w:uiPriority w:val="99"/>
    <w:rsid w:val="00C81D62"/>
    <w:rPr>
      <w:sz w:val="18"/>
      <w:szCs w:val="18"/>
    </w:rPr>
  </w:style>
  <w:style w:type="paragraph" w:styleId="TOC1">
    <w:name w:val="toc 1"/>
    <w:basedOn w:val="a1"/>
    <w:next w:val="a1"/>
    <w:uiPriority w:val="39"/>
    <w:rsid w:val="00C81D62"/>
    <w:pPr>
      <w:tabs>
        <w:tab w:val="right" w:leader="dot" w:pos="9241"/>
      </w:tabs>
      <w:spacing w:beforeLines="25" w:before="25" w:afterLines="25" w:after="25"/>
      <w:jc w:val="left"/>
    </w:pPr>
    <w:rPr>
      <w:rFonts w:ascii="宋体"/>
      <w:szCs w:val="21"/>
    </w:rPr>
  </w:style>
  <w:style w:type="character" w:styleId="af4">
    <w:name w:val="page number"/>
    <w:qFormat/>
    <w:rsid w:val="00C81D62"/>
    <w:rPr>
      <w:rFonts w:ascii="Times New Roman" w:eastAsia="宋体" w:hAnsi="Times New Roman"/>
      <w:sz w:val="18"/>
    </w:rPr>
  </w:style>
  <w:style w:type="character" w:styleId="af5">
    <w:name w:val="Hyperlink"/>
    <w:uiPriority w:val="99"/>
    <w:unhideWhenUsed/>
    <w:rsid w:val="00C81D62"/>
    <w:rPr>
      <w:color w:val="0000FF"/>
      <w:u w:val="single"/>
    </w:rPr>
  </w:style>
  <w:style w:type="paragraph" w:customStyle="1" w:styleId="af6">
    <w:name w:val="段"/>
    <w:qFormat/>
    <w:rsid w:val="00C81D62"/>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14:ligatures w14:val="none"/>
    </w:rPr>
  </w:style>
  <w:style w:type="paragraph" w:customStyle="1" w:styleId="af7">
    <w:name w:val="标准书眉_奇数页"/>
    <w:next w:val="a1"/>
    <w:qFormat/>
    <w:rsid w:val="00C81D62"/>
    <w:pPr>
      <w:tabs>
        <w:tab w:val="center" w:pos="4154"/>
        <w:tab w:val="right" w:pos="8306"/>
      </w:tabs>
      <w:spacing w:after="220"/>
      <w:jc w:val="right"/>
    </w:pPr>
    <w:rPr>
      <w:rFonts w:ascii="黑体" w:eastAsia="黑体" w:hAnsi="Times New Roman" w:cs="Times New Roman"/>
      <w:kern w:val="0"/>
      <w:szCs w:val="21"/>
      <w14:ligatures w14:val="none"/>
    </w:rPr>
  </w:style>
  <w:style w:type="paragraph" w:customStyle="1" w:styleId="a">
    <w:name w:val="章标题"/>
    <w:next w:val="af6"/>
    <w:rsid w:val="00C81D62"/>
    <w:pPr>
      <w:numPr>
        <w:numId w:val="1"/>
      </w:numPr>
      <w:spacing w:beforeLines="100" w:before="312" w:afterLines="100" w:after="312"/>
      <w:jc w:val="both"/>
      <w:outlineLvl w:val="1"/>
    </w:pPr>
    <w:rPr>
      <w:rFonts w:ascii="黑体" w:eastAsia="黑体" w:hAnsi="Times New Roman" w:cs="Times New Roman"/>
      <w:kern w:val="0"/>
      <w:szCs w:val="20"/>
      <w14:ligatures w14:val="none"/>
    </w:rPr>
  </w:style>
  <w:style w:type="paragraph" w:customStyle="1" w:styleId="11">
    <w:name w:val="样式 标题 1 + 非加粗"/>
    <w:basedOn w:val="1"/>
    <w:qFormat/>
    <w:rsid w:val="00C81D62"/>
    <w:pPr>
      <w:spacing w:beforeLines="100" w:before="100" w:afterLines="100" w:after="100"/>
    </w:pPr>
    <w:rPr>
      <w:rFonts w:ascii="Times New Roman" w:eastAsia="黑体" w:hAnsi="Times New Roman" w:cs="Times New Roman"/>
      <w:color w:val="auto"/>
      <w:kern w:val="44"/>
      <w:sz w:val="21"/>
      <w:szCs w:val="44"/>
    </w:rPr>
  </w:style>
  <w:style w:type="paragraph" w:customStyle="1" w:styleId="af8">
    <w:name w:val="目次、标准名称标题"/>
    <w:basedOn w:val="a1"/>
    <w:next w:val="af6"/>
    <w:qFormat/>
    <w:rsid w:val="00C81D62"/>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0">
    <w:name w:val="附录章标题"/>
    <w:next w:val="af6"/>
    <w:qFormat/>
    <w:rsid w:val="00C81D62"/>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14:ligatures w14:val="none"/>
    </w:rPr>
  </w:style>
  <w:style w:type="paragraph" w:customStyle="1" w:styleId="af9">
    <w:name w:val="标准书脚_奇数页"/>
    <w:qFormat/>
    <w:rsid w:val="00C81D62"/>
    <w:pPr>
      <w:spacing w:before="120"/>
      <w:ind w:right="198"/>
      <w:jc w:val="right"/>
    </w:pPr>
    <w:rPr>
      <w:rFonts w:ascii="宋体" w:eastAsia="宋体"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2D07D-5FF2-4CDE-8862-1B34271E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硕 董</dc:creator>
  <cp:keywords/>
  <dc:description/>
  <cp:lastModifiedBy>硕 董</cp:lastModifiedBy>
  <cp:revision>8</cp:revision>
  <dcterms:created xsi:type="dcterms:W3CDTF">2025-03-04T06:49:00Z</dcterms:created>
  <dcterms:modified xsi:type="dcterms:W3CDTF">2025-03-17T00:41:00Z</dcterms:modified>
</cp:coreProperties>
</file>