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2336;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rFonts w:hint="eastAsia"/>
                              </w:rPr>
                            </w:pPr>
                            <w:r>
                              <w:rPr>
                                <w:rFonts w:hint="eastAsia"/>
                              </w:rPr>
                              <w:t>±800kV特高压直流工程换流站</w:t>
                            </w:r>
                          </w:p>
                          <w:p>
                            <w:pPr>
                              <w:pStyle w:val="268"/>
                            </w:pPr>
                            <w:r>
                              <w:rPr>
                                <w:rFonts w:hint="eastAsia"/>
                              </w:rPr>
                              <w:t>消防设计导则</w:t>
                            </w:r>
                          </w:p>
                          <w:p>
                            <w:pPr>
                              <w:pStyle w:val="268"/>
                            </w:pPr>
                          </w:p>
                          <w:p>
                            <w:pPr>
                              <w:pStyle w:val="271"/>
                              <w:spacing w:before="0"/>
                            </w:pPr>
                            <w:r>
                              <w:rPr>
                                <w:rFonts w:hint="eastAsia"/>
                              </w:rPr>
                              <w:t>Guide for design of fire protection for ±800kV converter station</w:t>
                            </w:r>
                          </w:p>
                          <w:p>
                            <w:pPr>
                              <w:pStyle w:val="272"/>
                            </w:pPr>
                          </w:p>
                          <w:p>
                            <w:pPr>
                              <w:pStyle w:val="272"/>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rFonts w:hint="eastAsia"/>
                        </w:rPr>
                      </w:pPr>
                      <w:r>
                        <w:rPr>
                          <w:rFonts w:hint="eastAsia"/>
                        </w:rPr>
                        <w:t>±800kV特高压直流工程换流站</w:t>
                      </w:r>
                    </w:p>
                    <w:p>
                      <w:pPr>
                        <w:pStyle w:val="268"/>
                      </w:pPr>
                      <w:r>
                        <w:rPr>
                          <w:rFonts w:hint="eastAsia"/>
                        </w:rPr>
                        <w:t>消防设计导则</w:t>
                      </w:r>
                    </w:p>
                    <w:p>
                      <w:pPr>
                        <w:pStyle w:val="268"/>
                      </w:pPr>
                    </w:p>
                    <w:p>
                      <w:pPr>
                        <w:pStyle w:val="271"/>
                        <w:spacing w:before="0"/>
                      </w:pPr>
                      <w:r>
                        <w:rPr>
                          <w:rFonts w:hint="eastAsia"/>
                        </w:rPr>
                        <w:t>Guide for design of fire protection for ±800kV converter station</w:t>
                      </w:r>
                    </w:p>
                    <w:p>
                      <w:pPr>
                        <w:pStyle w:val="272"/>
                      </w:pPr>
                    </w:p>
                    <w:p>
                      <w:pPr>
                        <w:pStyle w:val="272"/>
                      </w:pPr>
                      <w:r>
                        <w:t>（</w:t>
                      </w:r>
                      <w:r>
                        <w:rPr>
                          <w:rFonts w:hint="eastAsia"/>
                          <w:lang w:val="en-US" w:eastAsia="zh-CN"/>
                        </w:rPr>
                        <w:t>征求意见</w:t>
                      </w:r>
                      <w:r>
                        <w:t>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rPr>
                                <w:highlight w:val="yellow"/>
                              </w:rPr>
                            </w:pPr>
                            <w:r>
                              <w:rPr>
                                <w:rFonts w:hint="eastAsia"/>
                                <w:highlight w:val="yellow"/>
                              </w:rPr>
                              <w:t>I</w:t>
                            </w:r>
                            <w:r>
                              <w:rPr>
                                <w:highlight w:val="yellow"/>
                              </w:rPr>
                              <w:t>CS 19.020</w:t>
                            </w:r>
                          </w:p>
                          <w:p>
                            <w:pPr>
                              <w:pStyle w:val="334"/>
                              <w:rPr>
                                <w:highlight w:val="yellow"/>
                              </w:rPr>
                            </w:pPr>
                            <w:r>
                              <w:rPr>
                                <w:rFonts w:hint="eastAsia"/>
                                <w:highlight w:val="yellow"/>
                              </w:rPr>
                              <w:t>C</w:t>
                            </w:r>
                            <w:r>
                              <w:rPr>
                                <w:highlight w:val="yellow"/>
                              </w:rP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rPr>
                          <w:highlight w:val="yellow"/>
                        </w:rPr>
                      </w:pPr>
                      <w:r>
                        <w:rPr>
                          <w:rFonts w:hint="eastAsia"/>
                          <w:highlight w:val="yellow"/>
                        </w:rPr>
                        <w:t>I</w:t>
                      </w:r>
                      <w:r>
                        <w:rPr>
                          <w:highlight w:val="yellow"/>
                        </w:rPr>
                        <w:t>CS 19.020</w:t>
                      </w:r>
                    </w:p>
                    <w:p>
                      <w:pPr>
                        <w:pStyle w:val="334"/>
                        <w:rPr>
                          <w:highlight w:val="yellow"/>
                        </w:rPr>
                      </w:pPr>
                      <w:r>
                        <w:rPr>
                          <w:rFonts w:hint="eastAsia"/>
                          <w:highlight w:val="yellow"/>
                        </w:rPr>
                        <w:t>C</w:t>
                      </w:r>
                      <w:r>
                        <w:rPr>
                          <w:highlight w:val="yellow"/>
                        </w:rPr>
                        <w:t>CS K85</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81"/>
        <w:tabs>
          <w:tab w:val="center" w:pos="4201"/>
          <w:tab w:val="right" w:leader="dot" w:pos="9298"/>
        </w:tabs>
        <w:autoSpaceDE w:val="0"/>
        <w:autoSpaceDN w:val="0"/>
        <w:ind w:firstLine="480" w:firstLineChars="200"/>
      </w:pPr>
      <w:bookmarkStart w:id="1" w:name="标准内容"/>
      <w:bookmarkEnd w:id="1"/>
    </w:p>
    <w:p>
      <w:pPr>
        <w:pStyle w:val="81"/>
        <w:tabs>
          <w:tab w:val="center" w:pos="4201"/>
          <w:tab w:val="right" w:leader="dot" w:pos="9298"/>
        </w:tabs>
        <w:autoSpaceDE w:val="0"/>
        <w:autoSpaceDN w:val="0"/>
        <w:ind w:firstLine="480" w:firstLineChars="200"/>
      </w:pPr>
    </w:p>
    <w:p>
      <w:pPr>
        <w:pStyle w:val="81"/>
        <w:tabs>
          <w:tab w:val="center" w:pos="4201"/>
          <w:tab w:val="right" w:leader="dot" w:pos="9298"/>
        </w:tabs>
        <w:autoSpaceDE w:val="0"/>
        <w:autoSpaceDN w:val="0"/>
        <w:ind w:firstLine="480" w:firstLineChars="200"/>
      </w:pPr>
    </w:p>
    <w:p>
      <w:pPr>
        <w:pStyle w:val="81"/>
        <w:tabs>
          <w:tab w:val="center" w:pos="4201"/>
          <w:tab w:val="right" w:leader="dot" w:pos="9298"/>
        </w:tabs>
        <w:autoSpaceDE w:val="0"/>
        <w:autoSpaceDN w:val="0"/>
        <w:ind w:firstLine="480" w:firstLineChars="200"/>
      </w:pPr>
    </w:p>
    <w:p>
      <w:pPr>
        <w:pStyle w:val="81"/>
        <w:tabs>
          <w:tab w:val="center" w:pos="4201"/>
          <w:tab w:val="right" w:leader="dot" w:pos="9298"/>
        </w:tabs>
        <w:autoSpaceDE w:val="0"/>
        <w:autoSpaceDN w:val="0"/>
        <w:ind w:firstLine="480" w:firstLineChars="200"/>
      </w:pPr>
    </w:p>
    <w:p>
      <w:pPr>
        <w:pStyle w:val="81"/>
        <w:tabs>
          <w:tab w:val="center" w:pos="4201"/>
          <w:tab w:val="right" w:leader="dot" w:pos="9298"/>
        </w:tabs>
        <w:autoSpaceDE w:val="0"/>
        <w:autoSpaceDN w:val="0"/>
        <w:jc w:val="center"/>
        <w:rPr>
          <w:rFonts w:ascii="黑体" w:eastAsia="黑体" w:cs="黑体"/>
          <w:sz w:val="44"/>
          <w:szCs w:val="44"/>
        </w:rPr>
      </w:pPr>
      <w:r>
        <w:rPr>
          <w:rFonts w:hint="eastAsia" w:ascii="黑体" w:eastAsia="黑体" w:cs="黑体"/>
          <w:sz w:val="44"/>
          <w:szCs w:val="44"/>
          <w:lang w:bidi="ar"/>
        </w:rPr>
        <w:t>±800kV特高压直流工程换流站消防设计导则</w:t>
      </w:r>
    </w:p>
    <w:p>
      <w:pPr>
        <w:pStyle w:val="81"/>
        <w:tabs>
          <w:tab w:val="center" w:pos="4201"/>
          <w:tab w:val="right" w:leader="dot" w:pos="9298"/>
        </w:tabs>
        <w:autoSpaceDE w:val="0"/>
        <w:autoSpaceDN w:val="0"/>
        <w:ind w:firstLine="480" w:firstLineChars="200"/>
      </w:pPr>
    </w:p>
    <w:p>
      <w:pPr>
        <w:pStyle w:val="81"/>
        <w:tabs>
          <w:tab w:val="center" w:pos="4201"/>
          <w:tab w:val="right" w:leader="dot" w:pos="9298"/>
        </w:tabs>
        <w:autoSpaceDE w:val="0"/>
        <w:autoSpaceDN w:val="0"/>
        <w:ind w:firstLine="480" w:firstLineChars="200"/>
      </w:pPr>
    </w:p>
    <w:p>
      <w:pPr>
        <w:pStyle w:val="81"/>
        <w:spacing w:before="312" w:beforeLines="100" w:after="312" w:afterLines="100"/>
        <w:ind w:left="426"/>
        <w:jc w:val="center"/>
        <w:outlineLvl w:val="1"/>
        <w:rPr>
          <w:sz w:val="28"/>
          <w:szCs w:val="28"/>
        </w:rPr>
      </w:pPr>
      <w:bookmarkStart w:id="2" w:name="_Toc298937333"/>
      <w:bookmarkStart w:id="3" w:name="_Toc298937368"/>
      <w:bookmarkStart w:id="4" w:name="_Toc298937560"/>
      <w:bookmarkStart w:id="5" w:name="_Toc298937473"/>
      <w:bookmarkStart w:id="6" w:name="_Toc298938646"/>
      <w:bookmarkStart w:id="7" w:name="_Toc309995410"/>
      <w:bookmarkStart w:id="8" w:name="_Toc320020914"/>
      <w:bookmarkStart w:id="9" w:name="_Toc309995598"/>
      <w:bookmarkStart w:id="10" w:name="_Toc304825093"/>
      <w:bookmarkStart w:id="11" w:name="_Toc298937430"/>
      <w:bookmarkStart w:id="12" w:name="_Toc309993200"/>
      <w:bookmarkStart w:id="13" w:name="_Toc304824981"/>
      <w:bookmarkStart w:id="14" w:name="_Toc304402675"/>
      <w:bookmarkStart w:id="15" w:name="_Toc298938794"/>
      <w:bookmarkStart w:id="16" w:name="_Toc310002657"/>
      <w:bookmarkStart w:id="17" w:name="_Toc304825020"/>
      <w:bookmarkStart w:id="18" w:name="_Toc309997060"/>
      <w:bookmarkStart w:id="19" w:name="_Toc309995492"/>
      <w:bookmarkStart w:id="20" w:name="_Toc309994571"/>
      <w:bookmarkStart w:id="21" w:name="_Toc309996019"/>
      <w:bookmarkStart w:id="22" w:name="_Toc318613715"/>
      <w:bookmarkStart w:id="23" w:name="_Toc304828086"/>
      <w:bookmarkStart w:id="24" w:name="_Toc298937620"/>
      <w:r>
        <w:rPr>
          <w:rFonts w:hint="eastAsia" w:ascii="黑体" w:eastAsia="黑体"/>
          <w:sz w:val="28"/>
          <w:szCs w:val="28"/>
          <w:lang w:bidi="ar"/>
        </w:rPr>
        <w:t>编 制 说</w:t>
      </w:r>
      <w:bookmarkEnd w:id="2"/>
      <w:bookmarkEnd w:id="3"/>
      <w:r>
        <w:rPr>
          <w:rFonts w:hint="eastAsia" w:ascii="黑体" w:eastAsia="黑体"/>
          <w:sz w:val="28"/>
          <w:szCs w:val="28"/>
          <w:lang w:bidi="ar"/>
        </w:rPr>
        <w:t> 明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81"/>
        <w:tabs>
          <w:tab w:val="center" w:pos="4201"/>
          <w:tab w:val="right" w:leader="dot" w:pos="9298"/>
        </w:tabs>
        <w:autoSpaceDE w:val="0"/>
        <w:autoSpaceDN w:val="0"/>
        <w:ind w:firstLine="560" w:firstLineChars="200"/>
        <w:jc w:val="center"/>
        <w:rPr>
          <w:rFonts w:ascii="黑体" w:eastAsia="黑体" w:cs="黑体"/>
          <w:sz w:val="28"/>
          <w:szCs w:val="28"/>
        </w:rPr>
      </w:pPr>
    </w:p>
    <w:p>
      <w:pPr>
        <w:pStyle w:val="81"/>
        <w:tabs>
          <w:tab w:val="center" w:pos="4201"/>
          <w:tab w:val="right" w:leader="dot" w:pos="9298"/>
        </w:tabs>
        <w:autoSpaceDE w:val="0"/>
        <w:autoSpaceDN w:val="0"/>
        <w:ind w:firstLine="560" w:firstLineChars="200"/>
        <w:jc w:val="center"/>
        <w:rPr>
          <w:rFonts w:ascii="黑体" w:eastAsia="黑体" w:cs="黑体"/>
          <w:sz w:val="28"/>
          <w:szCs w:val="28"/>
        </w:rPr>
      </w:pPr>
    </w:p>
    <w:p>
      <w:pPr>
        <w:rPr>
          <w:rFonts w:ascii="宋体"/>
          <w:lang w:bidi="ar"/>
        </w:rPr>
        <w:sectPr>
          <w:footerReference r:id="rId9" w:type="default"/>
          <w:footnotePr>
            <w:numFmt w:val="decimalEnclosedCircleChinese"/>
          </w:footnotePr>
          <w:pgSz w:w="11906" w:h="16838"/>
          <w:pgMar w:top="567" w:right="1135" w:bottom="1135" w:left="1417" w:header="1418" w:footer="1135" w:gutter="0"/>
          <w:pgNumType w:start="1"/>
          <w:cols w:space="720" w:num="1"/>
          <w:formProt w:val="0"/>
          <w:docGrid w:type="lines" w:linePitch="312" w:charSpace="0"/>
        </w:sectPr>
      </w:pPr>
    </w:p>
    <w:p>
      <w:pPr>
        <w:pStyle w:val="81"/>
        <w:keepNext/>
        <w:pageBreakBefore/>
        <w:shd w:val="clear" w:color="auto" w:fill="FFFFFF"/>
        <w:spacing w:before="640" w:after="560" w:line="460" w:lineRule="exact"/>
        <w:jc w:val="center"/>
        <w:outlineLvl w:val="0"/>
      </w:pPr>
      <w:bookmarkStart w:id="25" w:name="_Toc513731109"/>
      <w:bookmarkStart w:id="26" w:name="_Toc513731021"/>
      <w:bookmarkStart w:id="27" w:name="_Toc309992160"/>
      <w:r>
        <w:rPr>
          <w:rFonts w:hint="eastAsia" w:ascii="黑体" w:eastAsia="黑体"/>
          <w:sz w:val="32"/>
          <w:szCs w:val="20"/>
          <w:lang w:bidi="ar"/>
        </w:rPr>
        <w:t>目   次</w:t>
      </w:r>
      <w:bookmarkEnd w:id="25"/>
      <w:bookmarkEnd w:id="26"/>
      <w:bookmarkEnd w:id="27"/>
    </w:p>
    <w:p>
      <w:pPr>
        <w:pStyle w:val="81"/>
        <w:tabs>
          <w:tab w:val="right" w:leader="dot" w:pos="9241"/>
        </w:tabs>
        <w:spacing w:before="78" w:beforeLines="25" w:after="78" w:afterLines="25"/>
        <w:rPr>
          <w:rFonts w:ascii="Calibri" w:hAnsi="Calibri"/>
          <w:szCs w:val="22"/>
        </w:rPr>
      </w:pPr>
      <w:r>
        <w:rPr>
          <w:rFonts w:hint="eastAsia" w:ascii="宋体" w:hAnsi="宋体"/>
          <w:sz w:val="21"/>
          <w:szCs w:val="21"/>
          <w:lang w:bidi="ar"/>
        </w:rPr>
        <w:fldChar w:fldCharType="begin"/>
      </w:r>
      <w:r>
        <w:rPr>
          <w:rFonts w:hint="eastAsia" w:ascii="宋体" w:hAnsi="宋体"/>
          <w:sz w:val="21"/>
          <w:szCs w:val="21"/>
          <w:lang w:bidi="ar"/>
        </w:rPr>
        <w:instrText xml:space="preserve"> TOC \o "1-1" \h \z \u </w:instrText>
      </w:r>
      <w:r>
        <w:rPr>
          <w:rFonts w:hint="eastAsia" w:ascii="宋体" w:hAnsi="宋体"/>
          <w:sz w:val="21"/>
          <w:szCs w:val="21"/>
          <w:lang w:bidi="ar"/>
        </w:rPr>
        <w:fldChar w:fldCharType="separate"/>
      </w:r>
    </w:p>
    <w:p>
      <w:pPr>
        <w:pStyle w:val="81"/>
        <w:tabs>
          <w:tab w:val="right" w:leader="dot" w:pos="9241"/>
        </w:tabs>
        <w:spacing w:before="78" w:beforeLines="25" w:after="78" w:afterLines="25"/>
        <w:rPr>
          <w:rFonts w:hint="eastAsia" w:ascii="Calibri" w:hAnsi="Calibri" w:eastAsia="宋体"/>
          <w:szCs w:val="22"/>
          <w:lang w:val="en-US" w:eastAsia="zh-CN"/>
        </w:rPr>
      </w:pPr>
      <w:r>
        <w:fldChar w:fldCharType="begin"/>
      </w:r>
      <w:r>
        <w:instrText xml:space="preserve"> HYPERLINK "file:///D:/贺博资料/报告/标准编写/标准申请/电机工程学会团标/立项申请材料/20230531电磁屏蔽标准初稿审查/电机学会标准编写模板1.docx" \l "_Toc513731110" </w:instrText>
      </w:r>
      <w:r>
        <w:fldChar w:fldCharType="separate"/>
      </w:r>
      <w:r>
        <w:rPr>
          <w:rStyle w:val="242"/>
          <w:rFonts w:hAnsi="宋体"/>
          <w:u w:val="single"/>
        </w:rPr>
        <w:t>1 编制背景</w:t>
      </w:r>
      <w:r>
        <w:rPr>
          <w:rStyle w:val="242"/>
        </w:rPr>
        <w:tab/>
      </w:r>
      <w:r>
        <w:rPr>
          <w:rStyle w:val="242"/>
        </w:rPr>
        <w:fldChar w:fldCharType="begin"/>
      </w:r>
      <w:r>
        <w:rPr>
          <w:rStyle w:val="242"/>
        </w:rPr>
        <w:instrText xml:space="preserve"> PAGEREF _Toc513731110 \h </w:instrText>
      </w:r>
      <w:r>
        <w:rPr>
          <w:rStyle w:val="242"/>
        </w:rPr>
        <w:fldChar w:fldCharType="separate"/>
      </w:r>
      <w:r>
        <w:rPr>
          <w:rStyle w:val="242"/>
        </w:rPr>
        <w:t>1</w:t>
      </w:r>
      <w:r>
        <w:rPr>
          <w:rStyle w:val="242"/>
        </w:rPr>
        <w:fldChar w:fldCharType="end"/>
      </w:r>
      <w:r>
        <w:rPr>
          <w:rStyle w:val="242"/>
        </w:rPr>
        <w:fldChar w:fldCharType="end"/>
      </w:r>
    </w:p>
    <w:p>
      <w:pPr>
        <w:pStyle w:val="81"/>
        <w:tabs>
          <w:tab w:val="right" w:leader="dot" w:pos="9241"/>
        </w:tabs>
        <w:spacing w:before="78" w:beforeLines="25" w:after="78" w:afterLines="25"/>
        <w:rPr>
          <w:rFonts w:hint="eastAsia" w:ascii="Calibri" w:hAnsi="Calibri" w:eastAsia="宋体"/>
          <w:szCs w:val="22"/>
          <w:lang w:val="en-US" w:eastAsia="zh-CN"/>
        </w:rPr>
      </w:pPr>
      <w:r>
        <w:fldChar w:fldCharType="begin"/>
      </w:r>
      <w:r>
        <w:instrText xml:space="preserve"> HYPERLINK "file:///D:/贺博资料/报告/标准编写/标准申请/电机工程学会团标/立项申请材料/20230531电磁屏蔽标准初稿审查/电机学会标准编写模板1.docx" \l "_Toc513731111" </w:instrText>
      </w:r>
      <w:r>
        <w:fldChar w:fldCharType="separate"/>
      </w:r>
      <w:r>
        <w:rPr>
          <w:rStyle w:val="242"/>
          <w:rFonts w:hAnsi="宋体"/>
          <w:u w:val="single"/>
        </w:rPr>
        <w:t>2 编制主要原则</w:t>
      </w:r>
      <w:r>
        <w:rPr>
          <w:rStyle w:val="242"/>
        </w:rPr>
        <w:tab/>
      </w:r>
      <w:r>
        <w:rPr>
          <w:rStyle w:val="242"/>
        </w:rPr>
        <w:fldChar w:fldCharType="begin"/>
      </w:r>
      <w:r>
        <w:rPr>
          <w:rStyle w:val="242"/>
        </w:rPr>
        <w:instrText xml:space="preserve"> PAGEREF _Toc513731111 \h </w:instrText>
      </w:r>
      <w:r>
        <w:rPr>
          <w:rStyle w:val="242"/>
        </w:rPr>
        <w:fldChar w:fldCharType="separate"/>
      </w:r>
      <w:r>
        <w:rPr>
          <w:rStyle w:val="242"/>
        </w:rPr>
        <w:t>1</w:t>
      </w:r>
      <w:r>
        <w:rPr>
          <w:rStyle w:val="242"/>
        </w:rPr>
        <w:fldChar w:fldCharType="end"/>
      </w:r>
      <w:r>
        <w:rPr>
          <w:rStyle w:val="242"/>
        </w:rPr>
        <w:fldChar w:fldCharType="end"/>
      </w:r>
    </w:p>
    <w:p>
      <w:pPr>
        <w:pStyle w:val="81"/>
        <w:tabs>
          <w:tab w:val="right" w:leader="dot" w:pos="9241"/>
        </w:tabs>
        <w:spacing w:before="78" w:beforeLines="25" w:after="78" w:afterLines="25"/>
        <w:rPr>
          <w:rFonts w:hint="eastAsia" w:ascii="Calibri" w:hAnsi="Calibri" w:eastAsia="宋体"/>
          <w:szCs w:val="22"/>
          <w:lang w:val="en-US" w:eastAsia="zh-CN"/>
        </w:rPr>
      </w:pPr>
      <w:r>
        <w:fldChar w:fldCharType="begin"/>
      </w:r>
      <w:r>
        <w:instrText xml:space="preserve"> HYPERLINK "file:///D:/贺博资料/报告/标准编写/标准申请/电机工程学会团标/立项申请材料/20230531电磁屏蔽标准初稿审查/电机学会标准编写模板1.docx" \l "_Toc513731112" </w:instrText>
      </w:r>
      <w:r>
        <w:fldChar w:fldCharType="separate"/>
      </w:r>
      <w:r>
        <w:rPr>
          <w:rStyle w:val="242"/>
          <w:rFonts w:hAnsi="宋体"/>
          <w:u w:val="single"/>
        </w:rPr>
        <w:t>3 主要工作过程</w:t>
      </w:r>
      <w:r>
        <w:rPr>
          <w:rStyle w:val="242"/>
        </w:rPr>
        <w:tab/>
      </w:r>
      <w:r>
        <w:rPr>
          <w:rStyle w:val="242"/>
        </w:rPr>
        <w:fldChar w:fldCharType="begin"/>
      </w:r>
      <w:r>
        <w:rPr>
          <w:rStyle w:val="242"/>
        </w:rPr>
        <w:instrText xml:space="preserve"> PAGEREF _Toc513731112 \h </w:instrText>
      </w:r>
      <w:r>
        <w:rPr>
          <w:rStyle w:val="242"/>
        </w:rPr>
        <w:fldChar w:fldCharType="separate"/>
      </w:r>
      <w:r>
        <w:rPr>
          <w:rStyle w:val="242"/>
        </w:rPr>
        <w:t>1</w:t>
      </w:r>
      <w:r>
        <w:rPr>
          <w:rStyle w:val="242"/>
        </w:rPr>
        <w:fldChar w:fldCharType="end"/>
      </w:r>
      <w:r>
        <w:rPr>
          <w:rStyle w:val="242"/>
        </w:rPr>
        <w:fldChar w:fldCharType="end"/>
      </w:r>
    </w:p>
    <w:p>
      <w:pPr>
        <w:pStyle w:val="81"/>
        <w:tabs>
          <w:tab w:val="right" w:leader="dot" w:pos="9241"/>
        </w:tabs>
        <w:spacing w:before="78" w:beforeLines="25" w:after="78" w:afterLines="25"/>
        <w:rPr>
          <w:rFonts w:hint="eastAsia" w:ascii="Calibri" w:hAnsi="Calibri" w:eastAsia="宋体"/>
          <w:szCs w:val="22"/>
          <w:lang w:val="en-US" w:eastAsia="zh-CN"/>
        </w:rPr>
      </w:pPr>
      <w:r>
        <w:fldChar w:fldCharType="begin"/>
      </w:r>
      <w:r>
        <w:instrText xml:space="preserve"> HYPERLINK "file:///D:/贺博资料/报告/标准编写/标准申请/电机工程学会团标/立项申请材料/20230531电磁屏蔽标准初稿审查/电机学会标准编写模板1.docx" \l "_Toc513731113" </w:instrText>
      </w:r>
      <w:r>
        <w:fldChar w:fldCharType="separate"/>
      </w:r>
      <w:r>
        <w:rPr>
          <w:rStyle w:val="242"/>
          <w:rFonts w:hAnsi="宋体"/>
          <w:u w:val="single"/>
        </w:rPr>
        <w:t>4</w:t>
      </w:r>
      <w:r>
        <w:rPr>
          <w:rStyle w:val="242"/>
          <w:u w:val="single"/>
        </w:rPr>
        <w:t xml:space="preserve"> 标准结构和内容说明</w:t>
      </w:r>
      <w:r>
        <w:rPr>
          <w:rStyle w:val="242"/>
        </w:rPr>
        <w:tab/>
      </w:r>
      <w:bookmarkStart w:id="34" w:name="_GoBack"/>
      <w:bookmarkEnd w:id="34"/>
      <w:r>
        <w:rPr>
          <w:rStyle w:val="242"/>
        </w:rPr>
        <w:fldChar w:fldCharType="begin"/>
      </w:r>
      <w:r>
        <w:rPr>
          <w:rStyle w:val="242"/>
        </w:rPr>
        <w:instrText xml:space="preserve"> PAGEREF _Toc513731113 \h </w:instrText>
      </w:r>
      <w:r>
        <w:rPr>
          <w:rStyle w:val="242"/>
        </w:rPr>
        <w:fldChar w:fldCharType="separate"/>
      </w:r>
      <w:r>
        <w:rPr>
          <w:rStyle w:val="242"/>
        </w:rPr>
        <w:t>1</w:t>
      </w:r>
      <w:r>
        <w:rPr>
          <w:rStyle w:val="242"/>
        </w:rPr>
        <w:fldChar w:fldCharType="end"/>
      </w:r>
      <w:r>
        <w:rPr>
          <w:rStyle w:val="242"/>
        </w:rPr>
        <w:fldChar w:fldCharType="end"/>
      </w:r>
    </w:p>
    <w:p>
      <w:pPr>
        <w:pStyle w:val="81"/>
        <w:tabs>
          <w:tab w:val="right" w:leader="dot" w:pos="9241"/>
        </w:tabs>
        <w:spacing w:before="78" w:beforeLines="25" w:after="78" w:afterLines="25"/>
        <w:rPr>
          <w:rFonts w:hint="eastAsia" w:ascii="Calibri" w:hAnsi="Calibri" w:eastAsia="宋体"/>
          <w:szCs w:val="22"/>
          <w:lang w:val="en-US" w:eastAsia="zh-CN"/>
        </w:rPr>
      </w:pPr>
      <w:r>
        <w:fldChar w:fldCharType="begin"/>
      </w:r>
      <w:r>
        <w:instrText xml:space="preserve"> HYPERLINK "file:///D:/贺博资料/报告/标准编写/标准申请/电机工程学会团标/立项申请材料/20230531电磁屏蔽标准初稿审查/电机学会标准编写模板1.docx" \l "_Toc513731114" </w:instrText>
      </w:r>
      <w:r>
        <w:fldChar w:fldCharType="separate"/>
      </w:r>
      <w:r>
        <w:rPr>
          <w:rStyle w:val="242"/>
          <w:rFonts w:hAnsi="宋体"/>
          <w:u w:val="single"/>
        </w:rPr>
        <w:t>5</w:t>
      </w:r>
      <w:r>
        <w:rPr>
          <w:rStyle w:val="242"/>
          <w:u w:val="single"/>
        </w:rPr>
        <w:t>标准水平说明</w:t>
      </w:r>
      <w:r>
        <w:rPr>
          <w:rStyle w:val="242"/>
        </w:rPr>
        <w:tab/>
      </w:r>
      <w:r>
        <w:rPr>
          <w:rStyle w:val="242"/>
        </w:rPr>
        <w:fldChar w:fldCharType="begin"/>
      </w:r>
      <w:r>
        <w:rPr>
          <w:rStyle w:val="242"/>
        </w:rPr>
        <w:instrText xml:space="preserve"> PAGEREF _Toc513731114 \h </w:instrText>
      </w:r>
      <w:r>
        <w:rPr>
          <w:rStyle w:val="242"/>
        </w:rPr>
        <w:fldChar w:fldCharType="separate"/>
      </w:r>
      <w:r>
        <w:rPr>
          <w:rStyle w:val="242"/>
        </w:rPr>
        <w:t>1</w:t>
      </w:r>
      <w:r>
        <w:rPr>
          <w:rStyle w:val="242"/>
        </w:rPr>
        <w:fldChar w:fldCharType="end"/>
      </w:r>
      <w:r>
        <w:rPr>
          <w:rStyle w:val="242"/>
        </w:rPr>
        <w:fldChar w:fldCharType="end"/>
      </w:r>
    </w:p>
    <w:p>
      <w:pPr>
        <w:pStyle w:val="81"/>
        <w:tabs>
          <w:tab w:val="right" w:leader="dot" w:pos="9241"/>
        </w:tabs>
        <w:spacing w:before="78" w:beforeLines="25" w:after="78" w:afterLines="25"/>
        <w:rPr>
          <w:rFonts w:hint="eastAsia" w:ascii="Calibri" w:hAnsi="Calibri" w:eastAsia="宋体"/>
          <w:szCs w:val="22"/>
          <w:lang w:val="en-US" w:eastAsia="zh-CN"/>
        </w:rPr>
      </w:pPr>
      <w:r>
        <w:fldChar w:fldCharType="begin"/>
      </w:r>
      <w:r>
        <w:instrText xml:space="preserve"> HYPERLINK "file:///D:/贺博资料/报告/标准编写/标准申请/电机工程学会团标/立项申请材料/20230531电磁屏蔽标准初稿审查/电机学会标准编写模板1.docx" \l "_Toc513731115" </w:instrText>
      </w:r>
      <w:r>
        <w:fldChar w:fldCharType="separate"/>
      </w:r>
      <w:r>
        <w:rPr>
          <w:rStyle w:val="242"/>
          <w:rFonts w:hAnsi="宋体"/>
          <w:u w:val="single"/>
        </w:rPr>
        <w:t>6标准实施措施说明</w:t>
      </w:r>
      <w:r>
        <w:rPr>
          <w:rStyle w:val="242"/>
        </w:rPr>
        <w:tab/>
      </w:r>
      <w:r>
        <w:rPr>
          <w:rStyle w:val="242"/>
        </w:rPr>
        <w:fldChar w:fldCharType="begin"/>
      </w:r>
      <w:r>
        <w:rPr>
          <w:rStyle w:val="242"/>
        </w:rPr>
        <w:instrText xml:space="preserve"> PAGEREF _Toc513731115 \h </w:instrText>
      </w:r>
      <w:r>
        <w:rPr>
          <w:rStyle w:val="242"/>
        </w:rPr>
        <w:fldChar w:fldCharType="separate"/>
      </w:r>
      <w:r>
        <w:rPr>
          <w:rStyle w:val="242"/>
        </w:rPr>
        <w:t>3</w:t>
      </w:r>
      <w:r>
        <w:rPr>
          <w:rStyle w:val="242"/>
        </w:rPr>
        <w:fldChar w:fldCharType="end"/>
      </w:r>
      <w:r>
        <w:rPr>
          <w:rStyle w:val="242"/>
        </w:rPr>
        <w:fldChar w:fldCharType="end"/>
      </w:r>
    </w:p>
    <w:p>
      <w:pPr>
        <w:pStyle w:val="81"/>
        <w:tabs>
          <w:tab w:val="center" w:pos="4201"/>
          <w:tab w:val="right" w:leader="dot" w:pos="9298"/>
        </w:tabs>
        <w:autoSpaceDE w:val="0"/>
        <w:autoSpaceDN w:val="0"/>
        <w:ind w:firstLine="420" w:firstLineChars="200"/>
        <w:rPr>
          <w:rFonts w:hAnsi="宋体"/>
          <w:szCs w:val="21"/>
        </w:rPr>
      </w:pPr>
      <w:r>
        <w:rPr>
          <w:rFonts w:hint="eastAsia" w:ascii="宋体" w:hAnsi="宋体"/>
          <w:sz w:val="21"/>
          <w:szCs w:val="21"/>
          <w:lang w:bidi="ar"/>
        </w:rPr>
        <w:fldChar w:fldCharType="end"/>
      </w:r>
    </w:p>
    <w:p>
      <w:pPr>
        <w:pStyle w:val="81"/>
        <w:tabs>
          <w:tab w:val="center" w:pos="4201"/>
          <w:tab w:val="right" w:leader="dot" w:pos="9298"/>
        </w:tabs>
        <w:autoSpaceDE w:val="0"/>
        <w:autoSpaceDN w:val="0"/>
        <w:ind w:firstLine="480" w:firstLineChars="200"/>
        <w:rPr>
          <w:rFonts w:hAnsi="宋体"/>
          <w:szCs w:val="21"/>
        </w:rPr>
      </w:pPr>
    </w:p>
    <w:p>
      <w:pPr>
        <w:pStyle w:val="81"/>
        <w:tabs>
          <w:tab w:val="center" w:pos="4201"/>
          <w:tab w:val="right" w:leader="dot" w:pos="9298"/>
        </w:tabs>
        <w:autoSpaceDE w:val="0"/>
        <w:autoSpaceDN w:val="0"/>
        <w:ind w:firstLine="480" w:firstLineChars="200"/>
        <w:rPr>
          <w:rFonts w:hAnsi="宋体"/>
          <w:szCs w:val="21"/>
        </w:rPr>
      </w:pPr>
    </w:p>
    <w:p>
      <w:pPr>
        <w:pStyle w:val="81"/>
        <w:tabs>
          <w:tab w:val="center" w:pos="4201"/>
          <w:tab w:val="right" w:leader="dot" w:pos="9298"/>
        </w:tabs>
        <w:autoSpaceDE w:val="0"/>
        <w:autoSpaceDN w:val="0"/>
        <w:ind w:firstLine="480" w:firstLineChars="200"/>
        <w:rPr>
          <w:rFonts w:hAnsi="宋体"/>
          <w:szCs w:val="21"/>
        </w:rPr>
      </w:pPr>
    </w:p>
    <w:p>
      <w:pPr>
        <w:rPr>
          <w:rFonts w:ascii="宋体" w:hAnsi="宋体"/>
          <w:szCs w:val="21"/>
          <w:lang w:bidi="ar"/>
        </w:rPr>
        <w:sectPr>
          <w:footnotePr>
            <w:numFmt w:val="decimalEnclosedCircleChinese"/>
          </w:footnotePr>
          <w:pgSz w:w="11906" w:h="16838"/>
          <w:pgMar w:top="567" w:right="1135" w:bottom="1135" w:left="1417" w:header="1418" w:footer="1135" w:gutter="0"/>
          <w:cols w:space="720" w:num="1"/>
          <w:formProt w:val="0"/>
          <w:docGrid w:type="lines" w:linePitch="312" w:charSpace="0"/>
        </w:sectPr>
      </w:pPr>
    </w:p>
    <w:p>
      <w:pPr>
        <w:pStyle w:val="81"/>
        <w:keepNext/>
        <w:keepLines/>
        <w:spacing w:before="312" w:beforeLines="100" w:after="312" w:afterLines="100"/>
        <w:outlineLvl w:val="0"/>
        <w:rPr>
          <w:rFonts w:ascii="宋体" w:hAnsi="宋体" w:eastAsia="黑体" w:cs="宋体"/>
          <w:szCs w:val="21"/>
        </w:rPr>
      </w:pPr>
      <w:bookmarkStart w:id="28" w:name="_Toc513731110"/>
      <w:r>
        <w:rPr>
          <w:rFonts w:hint="eastAsia" w:ascii="宋体" w:hAnsi="宋体" w:eastAsia="黑体" w:cs="宋体"/>
          <w:kern w:val="44"/>
          <w:sz w:val="21"/>
          <w:szCs w:val="21"/>
          <w:lang w:bidi="ar"/>
        </w:rPr>
        <w:t xml:space="preserve">1 </w:t>
      </w:r>
      <w:r>
        <w:rPr>
          <w:rFonts w:hint="eastAsia" w:ascii="宋体" w:hAnsi="宋体" w:eastAsia="黑体" w:cs="黑体"/>
          <w:kern w:val="44"/>
          <w:sz w:val="21"/>
          <w:szCs w:val="21"/>
          <w:lang w:bidi="ar"/>
        </w:rPr>
        <w:t>编制背景</w:t>
      </w:r>
      <w:bookmarkEnd w:id="28"/>
    </w:p>
    <w:p>
      <w:pPr>
        <w:pStyle w:val="81"/>
        <w:tabs>
          <w:tab w:val="center" w:pos="4201"/>
          <w:tab w:val="right" w:leader="dot" w:pos="9298"/>
        </w:tabs>
        <w:autoSpaceDE w:val="0"/>
        <w:autoSpaceDN w:val="0"/>
        <w:ind w:firstLine="420" w:firstLineChars="200"/>
        <w:rPr>
          <w:rFonts w:hint="default" w:ascii="Times New Roman" w:hAnsi="Times New Roman" w:cs="Times New Roman"/>
          <w:sz w:val="21"/>
          <w:szCs w:val="20"/>
          <w:lang w:bidi="ar"/>
        </w:rPr>
      </w:pPr>
      <w:r>
        <w:rPr>
          <w:rFonts w:hint="default" w:ascii="Times New Roman" w:hAnsi="Times New Roman" w:cs="Times New Roman"/>
          <w:sz w:val="21"/>
          <w:szCs w:val="20"/>
          <w:lang w:bidi="ar"/>
        </w:rPr>
        <w:t>本文件编制背景是为预防或减少特高压换流站火灾危害，保障人身和财产安全，规范特高压换流站消防设计，总结在运换流站消防设计经验，应用国家电网公司±800 kV/8 GW特高压直流标准化成果</w:t>
      </w:r>
      <w:r>
        <w:rPr>
          <w:rFonts w:hint="eastAsia" w:cs="Times New Roman"/>
          <w:sz w:val="21"/>
          <w:szCs w:val="20"/>
          <w:lang w:eastAsia="zh-CN" w:bidi="ar"/>
        </w:rPr>
        <w:t>，</w:t>
      </w:r>
      <w:r>
        <w:rPr>
          <w:rFonts w:hint="eastAsia" w:cs="Times New Roman"/>
          <w:sz w:val="21"/>
          <w:szCs w:val="20"/>
          <w:lang w:val="en-US" w:eastAsia="zh-CN" w:bidi="ar"/>
        </w:rPr>
        <w:t>以及参考</w:t>
      </w:r>
      <w:r>
        <w:rPr>
          <w:rFonts w:hint="default" w:ascii="Times New Roman" w:hAnsi="Times New Roman" w:cs="Times New Roman"/>
          <w:sz w:val="21"/>
          <w:szCs w:val="20"/>
          <w:lang w:bidi="ar"/>
        </w:rPr>
        <w:t>国家标准GB55036-2022《消防设施通用规范》、GB50229-2019《火力发电厂与变电站设计防火标准》、GB50151-2021《泡沫灭火系统技术标准》</w:t>
      </w:r>
      <w:r>
        <w:rPr>
          <w:rFonts w:hint="eastAsia" w:cs="Times New Roman"/>
          <w:sz w:val="21"/>
          <w:szCs w:val="20"/>
          <w:lang w:eastAsia="zh-CN" w:bidi="ar"/>
        </w:rPr>
        <w:t>、</w:t>
      </w:r>
      <w:r>
        <w:rPr>
          <w:rFonts w:hint="default" w:ascii="Times New Roman" w:hAnsi="Times New Roman" w:cs="Times New Roman"/>
          <w:sz w:val="21"/>
          <w:szCs w:val="20"/>
          <w:lang w:bidi="ar"/>
        </w:rPr>
        <w:t>GB55037-2022《建筑防火通用规范》，</w:t>
      </w:r>
      <w:r>
        <w:rPr>
          <w:rFonts w:hint="eastAsia" w:cs="Times New Roman"/>
          <w:sz w:val="21"/>
          <w:szCs w:val="20"/>
          <w:lang w:val="en-US" w:eastAsia="zh-CN" w:bidi="ar"/>
        </w:rPr>
        <w:t>修订</w:t>
      </w:r>
      <w:r>
        <w:rPr>
          <w:rFonts w:hint="default" w:ascii="Times New Roman" w:hAnsi="Times New Roman" w:cs="Times New Roman"/>
          <w:sz w:val="21"/>
          <w:szCs w:val="20"/>
          <w:lang w:bidi="ar"/>
        </w:rPr>
        <w:t>本文件。</w:t>
      </w:r>
    </w:p>
    <w:p>
      <w:pPr>
        <w:pStyle w:val="81"/>
        <w:tabs>
          <w:tab w:val="center" w:pos="4201"/>
          <w:tab w:val="right" w:leader="dot" w:pos="9298"/>
        </w:tabs>
        <w:autoSpaceDE w:val="0"/>
        <w:autoSpaceDN w:val="0"/>
        <w:ind w:firstLine="420" w:firstLineChars="200"/>
        <w:rPr>
          <w:rFonts w:hint="default" w:ascii="Times New Roman" w:hAnsi="Times New Roman" w:cs="Times New Roman"/>
          <w:sz w:val="21"/>
          <w:szCs w:val="20"/>
          <w:lang w:bidi="ar"/>
        </w:rPr>
      </w:pPr>
      <w:r>
        <w:rPr>
          <w:rFonts w:hint="default" w:ascii="Times New Roman" w:hAnsi="Times New Roman" w:cs="Times New Roman"/>
          <w:sz w:val="21"/>
          <w:szCs w:val="20"/>
          <w:lang w:bidi="ar"/>
        </w:rPr>
        <w:t>本文件编制的主要目的是总结近年来我国特高压变电站及换流站的设计、建设、运行经验，制定相应的消防设计规范，用以指导后续特高压工程的设计工作。</w:t>
      </w:r>
    </w:p>
    <w:p>
      <w:pPr>
        <w:pStyle w:val="81"/>
        <w:keepNext/>
        <w:keepLines/>
        <w:spacing w:before="312" w:beforeLines="100" w:after="312" w:afterLines="100"/>
        <w:outlineLvl w:val="0"/>
        <w:rPr>
          <w:rFonts w:ascii="宋体" w:hAnsi="宋体" w:eastAsia="黑体" w:cs="宋体"/>
          <w:szCs w:val="21"/>
        </w:rPr>
      </w:pPr>
      <w:bookmarkStart w:id="29" w:name="_Toc513731111"/>
      <w:r>
        <w:rPr>
          <w:rFonts w:hint="eastAsia" w:ascii="宋体" w:hAnsi="宋体" w:eastAsia="黑体" w:cs="宋体"/>
          <w:kern w:val="44"/>
          <w:sz w:val="21"/>
          <w:szCs w:val="21"/>
          <w:lang w:bidi="ar"/>
        </w:rPr>
        <w:t xml:space="preserve">2 </w:t>
      </w:r>
      <w:r>
        <w:rPr>
          <w:rFonts w:hint="eastAsia" w:ascii="宋体" w:hAnsi="宋体" w:eastAsia="黑体" w:cs="黑体"/>
          <w:kern w:val="44"/>
          <w:sz w:val="21"/>
          <w:szCs w:val="21"/>
          <w:lang w:bidi="ar"/>
        </w:rPr>
        <w:t>编制主要原则</w:t>
      </w:r>
      <w:bookmarkEnd w:id="29"/>
    </w:p>
    <w:p>
      <w:pPr>
        <w:pStyle w:val="81"/>
        <w:tabs>
          <w:tab w:val="center" w:pos="4201"/>
          <w:tab w:val="right" w:leader="dot" w:pos="9298"/>
        </w:tabs>
        <w:autoSpaceDE w:val="0"/>
        <w:autoSpaceDN w:val="0"/>
        <w:ind w:firstLine="420" w:firstLineChars="200"/>
        <w:rPr>
          <w:rFonts w:hint="eastAsia" w:ascii="宋体"/>
          <w:sz w:val="21"/>
          <w:szCs w:val="20"/>
          <w:lang w:bidi="ar"/>
        </w:rPr>
      </w:pPr>
      <w:r>
        <w:rPr>
          <w:rFonts w:hint="eastAsia" w:ascii="宋体"/>
          <w:sz w:val="21"/>
          <w:szCs w:val="20"/>
          <w:lang w:bidi="ar"/>
        </w:rPr>
        <w:t>本文件主要根据以下原则编制：</w:t>
      </w:r>
    </w:p>
    <w:p>
      <w:pPr>
        <w:pStyle w:val="81"/>
        <w:tabs>
          <w:tab w:val="center" w:pos="4201"/>
          <w:tab w:val="right" w:leader="dot" w:pos="9298"/>
        </w:tabs>
        <w:autoSpaceDE w:val="0"/>
        <w:autoSpaceDN w:val="0"/>
        <w:ind w:firstLine="420" w:firstLineChars="200"/>
        <w:rPr>
          <w:rFonts w:hint="eastAsia" w:ascii="宋体"/>
          <w:sz w:val="21"/>
          <w:szCs w:val="20"/>
          <w:lang w:bidi="ar"/>
        </w:rPr>
      </w:pPr>
      <w:r>
        <w:rPr>
          <w:rFonts w:hint="eastAsia" w:ascii="宋体"/>
          <w:sz w:val="21"/>
          <w:szCs w:val="20"/>
          <w:lang w:bidi="ar"/>
        </w:rPr>
        <w:t>——目的导向原则：本文件编制遵循“注重传承、结合实际、适应发展、协调统一”的原则</w:t>
      </w:r>
      <w:r>
        <w:rPr>
          <w:rFonts w:hint="eastAsia" w:ascii="宋体"/>
          <w:sz w:val="21"/>
          <w:szCs w:val="20"/>
          <w:lang w:eastAsia="zh-CN" w:bidi="ar"/>
        </w:rPr>
        <w:t>，</w:t>
      </w:r>
      <w:r>
        <w:rPr>
          <w:rFonts w:hint="eastAsia" w:ascii="宋体"/>
          <w:sz w:val="21"/>
          <w:szCs w:val="20"/>
          <w:lang w:bidi="ar"/>
        </w:rPr>
        <w:t>归纳吸取现行标准条款相关内容，充分结合特高压换流站和变电站事故案例和工程实际，规范特高压站建筑防火和大型油浸设备消防系统的设计要求，进一步提升特高压站消防设计水平。</w:t>
      </w:r>
    </w:p>
    <w:p>
      <w:pPr>
        <w:pStyle w:val="81"/>
        <w:tabs>
          <w:tab w:val="center" w:pos="4201"/>
          <w:tab w:val="right" w:leader="dot" w:pos="9298"/>
        </w:tabs>
        <w:autoSpaceDE w:val="0"/>
        <w:autoSpaceDN w:val="0"/>
        <w:ind w:firstLine="420" w:firstLineChars="200"/>
        <w:rPr>
          <w:rFonts w:ascii="宋体"/>
          <w:sz w:val="21"/>
          <w:szCs w:val="20"/>
          <w:lang w:bidi="ar"/>
        </w:rPr>
      </w:pPr>
      <w:r>
        <w:rPr>
          <w:rFonts w:hint="eastAsia" w:ascii="宋体"/>
          <w:sz w:val="21"/>
          <w:szCs w:val="20"/>
          <w:lang w:bidi="ar"/>
        </w:rPr>
        <w:t>——标准化对象原则：本文件编制以消防设计经验为基础，以实际火灾事故问题为导向，以特高压</w:t>
      </w:r>
      <w:r>
        <w:rPr>
          <w:rFonts w:hint="eastAsia" w:ascii="宋体"/>
          <w:sz w:val="21"/>
          <w:szCs w:val="20"/>
          <w:lang w:val="en-US" w:eastAsia="zh-CN" w:bidi="ar"/>
        </w:rPr>
        <w:t>换流</w:t>
      </w:r>
      <w:r>
        <w:rPr>
          <w:rFonts w:hint="eastAsia" w:ascii="宋体"/>
          <w:sz w:val="21"/>
          <w:szCs w:val="20"/>
          <w:lang w:bidi="ar"/>
        </w:rPr>
        <w:t>站建筑防火设计、大型带油设备消防设计、火灾自动报警和消防控制、站内消防给水系统及灭火设施等内容为重点规范对象。</w:t>
      </w:r>
    </w:p>
    <w:p>
      <w:pPr>
        <w:pStyle w:val="81"/>
        <w:keepNext/>
        <w:keepLines/>
        <w:spacing w:before="312" w:beforeLines="100" w:after="312" w:afterLines="100"/>
        <w:outlineLvl w:val="0"/>
        <w:rPr>
          <w:rFonts w:ascii="宋体" w:hAnsi="宋体" w:eastAsia="黑体" w:cs="宋体"/>
          <w:szCs w:val="21"/>
        </w:rPr>
      </w:pPr>
      <w:bookmarkStart w:id="30" w:name="_Toc513731112"/>
      <w:r>
        <w:rPr>
          <w:rFonts w:hint="eastAsia" w:ascii="宋体" w:hAnsi="宋体" w:eastAsia="黑体" w:cs="宋体"/>
          <w:kern w:val="44"/>
          <w:sz w:val="21"/>
          <w:szCs w:val="21"/>
          <w:lang w:bidi="ar"/>
        </w:rPr>
        <w:t xml:space="preserve">3 </w:t>
      </w:r>
      <w:r>
        <w:rPr>
          <w:rFonts w:hint="eastAsia" w:ascii="宋体" w:hAnsi="宋体" w:eastAsia="黑体" w:cs="黑体"/>
          <w:kern w:val="44"/>
          <w:sz w:val="21"/>
          <w:szCs w:val="21"/>
          <w:lang w:bidi="ar"/>
        </w:rPr>
        <w:t>主要工作过程</w:t>
      </w:r>
      <w:bookmarkEnd w:id="30"/>
    </w:p>
    <w:p>
      <w:pPr>
        <w:pStyle w:val="81"/>
        <w:tabs>
          <w:tab w:val="center" w:pos="4201"/>
          <w:tab w:val="right" w:leader="dot" w:pos="9298"/>
        </w:tabs>
        <w:autoSpaceDE w:val="0"/>
        <w:autoSpaceDN w:val="0"/>
        <w:ind w:firstLine="420" w:firstLineChars="200"/>
        <w:rPr>
          <w:rFonts w:hint="default" w:ascii="Times New Roman" w:hAnsi="Times New Roman" w:cs="Times New Roman"/>
          <w:sz w:val="21"/>
          <w:szCs w:val="20"/>
          <w:lang w:bidi="ar"/>
        </w:rPr>
      </w:pPr>
      <w:r>
        <w:rPr>
          <w:rFonts w:hint="default" w:ascii="Times New Roman" w:hAnsi="Times New Roman" w:cs="Times New Roman"/>
          <w:sz w:val="21"/>
          <w:szCs w:val="20"/>
          <w:lang w:bidi="ar"/>
        </w:rPr>
        <w:t>2024年</w:t>
      </w:r>
      <w:r>
        <w:rPr>
          <w:rFonts w:hint="eastAsia" w:cs="Times New Roman"/>
          <w:sz w:val="21"/>
          <w:szCs w:val="20"/>
          <w:lang w:val="en-US" w:eastAsia="zh-CN" w:bidi="ar"/>
        </w:rPr>
        <w:t>4</w:t>
      </w:r>
      <w:r>
        <w:rPr>
          <w:rFonts w:hint="default" w:ascii="Times New Roman" w:hAnsi="Times New Roman" w:cs="Times New Roman"/>
          <w:sz w:val="21"/>
          <w:szCs w:val="20"/>
          <w:lang w:bidi="ar"/>
        </w:rPr>
        <w:t>月，根据中国电机工程学会技术标准修订计划，项目启动，成立标准编写组，成员单位包括国网经济技术研究院有限公司、中国电力工程顾问集团华东电力设计院有限公司</w:t>
      </w:r>
      <w:r>
        <w:rPr>
          <w:rFonts w:hint="eastAsia" w:cs="Times New Roman"/>
          <w:sz w:val="21"/>
          <w:szCs w:val="20"/>
          <w:lang w:eastAsia="zh-CN" w:bidi="ar"/>
        </w:rPr>
        <w:t>、中国电力工程顾问集团中南电力设计院有限公司</w:t>
      </w:r>
      <w:r>
        <w:rPr>
          <w:rFonts w:hint="default" w:ascii="Times New Roman" w:hAnsi="Times New Roman" w:cs="Times New Roman"/>
          <w:sz w:val="21"/>
          <w:szCs w:val="20"/>
          <w:lang w:bidi="ar"/>
        </w:rPr>
        <w:t>，确定了标准编制的技术路线和主要内容。</w:t>
      </w:r>
    </w:p>
    <w:p>
      <w:pPr>
        <w:pStyle w:val="81"/>
        <w:tabs>
          <w:tab w:val="center" w:pos="4201"/>
          <w:tab w:val="right" w:leader="dot" w:pos="9298"/>
        </w:tabs>
        <w:autoSpaceDE w:val="0"/>
        <w:autoSpaceDN w:val="0"/>
        <w:ind w:firstLine="420" w:firstLineChars="200"/>
        <w:rPr>
          <w:rFonts w:hint="default" w:ascii="Times New Roman" w:hAnsi="Times New Roman" w:cs="Times New Roman"/>
          <w:sz w:val="21"/>
          <w:szCs w:val="20"/>
          <w:lang w:bidi="ar"/>
        </w:rPr>
      </w:pPr>
      <w:r>
        <w:rPr>
          <w:rFonts w:hint="default" w:ascii="Times New Roman" w:hAnsi="Times New Roman" w:cs="Times New Roman"/>
          <w:sz w:val="21"/>
          <w:szCs w:val="20"/>
          <w:lang w:bidi="ar"/>
        </w:rPr>
        <w:t>2024年5月，完成本文件大纲编写。</w:t>
      </w:r>
    </w:p>
    <w:p>
      <w:pPr>
        <w:pStyle w:val="81"/>
        <w:tabs>
          <w:tab w:val="center" w:pos="4201"/>
          <w:tab w:val="right" w:leader="dot" w:pos="9298"/>
        </w:tabs>
        <w:autoSpaceDE w:val="0"/>
        <w:autoSpaceDN w:val="0"/>
        <w:ind w:firstLine="420" w:firstLineChars="200"/>
        <w:rPr>
          <w:rFonts w:hint="default" w:ascii="Times New Roman" w:hAnsi="Times New Roman" w:cs="Times New Roman"/>
          <w:sz w:val="21"/>
          <w:szCs w:val="20"/>
          <w:lang w:bidi="ar"/>
        </w:rPr>
      </w:pPr>
      <w:r>
        <w:rPr>
          <w:rFonts w:hint="default" w:ascii="Times New Roman" w:hAnsi="Times New Roman" w:cs="Times New Roman"/>
          <w:sz w:val="21"/>
          <w:szCs w:val="20"/>
          <w:lang w:bidi="ar"/>
        </w:rPr>
        <w:t>202</w:t>
      </w:r>
      <w:r>
        <w:rPr>
          <w:rFonts w:hint="eastAsia" w:cs="Times New Roman"/>
          <w:sz w:val="21"/>
          <w:szCs w:val="20"/>
          <w:lang w:val="en-US" w:eastAsia="zh-CN" w:bidi="ar"/>
        </w:rPr>
        <w:t>5</w:t>
      </w:r>
      <w:r>
        <w:rPr>
          <w:rFonts w:hint="default" w:ascii="Times New Roman" w:hAnsi="Times New Roman" w:cs="Times New Roman"/>
          <w:sz w:val="21"/>
          <w:szCs w:val="20"/>
          <w:lang w:bidi="ar"/>
        </w:rPr>
        <w:t>年</w:t>
      </w:r>
      <w:r>
        <w:rPr>
          <w:rFonts w:hint="eastAsia" w:cs="Times New Roman"/>
          <w:sz w:val="21"/>
          <w:szCs w:val="20"/>
          <w:lang w:val="en-US" w:eastAsia="zh-CN" w:bidi="ar"/>
        </w:rPr>
        <w:t>2</w:t>
      </w:r>
      <w:r>
        <w:rPr>
          <w:rFonts w:hint="default" w:ascii="Times New Roman" w:hAnsi="Times New Roman" w:cs="Times New Roman"/>
          <w:sz w:val="21"/>
          <w:szCs w:val="20"/>
          <w:lang w:bidi="ar"/>
        </w:rPr>
        <w:t>月，完成本文件</w:t>
      </w:r>
      <w:r>
        <w:rPr>
          <w:rFonts w:hint="eastAsia" w:cs="Times New Roman"/>
          <w:sz w:val="21"/>
          <w:szCs w:val="20"/>
          <w:lang w:val="en-US" w:eastAsia="zh-CN" w:bidi="ar"/>
        </w:rPr>
        <w:t>征求意见</w:t>
      </w:r>
      <w:r>
        <w:rPr>
          <w:rFonts w:hint="default" w:ascii="Times New Roman" w:hAnsi="Times New Roman" w:cs="Times New Roman"/>
          <w:sz w:val="21"/>
          <w:szCs w:val="20"/>
          <w:lang w:bidi="ar"/>
        </w:rPr>
        <w:t>稿编写。</w:t>
      </w:r>
    </w:p>
    <w:p>
      <w:pPr>
        <w:pStyle w:val="81"/>
        <w:keepNext/>
        <w:keepLines/>
        <w:spacing w:before="312" w:beforeLines="100" w:after="312" w:afterLines="100"/>
        <w:outlineLvl w:val="0"/>
      </w:pPr>
      <w:bookmarkStart w:id="31" w:name="_Toc513731113"/>
      <w:r>
        <w:rPr>
          <w:rFonts w:hint="eastAsia" w:ascii="宋体" w:hAnsi="宋体" w:eastAsia="黑体" w:cs="宋体"/>
          <w:kern w:val="44"/>
          <w:sz w:val="21"/>
          <w:szCs w:val="21"/>
          <w:lang w:bidi="ar"/>
        </w:rPr>
        <w:t>4</w:t>
      </w:r>
      <w:r>
        <w:rPr>
          <w:rFonts w:eastAsia="黑体"/>
          <w:kern w:val="44"/>
          <w:sz w:val="21"/>
          <w:szCs w:val="44"/>
          <w:lang w:bidi="ar"/>
        </w:rPr>
        <w:t xml:space="preserve"> </w:t>
      </w:r>
      <w:r>
        <w:rPr>
          <w:rFonts w:hint="eastAsia" w:eastAsia="黑体" w:cs="黑体"/>
          <w:kern w:val="44"/>
          <w:sz w:val="21"/>
          <w:szCs w:val="44"/>
          <w:lang w:bidi="ar"/>
        </w:rPr>
        <w:t>标准结构和内容说明</w:t>
      </w:r>
      <w:bookmarkEnd w:id="31"/>
    </w:p>
    <w:p>
      <w:pPr>
        <w:pStyle w:val="521"/>
        <w:widowControl/>
        <w:ind w:firstLineChars="0"/>
        <w:rPr>
          <w:rFonts w:cs="宋体"/>
        </w:rPr>
      </w:pPr>
      <w:r>
        <w:rPr>
          <w:rFonts w:hint="eastAsia" w:cs="宋体"/>
        </w:rPr>
        <w:t>本</w:t>
      </w:r>
      <w:r>
        <w:rPr>
          <w:rFonts w:hint="eastAsia" w:cs="宋体"/>
          <w:lang w:val="en-US" w:eastAsia="zh-CN"/>
        </w:rPr>
        <w:t>文件</w:t>
      </w:r>
      <w:r>
        <w:rPr>
          <w:rFonts w:hint="eastAsia" w:cs="宋体"/>
        </w:rPr>
        <w:t>具体章节如下：本标</w:t>
      </w:r>
      <w:r>
        <w:rPr>
          <w:rFonts w:hint="default" w:ascii="Times New Roman" w:hAnsi="Times New Roman" w:cs="Times New Roman"/>
        </w:rPr>
        <w:t>准主题章</w:t>
      </w:r>
      <w:r>
        <w:rPr>
          <w:rFonts w:hint="default" w:ascii="Times New Roman" w:hAnsi="Times New Roman" w:eastAsia="宋体" w:cs="Times New Roman"/>
        </w:rPr>
        <w:t>为</w:t>
      </w:r>
      <w:r>
        <w:rPr>
          <w:rFonts w:hint="eastAsia" w:ascii="Times New Roman" w:hAnsi="Times New Roman" w:cs="Times New Roman"/>
          <w:lang w:val="en-US" w:eastAsia="zh-CN"/>
        </w:rPr>
        <w:t>12</w:t>
      </w:r>
      <w:r>
        <w:rPr>
          <w:rFonts w:hint="default" w:ascii="Times New Roman" w:hAnsi="Times New Roman" w:eastAsia="宋体" w:cs="Times New Roman"/>
        </w:rPr>
        <w:t>章</w:t>
      </w:r>
      <w:r>
        <w:rPr>
          <w:rFonts w:hint="default" w:ascii="Times New Roman" w:hAnsi="Times New Roman" w:cs="Times New Roman"/>
        </w:rPr>
        <w:t>，</w:t>
      </w:r>
      <w:r>
        <w:rPr>
          <w:rFonts w:hint="eastAsia" w:cs="宋体"/>
        </w:rPr>
        <w:t>由范围、规范性引用文件、术语和定义、</w:t>
      </w:r>
      <w:r>
        <w:rPr>
          <w:rFonts w:hint="eastAsia" w:cs="宋体"/>
          <w:lang w:val="en-US" w:eastAsia="zh-CN"/>
        </w:rPr>
        <w:t>总则</w:t>
      </w:r>
      <w:r>
        <w:rPr>
          <w:rFonts w:hint="eastAsia" w:cs="宋体"/>
        </w:rPr>
        <w:t>、建（构）筑物火灾危险性分类</w:t>
      </w:r>
      <w:r>
        <w:rPr>
          <w:rFonts w:hint="eastAsia" w:cs="宋体"/>
          <w:lang w:val="en-US" w:eastAsia="zh-CN"/>
        </w:rPr>
        <w:t>及</w:t>
      </w:r>
      <w:r>
        <w:rPr>
          <w:rFonts w:hint="eastAsia" w:cs="宋体"/>
        </w:rPr>
        <w:t>耐火等级</w:t>
      </w:r>
      <w:r>
        <w:rPr>
          <w:rFonts w:hint="eastAsia" w:cs="宋体"/>
          <w:lang w:eastAsia="zh-CN"/>
        </w:rPr>
        <w:t>、防火间距和消防车道、建（构）筑物的安全疏散和建筑构造、换流站工艺系统、消防给水和灭火设施、</w:t>
      </w:r>
      <w:r>
        <w:rPr>
          <w:rFonts w:asciiTheme="minorEastAsia" w:hAnsiTheme="minorEastAsia" w:eastAsiaTheme="minorEastAsia"/>
          <w:lang w:eastAsia="zh-CN"/>
        </w:rPr>
        <w:t>采暖、通风及空气调节</w:t>
      </w:r>
      <w:r>
        <w:rPr>
          <w:rFonts w:hint="eastAsia" w:asciiTheme="minorEastAsia" w:hAnsiTheme="minorEastAsia" w:eastAsiaTheme="minorEastAsia"/>
          <w:lang w:eastAsia="zh-CN"/>
        </w:rPr>
        <w:t>、</w:t>
      </w:r>
      <w:r>
        <w:rPr>
          <w:rFonts w:asciiTheme="minorEastAsia" w:hAnsiTheme="minorEastAsia" w:eastAsiaTheme="minorEastAsia"/>
          <w:lang w:eastAsia="zh-CN"/>
        </w:rPr>
        <w:t>消防供电与应急照明</w:t>
      </w:r>
      <w:r>
        <w:rPr>
          <w:rFonts w:hint="eastAsia" w:asciiTheme="minorEastAsia" w:hAnsiTheme="minorEastAsia" w:eastAsiaTheme="minorEastAsia"/>
          <w:lang w:eastAsia="zh-CN"/>
        </w:rPr>
        <w:t>、火灾自动报警与消防联动控制</w:t>
      </w:r>
      <w:r>
        <w:rPr>
          <w:rFonts w:hint="eastAsia" w:cs="宋体"/>
        </w:rPr>
        <w:t>。</w:t>
      </w:r>
    </w:p>
    <w:p>
      <w:pPr>
        <w:pStyle w:val="521"/>
        <w:widowControl/>
        <w:ind w:firstLineChars="0"/>
        <w:rPr>
          <w:rFonts w:hint="eastAsia" w:cs="宋体"/>
        </w:rPr>
      </w:pPr>
      <w:r>
        <w:rPr>
          <w:rFonts w:hint="eastAsia" w:cs="宋体"/>
        </w:rPr>
        <w:t>本文件结合特高压工程消防设计经验、实际火灾事故分析以及特高压站消防提升研究成果，本着先进性和实用性、操作性和可扩展性兼顾的原则，给出了特高压站消防设计的要求，</w:t>
      </w:r>
      <w:r>
        <w:rPr>
          <w:rFonts w:hint="eastAsia" w:cs="宋体"/>
          <w:lang w:val="en-US" w:eastAsia="zh-CN"/>
        </w:rPr>
        <w:t>用</w:t>
      </w:r>
      <w:r>
        <w:rPr>
          <w:rFonts w:hint="eastAsia" w:cs="宋体"/>
        </w:rPr>
        <w:t>以指导特高压站消防工程的设计工作开展。</w:t>
      </w:r>
    </w:p>
    <w:p>
      <w:pPr>
        <w:pStyle w:val="521"/>
        <w:widowControl/>
        <w:ind w:firstLineChars="0"/>
        <w:rPr>
          <w:rFonts w:hint="eastAsia" w:cs="宋体"/>
        </w:rPr>
      </w:pPr>
      <w:r>
        <w:rPr>
          <w:rFonts w:hint="eastAsia" w:cs="宋体"/>
        </w:rPr>
        <w:t>本文件的结构和内容完全符合规范标准的编写要求，便于查阅、宣贯和实施。</w:t>
      </w:r>
    </w:p>
    <w:p>
      <w:pPr>
        <w:pStyle w:val="81"/>
        <w:keepNext/>
        <w:keepLines/>
        <w:spacing w:before="312" w:beforeLines="100" w:after="312" w:afterLines="100"/>
        <w:outlineLvl w:val="0"/>
      </w:pPr>
      <w:bookmarkStart w:id="32" w:name="_Toc513731114"/>
      <w:r>
        <w:rPr>
          <w:rFonts w:hint="eastAsia" w:ascii="宋体" w:hAnsi="宋体" w:eastAsia="黑体" w:cs="宋体"/>
          <w:kern w:val="44"/>
          <w:sz w:val="21"/>
          <w:szCs w:val="21"/>
          <w:lang w:bidi="ar"/>
        </w:rPr>
        <w:t xml:space="preserve">5 </w:t>
      </w:r>
      <w:r>
        <w:rPr>
          <w:rFonts w:hint="eastAsia" w:eastAsia="黑体" w:cs="黑体"/>
          <w:kern w:val="44"/>
          <w:sz w:val="21"/>
          <w:szCs w:val="44"/>
          <w:lang w:bidi="ar"/>
        </w:rPr>
        <w:t>标准水平说明</w:t>
      </w:r>
      <w:bookmarkEnd w:id="32"/>
    </w:p>
    <w:p>
      <w:pPr>
        <w:pStyle w:val="521"/>
        <w:widowControl/>
        <w:ind w:firstLineChars="0"/>
        <w:rPr>
          <w:rFonts w:hint="default" w:ascii="Times New Roman" w:hAnsi="Times New Roman" w:cs="Times New Roman"/>
        </w:rPr>
      </w:pPr>
      <w:r>
        <w:rPr>
          <w:rFonts w:hint="default" w:ascii="Times New Roman" w:hAnsi="Times New Roman" w:cs="Times New Roman"/>
        </w:rPr>
        <w:t>本文件第6.8条中，环状消防道路转弯半径不宜小于9 m。尽头式消防车道应设置回车道或回车场，回车场的面积不应小于12 m×12 m；供重型消防车使用时，不宜小于18 m×18 m。</w:t>
      </w:r>
    </w:p>
    <w:p>
      <w:pPr>
        <w:pStyle w:val="521"/>
        <w:widowControl/>
        <w:ind w:firstLineChars="0"/>
        <w:rPr>
          <w:rFonts w:hint="default" w:ascii="Times New Roman" w:hAnsi="Times New Roman" w:cs="Times New Roman"/>
        </w:rPr>
      </w:pPr>
      <w:r>
        <w:rPr>
          <w:rFonts w:hint="default" w:ascii="Times New Roman" w:hAnsi="Times New Roman" w:cs="Times New Roman"/>
        </w:rPr>
        <w:t>本文件第7.2.1条中，对阀厅的整体及部件的燃烧性能及耐火极限做出具体技术要求，考虑到阀厅与 控制楼之间的工艺管道连接，阀厅与控制楼应按同一建筑物划分不同分区考虑；按现行防火规范规定了丁类二级建筑物的构件耐火极限。</w:t>
      </w:r>
    </w:p>
    <w:p>
      <w:pPr>
        <w:pStyle w:val="521"/>
        <w:widowControl/>
        <w:ind w:firstLineChars="0"/>
        <w:rPr>
          <w:rFonts w:hint="default" w:ascii="Times New Roman" w:hAnsi="Times New Roman" w:cs="Times New Roman"/>
        </w:rPr>
      </w:pPr>
      <w:r>
        <w:rPr>
          <w:rFonts w:hint="default" w:ascii="Times New Roman" w:hAnsi="Times New Roman" w:cs="Times New Roman"/>
        </w:rPr>
        <w:t>本文件第8.1.2条中，由于当换流变压器发生火灾时，换流变压器与阀厅之间的防火墙将直接受到烃类火灾的作用，因此防火墙和阀侧套管封堵的耐火极限应采用碳氢升温曲线进行评价，应满足碳氢升温曲线试验要求且不低于3.00 h。</w:t>
      </w:r>
    </w:p>
    <w:p>
      <w:pPr>
        <w:pStyle w:val="521"/>
        <w:widowControl/>
        <w:ind w:firstLineChars="0"/>
        <w:rPr>
          <w:rFonts w:hint="default" w:ascii="Times New Roman" w:hAnsi="Times New Roman" w:cs="Times New Roman"/>
        </w:rPr>
      </w:pPr>
      <w:r>
        <w:rPr>
          <w:rFonts w:hint="default" w:ascii="Times New Roman" w:hAnsi="Times New Roman" w:cs="Times New Roman"/>
        </w:rPr>
        <w:t>本文件第8.1.3条，本条补充说明了当换流变压器采用固定式压缩空气泡沫灭火系统时需要满足的相关要求。</w:t>
      </w:r>
    </w:p>
    <w:p>
      <w:pPr>
        <w:pStyle w:val="521"/>
        <w:widowControl/>
        <w:ind w:firstLineChars="0"/>
        <w:rPr>
          <w:rFonts w:hint="default" w:ascii="Times New Roman" w:hAnsi="Times New Roman" w:cs="Times New Roman"/>
        </w:rPr>
      </w:pPr>
      <w:r>
        <w:rPr>
          <w:rFonts w:hint="default" w:ascii="Times New Roman" w:hAnsi="Times New Roman" w:cs="Times New Roman"/>
        </w:rPr>
        <w:t>本文件第8.3.4条中，规定了火灾自动报警系统的供电线路、控制线路及传输线路选型的基本要求。系统线路的选型是系统布线设计的关键环节，线路的防火性能直接影响系统在火灾工况下的安全性和运行可靠性。系统的供电线路、消防联动控制线路需要在火灾时继续工作，应具有相应的耐火性能，其他传输线路等要求具有一定的阻燃性，以避免在火灾中发生延燃。</w:t>
      </w:r>
    </w:p>
    <w:p>
      <w:pPr>
        <w:pStyle w:val="521"/>
        <w:widowControl/>
        <w:ind w:firstLineChars="0"/>
        <w:rPr>
          <w:rFonts w:hint="default" w:ascii="Times New Roman" w:hAnsi="Times New Roman" w:cs="Times New Roman"/>
        </w:rPr>
      </w:pPr>
      <w:r>
        <w:rPr>
          <w:rFonts w:hint="default" w:ascii="Times New Roman" w:hAnsi="Times New Roman" w:cs="Times New Roman"/>
        </w:rPr>
        <w:t>本文件第8.4.3条，本条补充了排油管道的设计原则。</w:t>
      </w:r>
    </w:p>
    <w:p>
      <w:pPr>
        <w:pStyle w:val="521"/>
        <w:widowControl/>
        <w:ind w:firstLineChars="0"/>
        <w:rPr>
          <w:rFonts w:hint="default" w:ascii="Times New Roman" w:hAnsi="Times New Roman" w:cs="Times New Roman"/>
        </w:rPr>
      </w:pPr>
      <w:r>
        <w:rPr>
          <w:rFonts w:hint="default" w:ascii="Times New Roman" w:hAnsi="Times New Roman" w:cs="Times New Roman"/>
        </w:rPr>
        <w:t>本文件第8.5.1和第8.5.2条，是根据国家电网公司科技重大专项最新研究成果而确定。由国家电网有限公司联合应急管理部四川消防研究所等单位开展的大量真型耐火试验研究表明，阀侧套管封贯穿部位不仅要对封堵材料的性能给出相关要求，还应对整个封堵系统的耐火性能进行规定，因此明确了套管封堵系统的耐火极限应满足碳氢火耐火试验的要求，且不小于3.00 h的防护目标。主要是由于当换流变压器发生火灾时，换流变压器与阀厅之间的防火墙及阀侧套管封堵系统将直接受到烃类火灾的作用，因此防火墙和阀侧套管封堵的耐火极限应采用碳氢升温曲线进行评价。</w:t>
      </w:r>
    </w:p>
    <w:p>
      <w:pPr>
        <w:pStyle w:val="521"/>
        <w:widowControl/>
        <w:ind w:firstLineChars="0"/>
        <w:rPr>
          <w:rFonts w:hint="default" w:ascii="Times New Roman" w:hAnsi="Times New Roman" w:cs="Times New Roman"/>
        </w:rPr>
      </w:pPr>
      <w:r>
        <w:rPr>
          <w:rFonts w:hint="default" w:ascii="Times New Roman" w:hAnsi="Times New Roman" w:cs="Times New Roman"/>
        </w:rPr>
        <w:t>防火墙和阀侧套管封堵系统由大封堵结构和小封堵结构组成，大封堵指换流变压器穿墙套管与阀厅的换流变压器侧墙体之间的主体填充材料或构造，小封堵指换流变压器穿墙套管与大封堵之间的缝隙填充材料或构造。</w:t>
      </w:r>
    </w:p>
    <w:p>
      <w:pPr>
        <w:pStyle w:val="521"/>
        <w:widowControl/>
        <w:ind w:firstLineChars="0"/>
        <w:rPr>
          <w:rFonts w:hint="default" w:ascii="Times New Roman" w:hAnsi="Times New Roman" w:cs="Times New Roman"/>
        </w:rPr>
      </w:pPr>
      <w:r>
        <w:rPr>
          <w:rFonts w:hint="default" w:ascii="Times New Roman" w:hAnsi="Times New Roman" w:cs="Times New Roman"/>
        </w:rPr>
        <w:t>本文件第8.6.2条中，规定了隔声罩设计的一般要求，隔声罩设计应满足顶部和冷却器端熔断打开的要求，顶部宜采用“可熔断降噪板</w:t>
      </w:r>
      <w:r>
        <w:rPr>
          <w:rFonts w:hint="eastAsia" w:ascii="Times New Roman" w:hAnsi="Times New Roman" w:cs="Times New Roman"/>
          <w:lang w:val="en-US" w:eastAsia="zh-CN"/>
        </w:rPr>
        <w:t>+</w:t>
      </w:r>
      <w:r>
        <w:rPr>
          <w:rFonts w:hint="default" w:ascii="Times New Roman" w:hAnsi="Times New Roman" w:cs="Times New Roman"/>
        </w:rPr>
        <w:t>热熔支撑板”方案，也可采用“可熔断降噪板”或“常规吸隔声板</w:t>
      </w:r>
      <w:r>
        <w:rPr>
          <w:rFonts w:hint="eastAsia" w:ascii="Times New Roman" w:hAnsi="Times New Roman" w:cs="Times New Roman"/>
          <w:lang w:val="en-US" w:eastAsia="zh-CN"/>
        </w:rPr>
        <w:t>+</w:t>
      </w:r>
      <w:r>
        <w:rPr>
          <w:rFonts w:hint="default" w:ascii="Times New Roman" w:hAnsi="Times New Roman" w:cs="Times New Roman"/>
        </w:rPr>
        <w:t>热熔支撑板”方案。其中，顶部可熔断部分设计范围要求的目的在于满足顶部可脱落区域面积大于变压器顶部面积，减少火灾时的遮挡面积，提高灭火效率。同时，对换流变压器顶部隔声罩提出了具备泄爆功能的要求。</w:t>
      </w:r>
    </w:p>
    <w:p>
      <w:pPr>
        <w:pStyle w:val="521"/>
        <w:widowControl/>
        <w:ind w:firstLineChars="0"/>
        <w:rPr>
          <w:rFonts w:hint="default" w:ascii="Times New Roman" w:hAnsi="Times New Roman" w:cs="Times New Roman"/>
        </w:rPr>
      </w:pPr>
      <w:r>
        <w:rPr>
          <w:rFonts w:hint="default" w:ascii="Times New Roman" w:hAnsi="Times New Roman" w:cs="Times New Roman"/>
        </w:rPr>
        <w:t>本文件第8.6.3条中，根据国家电网公司部署，国网安徽电科院等单位开展试验验证了变压器起火后采取本体排油措施能够有效去除可燃物质、减少油枕及换流变压器升高座内变压器油溢出量、排油后火势减弱、缩短了燃烧时间，同时结合消防降温及灭火，多措并举控制火势，可防止一台变压器持续燃烧，蔓延后导致事故范围扩大。同时，考虑目前应急排油系统一般为“手动”启动方式，发生火灾时需人员手动合上相应电源，为保障应急处置状态下人员安全，应急排油系统电动阀门不宜采用就地汇控柜交叉供电，避免人员需要前往换流变压器区域的情况。</w:t>
      </w:r>
    </w:p>
    <w:p>
      <w:pPr>
        <w:pStyle w:val="521"/>
        <w:widowControl/>
        <w:ind w:firstLineChars="0"/>
        <w:rPr>
          <w:rFonts w:hint="default" w:ascii="Times New Roman" w:hAnsi="Times New Roman" w:cs="Times New Roman"/>
        </w:rPr>
      </w:pPr>
      <w:r>
        <w:rPr>
          <w:rFonts w:hint="default" w:ascii="Times New Roman" w:hAnsi="Times New Roman" w:cs="Times New Roman"/>
        </w:rPr>
        <w:t xml:space="preserve">本文件第9.1条，根据最新特高压换流站设计升级版指导意见，对站区消防给水系统的消防用水量、消防泵配置、消防管道敷设等进行了全面梳理及标准化规定。当换流变压器固定消防采用压缩空气泡沫灭火系统，且不考虑与特高压变电站合建及其他远期规划时，一次最大消防用水量约845 </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default" w:ascii="Times New Roman" w:hAnsi="Times New Roman" w:cs="Times New Roman"/>
        </w:rPr>
        <w:t>，消防补水量不应小于17.5 m</w:t>
      </w:r>
      <w:r>
        <w:rPr>
          <w:rFonts w:hint="default" w:ascii="Times New Roman" w:hAnsi="Times New Roman" w:cs="Times New Roman"/>
          <w:vertAlign w:val="superscript"/>
        </w:rPr>
        <w:t>3</w:t>
      </w:r>
      <w:r>
        <w:rPr>
          <w:rFonts w:hint="default" w:ascii="Times New Roman" w:hAnsi="Times New Roman" w:cs="Times New Roman"/>
        </w:rPr>
        <w:t>/h。</w:t>
      </w:r>
    </w:p>
    <w:p>
      <w:pPr>
        <w:pStyle w:val="521"/>
        <w:widowControl/>
        <w:ind w:firstLineChars="0"/>
        <w:rPr>
          <w:rFonts w:hint="default" w:ascii="Times New Roman" w:hAnsi="Times New Roman" w:cs="Times New Roman"/>
        </w:rPr>
      </w:pPr>
      <w:r>
        <w:rPr>
          <w:rFonts w:hint="default" w:ascii="Times New Roman" w:hAnsi="Times New Roman" w:cs="Times New Roman"/>
        </w:rPr>
        <w:t>本文件第9.2.2条中，根据最新特高压换流站设计升级版指导意见，结合近年来投运换流站换流变压 器固定式压缩空气泡沫灭火系统设计、施工、验收及运行经验，对换流变压器固定式压缩空气泡沫灭火系统进行了指导规定。</w:t>
      </w:r>
    </w:p>
    <w:p>
      <w:pPr>
        <w:pStyle w:val="521"/>
        <w:widowControl/>
        <w:ind w:firstLineChars="0"/>
        <w:rPr>
          <w:rFonts w:hint="default" w:ascii="Times New Roman" w:hAnsi="Times New Roman" w:cs="Times New Roman"/>
        </w:rPr>
      </w:pPr>
      <w:r>
        <w:rPr>
          <w:rFonts w:hint="default" w:ascii="Times New Roman" w:hAnsi="Times New Roman" w:cs="Times New Roman"/>
        </w:rPr>
        <w:t>本文件第9.2.3条中，根据最新特高压换流站设计升级版指导意见，对换流站内除换流变压器压器的其他大型带油设备，一般采用水喷雾灭火系统，结合近年来一系列真火试验，主要补充了系统管道及支架的防火加强措施。</w:t>
      </w:r>
    </w:p>
    <w:p>
      <w:pPr>
        <w:pStyle w:val="521"/>
        <w:widowControl/>
        <w:ind w:firstLineChars="0"/>
        <w:rPr>
          <w:rFonts w:hint="eastAsia" w:ascii="Times New Roman" w:hAnsi="Times New Roman" w:eastAsia="宋体" w:cs="Times New Roman"/>
          <w:lang w:eastAsia="zh-CN"/>
        </w:rPr>
      </w:pPr>
      <w:r>
        <w:rPr>
          <w:rFonts w:hint="default" w:ascii="Times New Roman" w:hAnsi="Times New Roman" w:cs="Times New Roman"/>
        </w:rPr>
        <w:t>本文件第12.4.3条中，对换流变压器火灾探测器类型进行了补充，由于换流变压器的重要性，除线型感温探测器外还应配置火焰探测器</w:t>
      </w:r>
      <w:r>
        <w:rPr>
          <w:rFonts w:hint="eastAsia" w:ascii="Times New Roman" w:hAnsi="Times New Roman" w:cs="Times New Roman"/>
          <w:lang w:eastAsia="zh-CN"/>
        </w:rPr>
        <w:t>。</w:t>
      </w:r>
    </w:p>
    <w:p>
      <w:pPr>
        <w:pStyle w:val="521"/>
        <w:widowControl/>
        <w:ind w:firstLineChars="0"/>
        <w:rPr>
          <w:rFonts w:hint="default" w:ascii="Times New Roman" w:hAnsi="Times New Roman" w:cs="Times New Roman"/>
        </w:rPr>
      </w:pPr>
      <w:r>
        <w:rPr>
          <w:rFonts w:hint="default" w:ascii="Times New Roman" w:hAnsi="Times New Roman" w:cs="Times New Roman"/>
        </w:rPr>
        <w:t>本文件第12.5.3条中，为了全面提升直流换流站换流变压器安全运行，确保换流变压器出现火情时能够及时迅速启动消防灭火，国家电网公司组织多次专家会议讨论后，最终确定了换流变压器固定消防启动跳闸逻辑，如下图所示。</w:t>
      </w:r>
    </w:p>
    <w:p>
      <w:pPr>
        <w:pStyle w:val="521"/>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ascii="Times New Roman" w:hAnsi="Times New Roman" w:cs="Times New Roman"/>
          <w:lang w:eastAsia="zh-CN"/>
        </w:rPr>
        <w:drawing>
          <wp:inline distT="0" distB="0" distL="0" distR="0">
            <wp:extent cx="3721100" cy="364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21100" cy="3644900"/>
                    </a:xfrm>
                    <a:prstGeom prst="rect">
                      <a:avLst/>
                    </a:prstGeom>
                    <a:noFill/>
                    <a:ln>
                      <a:noFill/>
                    </a:ln>
                  </pic:spPr>
                </pic:pic>
              </a:graphicData>
            </a:graphic>
          </wp:inline>
        </w:drawing>
      </w:r>
    </w:p>
    <w:p>
      <w:pPr>
        <w:pStyle w:val="521"/>
        <w:widowControl/>
        <w:ind w:firstLineChars="0"/>
        <w:rPr>
          <w:rFonts w:hint="default" w:ascii="Times New Roman" w:hAnsi="Times New Roman" w:cs="Times New Roman"/>
        </w:rPr>
      </w:pPr>
      <w:r>
        <w:rPr>
          <w:rFonts w:hint="default" w:ascii="Times New Roman" w:hAnsi="Times New Roman" w:cs="Times New Roman"/>
        </w:rPr>
        <w:t>本文件第12.5.3、12.5.4、12.5.5、12.5.7、12.5.8条中，对换流站雨淋阀组、消防泵、图像监视系统、可燃气体探测系统与火灾报警系统之间的联动控制提出了具体要求。</w:t>
      </w:r>
    </w:p>
    <w:p>
      <w:pPr>
        <w:pStyle w:val="81"/>
        <w:keepNext/>
        <w:keepLines/>
        <w:spacing w:before="312" w:beforeLines="100" w:after="312" w:afterLines="100"/>
        <w:outlineLvl w:val="0"/>
        <w:rPr>
          <w:rFonts w:ascii="宋体" w:hAnsi="宋体" w:eastAsia="黑体" w:cs="宋体"/>
          <w:szCs w:val="21"/>
        </w:rPr>
      </w:pPr>
      <w:bookmarkStart w:id="33" w:name="_Toc513731115"/>
      <w:r>
        <w:rPr>
          <w:rFonts w:hint="eastAsia" w:ascii="宋体" w:hAnsi="宋体" w:eastAsia="黑体" w:cs="宋体"/>
          <w:kern w:val="44"/>
          <w:sz w:val="21"/>
          <w:szCs w:val="21"/>
          <w:lang w:bidi="ar"/>
        </w:rPr>
        <w:t xml:space="preserve">6 </w:t>
      </w:r>
      <w:r>
        <w:rPr>
          <w:rFonts w:hint="eastAsia" w:ascii="宋体" w:hAnsi="宋体" w:eastAsia="黑体" w:cs="黑体"/>
          <w:kern w:val="44"/>
          <w:sz w:val="21"/>
          <w:szCs w:val="21"/>
          <w:lang w:bidi="ar"/>
        </w:rPr>
        <w:t>标准实施措施说明</w:t>
      </w:r>
      <w:bookmarkEnd w:id="33"/>
    </w:p>
    <w:p>
      <w:pPr>
        <w:widowControl/>
        <w:tabs>
          <w:tab w:val="center" w:pos="4201"/>
          <w:tab w:val="right" w:leader="dot" w:pos="9298"/>
        </w:tabs>
        <w:autoSpaceDE w:val="0"/>
        <w:autoSpaceDN w:val="0"/>
        <w:ind w:left="-4" w:leftChars="-2" w:firstLine="420" w:firstLineChars="200"/>
        <w:rPr>
          <w:rFonts w:ascii="宋体" w:hAnsi="宋体"/>
          <w:color w:val="000000"/>
          <w:szCs w:val="21"/>
        </w:rPr>
      </w:pPr>
      <w:r>
        <w:rPr>
          <w:rFonts w:hint="eastAsia" w:ascii="Calibri" w:hAnsi="Calibri" w:cs="宋体"/>
        </w:rPr>
        <w:t>目前，</w:t>
      </w:r>
      <w:r>
        <w:rPr>
          <w:rFonts w:hint="eastAsia" w:cs="宋体"/>
        </w:rPr>
        <w:t>本标准仍在</w:t>
      </w:r>
      <w:r>
        <w:rPr>
          <w:rFonts w:hint="eastAsia" w:cs="宋体"/>
          <w:lang w:val="en-US" w:eastAsia="zh-CN"/>
        </w:rPr>
        <w:t>修订</w:t>
      </w:r>
      <w:r>
        <w:rPr>
          <w:rFonts w:hint="eastAsia" w:cs="宋体"/>
        </w:rPr>
        <w:t>阶段，还未实施。</w:t>
      </w:r>
    </w:p>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pStyle w:val="258"/>
        <w:ind w:firstLine="422"/>
        <w:jc w:val="center"/>
        <w:rPr>
          <w:rFonts w:ascii="黑体" w:hAnsi="黑体" w:eastAsia="黑体"/>
          <w:b/>
        </w:rPr>
      </w:pPr>
      <w:r>
        <w:rPr>
          <w:rFonts w:hint="eastAsia" w:ascii="黑体" w:hAnsi="黑体" w:eastAsia="黑体"/>
          <w:b/>
        </w:rPr>
        <w:t>━━━━━━━━━━━</w:t>
      </w:r>
    </w:p>
    <w:p>
      <w:pPr>
        <w:widowControl/>
        <w:rPr>
          <w:rFonts w:hAnsi="宋体"/>
          <w:color w:val="5B9BD5" w:themeColor="accent1"/>
          <w14:textFill>
            <w14:solidFill>
              <w14:schemeClr w14:val="accent1"/>
            </w14:solidFill>
          </w14:textFill>
        </w:rPr>
      </w:pPr>
    </w:p>
    <w:p>
      <w:pPr>
        <w:widowControl/>
        <w:rPr>
          <w:rFonts w:hAnsi="宋体"/>
          <w:color w:val="5B9BD5" w:themeColor="accent1"/>
          <w14:textFill>
            <w14:solidFill>
              <w14:schemeClr w14:val="accent1"/>
            </w14:solidFill>
          </w14:textFill>
        </w:rPr>
      </w:pPr>
    </w:p>
    <w:sectPr>
      <w:headerReference r:id="rId10" w:type="default"/>
      <w:footerReference r:id="rId11" w:type="default"/>
      <w:footerReference r:id="rId12" w:type="even"/>
      <w:pgSz w:w="11907" w:h="16839"/>
      <w:pgMar w:top="1417" w:right="1134" w:bottom="1134" w:left="1417"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7FFAEFF" w:usb1="F9DFFFFF" w:usb2="0000007F" w:usb3="00000000" w:csb0="203F01FF" w:csb1="DFFF0000"/>
  </w:font>
  <w:font w:name="EU-F1">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3">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7">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4"/>
  </w:num>
  <w:num w:numId="13">
    <w:abstractNumId w:val="23"/>
  </w:num>
  <w:num w:numId="14">
    <w:abstractNumId w:val="15"/>
  </w:num>
  <w:num w:numId="15">
    <w:abstractNumId w:val="27"/>
  </w:num>
  <w:num w:numId="16">
    <w:abstractNumId w:val="12"/>
  </w:num>
  <w:num w:numId="17">
    <w:abstractNumId w:val="19"/>
  </w:num>
  <w:num w:numId="18">
    <w:abstractNumId w:val="22"/>
  </w:num>
  <w:num w:numId="19">
    <w:abstractNumId w:val="11"/>
  </w:num>
  <w:num w:numId="20">
    <w:abstractNumId w:val="21"/>
  </w:num>
  <w:num w:numId="21">
    <w:abstractNumId w:val="25"/>
  </w:num>
  <w:num w:numId="22">
    <w:abstractNumId w:val="10"/>
  </w:num>
  <w:num w:numId="23">
    <w:abstractNumId w:val="18"/>
  </w:num>
  <w:num w:numId="24">
    <w:abstractNumId w:val="20"/>
  </w:num>
  <w:num w:numId="25">
    <w:abstractNumId w:val="26"/>
  </w:num>
  <w:num w:numId="26">
    <w:abstractNumId w:val="13"/>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ZmNkMjlmMzExNWRkNWExMTE0MTliMGZkOWE0Y2Q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90C"/>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6378"/>
    <w:rsid w:val="003F764E"/>
    <w:rsid w:val="00401E35"/>
    <w:rsid w:val="00405B77"/>
    <w:rsid w:val="00406CC1"/>
    <w:rsid w:val="0041207A"/>
    <w:rsid w:val="004149CE"/>
    <w:rsid w:val="00431DEE"/>
    <w:rsid w:val="00432B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2493"/>
    <w:rsid w:val="005D5966"/>
    <w:rsid w:val="005E7D99"/>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0534"/>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105A"/>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443DB"/>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13A36"/>
    <w:rsid w:val="00D20260"/>
    <w:rsid w:val="00D32102"/>
    <w:rsid w:val="00D46185"/>
    <w:rsid w:val="00D679FB"/>
    <w:rsid w:val="00D77681"/>
    <w:rsid w:val="00D91CF6"/>
    <w:rsid w:val="00DA2374"/>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3941C7"/>
    <w:rsid w:val="017A32D2"/>
    <w:rsid w:val="01F71E06"/>
    <w:rsid w:val="032E2064"/>
    <w:rsid w:val="03F9201C"/>
    <w:rsid w:val="040056AA"/>
    <w:rsid w:val="04574CB3"/>
    <w:rsid w:val="04B94DAC"/>
    <w:rsid w:val="04D65FB6"/>
    <w:rsid w:val="056D4408"/>
    <w:rsid w:val="069F0B7B"/>
    <w:rsid w:val="08A07216"/>
    <w:rsid w:val="08E27D9B"/>
    <w:rsid w:val="097C0199"/>
    <w:rsid w:val="097E64CE"/>
    <w:rsid w:val="09976FE5"/>
    <w:rsid w:val="09A96E75"/>
    <w:rsid w:val="0A1D463E"/>
    <w:rsid w:val="0ADA64F9"/>
    <w:rsid w:val="0AEF6281"/>
    <w:rsid w:val="0DA92E59"/>
    <w:rsid w:val="0EC7484A"/>
    <w:rsid w:val="0FCE512B"/>
    <w:rsid w:val="10353F36"/>
    <w:rsid w:val="104024BB"/>
    <w:rsid w:val="104717A5"/>
    <w:rsid w:val="108F5EE2"/>
    <w:rsid w:val="108F6B38"/>
    <w:rsid w:val="11026B52"/>
    <w:rsid w:val="11C638BB"/>
    <w:rsid w:val="11FE43E7"/>
    <w:rsid w:val="129660D5"/>
    <w:rsid w:val="13645F2E"/>
    <w:rsid w:val="136E2F25"/>
    <w:rsid w:val="137A3D47"/>
    <w:rsid w:val="14EB28FC"/>
    <w:rsid w:val="19310E15"/>
    <w:rsid w:val="198D3D53"/>
    <w:rsid w:val="1A4C7FC5"/>
    <w:rsid w:val="1ADD1B47"/>
    <w:rsid w:val="1B87110F"/>
    <w:rsid w:val="1BD55EFE"/>
    <w:rsid w:val="1C07602A"/>
    <w:rsid w:val="1C2A6456"/>
    <w:rsid w:val="1C3256D2"/>
    <w:rsid w:val="1C9827EB"/>
    <w:rsid w:val="1F107DBE"/>
    <w:rsid w:val="1F36683B"/>
    <w:rsid w:val="1FE246D2"/>
    <w:rsid w:val="20CA4E8A"/>
    <w:rsid w:val="21A164D4"/>
    <w:rsid w:val="220F6B1C"/>
    <w:rsid w:val="23186F85"/>
    <w:rsid w:val="235A26C0"/>
    <w:rsid w:val="23962661"/>
    <w:rsid w:val="24100849"/>
    <w:rsid w:val="24F350DC"/>
    <w:rsid w:val="263073FC"/>
    <w:rsid w:val="267506A8"/>
    <w:rsid w:val="27404151"/>
    <w:rsid w:val="276B40B8"/>
    <w:rsid w:val="278D1ED2"/>
    <w:rsid w:val="27BA54BC"/>
    <w:rsid w:val="284D66ED"/>
    <w:rsid w:val="28E56B98"/>
    <w:rsid w:val="28FB7844"/>
    <w:rsid w:val="2BB243CD"/>
    <w:rsid w:val="2BE90905"/>
    <w:rsid w:val="2D214A86"/>
    <w:rsid w:val="2DC72D31"/>
    <w:rsid w:val="2DD724C3"/>
    <w:rsid w:val="2ED71E28"/>
    <w:rsid w:val="3068450E"/>
    <w:rsid w:val="30A31FEE"/>
    <w:rsid w:val="30E135D7"/>
    <w:rsid w:val="3274109F"/>
    <w:rsid w:val="32BA3997"/>
    <w:rsid w:val="32FE5E1F"/>
    <w:rsid w:val="33884F53"/>
    <w:rsid w:val="33BE2874"/>
    <w:rsid w:val="34F160E8"/>
    <w:rsid w:val="352025D2"/>
    <w:rsid w:val="356B2D42"/>
    <w:rsid w:val="37C92C6E"/>
    <w:rsid w:val="38975527"/>
    <w:rsid w:val="39746324"/>
    <w:rsid w:val="3C48654B"/>
    <w:rsid w:val="3D181556"/>
    <w:rsid w:val="3D8835AF"/>
    <w:rsid w:val="3ED12789"/>
    <w:rsid w:val="3F815820"/>
    <w:rsid w:val="405572E4"/>
    <w:rsid w:val="40A76740"/>
    <w:rsid w:val="413C1D13"/>
    <w:rsid w:val="435F0033"/>
    <w:rsid w:val="43D05990"/>
    <w:rsid w:val="46C03FD8"/>
    <w:rsid w:val="46CC3936"/>
    <w:rsid w:val="471E2B11"/>
    <w:rsid w:val="4800133D"/>
    <w:rsid w:val="493130CC"/>
    <w:rsid w:val="4A1645F4"/>
    <w:rsid w:val="4AF23B67"/>
    <w:rsid w:val="4B591900"/>
    <w:rsid w:val="4B673131"/>
    <w:rsid w:val="4D615D46"/>
    <w:rsid w:val="4D654D87"/>
    <w:rsid w:val="4D9A5305"/>
    <w:rsid w:val="4E1E2F39"/>
    <w:rsid w:val="4E1F79F0"/>
    <w:rsid w:val="4E351CF5"/>
    <w:rsid w:val="4E861A80"/>
    <w:rsid w:val="4F711542"/>
    <w:rsid w:val="4F9318B4"/>
    <w:rsid w:val="4FBA4C7A"/>
    <w:rsid w:val="50614F22"/>
    <w:rsid w:val="506C7386"/>
    <w:rsid w:val="50AA5AE5"/>
    <w:rsid w:val="510D2AA8"/>
    <w:rsid w:val="541B53DE"/>
    <w:rsid w:val="545904A0"/>
    <w:rsid w:val="546A785B"/>
    <w:rsid w:val="54A33041"/>
    <w:rsid w:val="54C96CCF"/>
    <w:rsid w:val="553D677B"/>
    <w:rsid w:val="55C35479"/>
    <w:rsid w:val="55CA41E0"/>
    <w:rsid w:val="55D4276D"/>
    <w:rsid w:val="560F6794"/>
    <w:rsid w:val="58050607"/>
    <w:rsid w:val="59075CA5"/>
    <w:rsid w:val="599B5FFB"/>
    <w:rsid w:val="5A5E75E7"/>
    <w:rsid w:val="5AB32442"/>
    <w:rsid w:val="5B024AF3"/>
    <w:rsid w:val="5B0A7129"/>
    <w:rsid w:val="5B0B2882"/>
    <w:rsid w:val="5BD80FD1"/>
    <w:rsid w:val="5CC773F7"/>
    <w:rsid w:val="5CFE1162"/>
    <w:rsid w:val="5E1F158B"/>
    <w:rsid w:val="5E244D08"/>
    <w:rsid w:val="5E4201DD"/>
    <w:rsid w:val="5E727476"/>
    <w:rsid w:val="60D07AB5"/>
    <w:rsid w:val="613C1AE2"/>
    <w:rsid w:val="61A3583F"/>
    <w:rsid w:val="61B56E03"/>
    <w:rsid w:val="61D52193"/>
    <w:rsid w:val="61FD7FF8"/>
    <w:rsid w:val="620C5B7E"/>
    <w:rsid w:val="649B27BB"/>
    <w:rsid w:val="64BC0717"/>
    <w:rsid w:val="661D1808"/>
    <w:rsid w:val="66442670"/>
    <w:rsid w:val="66B35281"/>
    <w:rsid w:val="67635AF2"/>
    <w:rsid w:val="68017C8D"/>
    <w:rsid w:val="68607B83"/>
    <w:rsid w:val="68BC5661"/>
    <w:rsid w:val="695704E7"/>
    <w:rsid w:val="69C53AC8"/>
    <w:rsid w:val="69F13A95"/>
    <w:rsid w:val="6A116CAB"/>
    <w:rsid w:val="6B3B697A"/>
    <w:rsid w:val="6B447F3C"/>
    <w:rsid w:val="6C324B9D"/>
    <w:rsid w:val="6CA53244"/>
    <w:rsid w:val="6CE43092"/>
    <w:rsid w:val="6D066900"/>
    <w:rsid w:val="6D3D250C"/>
    <w:rsid w:val="6D5A61BC"/>
    <w:rsid w:val="6DA827C9"/>
    <w:rsid w:val="6DDB5FC9"/>
    <w:rsid w:val="6F0E788F"/>
    <w:rsid w:val="6F287D75"/>
    <w:rsid w:val="6F564D30"/>
    <w:rsid w:val="6F7543C4"/>
    <w:rsid w:val="712F13B9"/>
    <w:rsid w:val="716F117F"/>
    <w:rsid w:val="72AC12DD"/>
    <w:rsid w:val="734E6351"/>
    <w:rsid w:val="737003AD"/>
    <w:rsid w:val="754E4CE2"/>
    <w:rsid w:val="75791602"/>
    <w:rsid w:val="75911239"/>
    <w:rsid w:val="75D25EEA"/>
    <w:rsid w:val="761C7D8B"/>
    <w:rsid w:val="77400C59"/>
    <w:rsid w:val="780F0D30"/>
    <w:rsid w:val="78150E18"/>
    <w:rsid w:val="78861E4A"/>
    <w:rsid w:val="78891344"/>
    <w:rsid w:val="799A7D8B"/>
    <w:rsid w:val="79E01936"/>
    <w:rsid w:val="7AC04563"/>
    <w:rsid w:val="7B1847A6"/>
    <w:rsid w:val="7B595D0B"/>
    <w:rsid w:val="7B826770"/>
    <w:rsid w:val="7C9B38BC"/>
    <w:rsid w:val="7D670325"/>
    <w:rsid w:val="7DA66107"/>
    <w:rsid w:val="7DBA4CD5"/>
    <w:rsid w:val="7DC75005"/>
    <w:rsid w:val="7DCC736C"/>
    <w:rsid w:val="7DF83FC7"/>
    <w:rsid w:val="7E675038"/>
    <w:rsid w:val="7F1F226B"/>
    <w:rsid w:val="7FFC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258"/>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d2"/>
    <w:basedOn w:val="519"/>
    <w:qFormat/>
    <w:uiPriority w:val="0"/>
  </w:style>
  <w:style w:type="paragraph" w:customStyle="1" w:styleId="519">
    <w:name w:val="样式1"/>
    <w:basedOn w:val="1"/>
    <w:qFormat/>
    <w:uiPriority w:val="0"/>
    <w:pPr>
      <w:topLinePunct/>
      <w:spacing w:line="480" w:lineRule="auto"/>
    </w:pPr>
    <w:rPr>
      <w:rFonts w:ascii="EU-F1" w:eastAsia="黑体"/>
    </w:rPr>
  </w:style>
  <w:style w:type="paragraph" w:customStyle="1" w:styleId="520">
    <w:name w:val="d88"/>
    <w:basedOn w:val="518"/>
    <w:qFormat/>
    <w:uiPriority w:val="0"/>
    <w:rPr>
      <w:szCs w:val="21"/>
    </w:rPr>
  </w:style>
  <w:style w:type="paragraph" w:customStyle="1" w:styleId="521">
    <w:name w:val="msolistparagraph"/>
    <w:basedOn w:val="1"/>
    <w:qFormat/>
    <w:uiPriority w:val="0"/>
    <w:pPr>
      <w:ind w:firstLine="420" w:firstLineChars="200"/>
    </w:pPr>
    <w:rPr>
      <w:rFonts w:ascii="Calibri" w:hAnsi="Calibri"/>
      <w:szCs w:val="22"/>
    </w:rPr>
  </w:style>
  <w:style w:type="paragraph" w:customStyle="1" w:styleId="5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077C9D"/>
    <w:rsid w:val="004F1E24"/>
    <w:rsid w:val="00657E46"/>
    <w:rsid w:val="009405B8"/>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18</Pages>
  <Words>1598</Words>
  <Characters>9112</Characters>
  <Lines>75</Lines>
  <Paragraphs>21</Paragraphs>
  <TotalTime>0</TotalTime>
  <ScaleCrop>false</ScaleCrop>
  <LinksUpToDate>false</LinksUpToDate>
  <CharactersWithSpaces>10689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郝致远</cp:lastModifiedBy>
  <cp:lastPrinted>2021-02-08T04:27:00Z</cp:lastPrinted>
  <dcterms:modified xsi:type="dcterms:W3CDTF">2025-02-24T07:32:21Z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2052-11.8.2.11978</vt:lpwstr>
  </property>
  <property fmtid="{D5CDD505-2E9C-101B-9397-08002B2CF9AE}" pid="22" name="ICV">
    <vt:lpwstr>5350AEC1254D4F55A619FA677F037880</vt:lpwstr>
  </property>
</Properties>
</file>