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32"/>
          <w:szCs w:val="44"/>
        </w:rPr>
      </w:pPr>
      <w:bookmarkStart w:id="0" w:name="_GoBack"/>
      <w:r>
        <w:rPr>
          <w:rFonts w:ascii="Times New Roman" w:hAnsi="Times New Roman"/>
          <w:sz w:val="32"/>
          <w:szCs w:val="44"/>
        </w:rPr>
        <w:t>《12kV～40.5kV 空气绝缘开关柜现场电晕放电试验导则》</w:t>
      </w:r>
      <w:bookmarkEnd w:id="0"/>
    </w:p>
    <w:p>
      <w:pPr>
        <w:jc w:val="center"/>
        <w:rPr>
          <w:rFonts w:ascii="Times New Roman" w:hAnsi="Times New Roman"/>
          <w:sz w:val="32"/>
          <w:szCs w:val="44"/>
          <w:highlight w:val="yellow"/>
        </w:rPr>
      </w:pPr>
      <w:r>
        <w:rPr>
          <w:rFonts w:ascii="Times New Roman" w:hAnsi="Times New Roman"/>
          <w:sz w:val="32"/>
          <w:szCs w:val="44"/>
        </w:rPr>
        <w:t>T/CSEE 0107</w:t>
      </w:r>
      <w:r>
        <w:rPr>
          <w:rFonts w:ascii="Times New Roman" w:hAnsi="Times New Roman"/>
          <w:sz w:val="32"/>
          <w:szCs w:val="32"/>
        </w:rPr>
        <w:t>—</w:t>
      </w:r>
      <w:r>
        <w:rPr>
          <w:rFonts w:ascii="Times New Roman" w:hAnsi="Times New Roman"/>
          <w:sz w:val="32"/>
          <w:szCs w:val="44"/>
        </w:rPr>
        <w:t>2019</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标准规定了12kV～40.5kV空气绝缘开关柜现场电晕放电的试验方法及流程、试验电压及最大允许电晕放电量要求，规定了电晕定位的方法，提供了典型放电信号图谱，能够指导开展现场开关柜电晕试验。目前已开展三百余座变电站，约5000面开关柜电晕放电试验。经检测统计，12kV开关柜不合格率约10%，40.5kV开关柜不合格率约一半以上。截至目前发现开关柜母排螺栓虚接、绝缘件裂纹、组部件缺陷、屏蔽线断线、柜内脏污等绝缘问题共60余起，保障了新投运设备质量，大量减少开关柜带缺陷投运后长时间电晕放电引起的绝缘老化或放电故障。</w:t>
      </w:r>
    </w:p>
    <w:tbl>
      <w:tblPr>
        <w:tblStyle w:val="2"/>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noWrap w:val="0"/>
            <w:vAlign w:val="center"/>
          </w:tcPr>
          <w:p>
            <w:pPr>
              <w:jc w:val="center"/>
              <w:rPr>
                <w:rFonts w:ascii="仿宋" w:hAnsi="仿宋" w:eastAsia="仿宋" w:cs="仿宋"/>
                <w:color w:val="000000"/>
                <w:kern w:val="0"/>
                <w:sz w:val="32"/>
                <w:szCs w:val="32"/>
              </w:rPr>
            </w:pPr>
            <w:r>
              <w:rPr>
                <w:rFonts w:ascii="Times New Roman" w:hAnsi="Times New Roman" w:eastAsia="仿宋_GB2312"/>
                <w:color w:val="000000"/>
                <w:sz w:val="28"/>
                <w:szCs w:val="28"/>
              </w:rPr>
              <w:drawing>
                <wp:inline distT="0" distB="0" distL="114300" distR="114300">
                  <wp:extent cx="3255010" cy="2475230"/>
                  <wp:effectExtent l="0" t="0" r="21590" b="139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3255010" cy="2475230"/>
                          </a:xfrm>
                          <a:prstGeom prst="rect">
                            <a:avLst/>
                          </a:prstGeom>
                          <a:noFill/>
                          <a:ln>
                            <a:noFill/>
                          </a:ln>
                        </pic:spPr>
                      </pic:pic>
                    </a:graphicData>
                  </a:graphic>
                </wp:inline>
              </w:drawing>
            </w:r>
          </w:p>
        </w:tc>
        <w:tc>
          <w:tcPr>
            <w:tcW w:w="4052" w:type="dxa"/>
            <w:noWrap w:val="0"/>
            <w:vAlign w:val="top"/>
          </w:tcPr>
          <w:p>
            <w:pPr>
              <w:snapToGrid w:val="0"/>
              <w:jc w:val="center"/>
              <w:rPr>
                <w:rFonts w:ascii="仿宋" w:hAnsi="仿宋" w:eastAsia="仿宋" w:cs="仿宋"/>
                <w:color w:val="000000"/>
                <w:kern w:val="0"/>
                <w:sz w:val="32"/>
                <w:szCs w:val="32"/>
              </w:rPr>
            </w:pPr>
            <w:r>
              <w:rPr>
                <w:rFonts w:ascii="黑体" w:eastAsia="黑体" w:cs="黑体"/>
                <w:kern w:val="0"/>
                <w:szCs w:val="21"/>
              </w:rPr>
              <w:drawing>
                <wp:inline distT="0" distB="0" distL="114300" distR="114300">
                  <wp:extent cx="1615440" cy="1438910"/>
                  <wp:effectExtent l="0" t="0" r="1016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0"/>
                        </pic:nvPicPr>
                        <pic:blipFill>
                          <a:blip r:embed="rId5"/>
                          <a:srcRect t="5093" r="-117" b="27904"/>
                          <a:stretch>
                            <a:fillRect/>
                          </a:stretch>
                        </pic:blipFill>
                        <pic:spPr>
                          <a:xfrm>
                            <a:off x="0" y="0"/>
                            <a:ext cx="1615440" cy="1438910"/>
                          </a:xfrm>
                          <a:prstGeom prst="rect">
                            <a:avLst/>
                          </a:prstGeom>
                          <a:noFill/>
                          <a:ln>
                            <a:noFill/>
                          </a:ln>
                        </pic:spPr>
                      </pic:pic>
                    </a:graphicData>
                  </a:graphic>
                </wp:inline>
              </w:drawing>
            </w:r>
            <w:r>
              <w:rPr>
                <w:rFonts w:ascii="Times New Roman" w:hAnsi="Times New Roman" w:eastAsia="仿宋_GB2312"/>
                <w:color w:val="000000"/>
                <w:sz w:val="28"/>
                <w:szCs w:val="28"/>
              </w:rPr>
              <w:drawing>
                <wp:inline distT="0" distB="0" distL="114300" distR="114300">
                  <wp:extent cx="1620520" cy="1215390"/>
                  <wp:effectExtent l="0" t="0" r="5080" b="3810"/>
                  <wp:docPr id="3" name="图片 3" descr="D:\2024年开关工作\7月电晕标准百项标准申报\入选后资料\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024年开关工作\7月电晕标准百项标准申报\入选后资料\123.png"/>
                          <pic:cNvPicPr>
                            <a:picLocks noChangeAspect="1"/>
                          </pic:cNvPicPr>
                        </pic:nvPicPr>
                        <pic:blipFill>
                          <a:blip r:embed="rId6"/>
                          <a:stretch>
                            <a:fillRect/>
                          </a:stretch>
                        </pic:blipFill>
                        <pic:spPr>
                          <a:xfrm>
                            <a:off x="0" y="0"/>
                            <a:ext cx="1620520" cy="12153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noWrap w:val="0"/>
            <w:vAlign w:val="top"/>
          </w:tcPr>
          <w:p>
            <w:pPr>
              <w:jc w:val="center"/>
              <w:rPr>
                <w:rFonts w:ascii="宋体" w:hAnsi="宋体" w:cs="仿宋"/>
                <w:color w:val="000000"/>
                <w:kern w:val="0"/>
                <w:sz w:val="20"/>
                <w:szCs w:val="21"/>
              </w:rPr>
            </w:pPr>
            <w:r>
              <w:rPr>
                <w:rFonts w:hint="eastAsia" w:ascii="宋体" w:hAnsi="宋体" w:cs="仿宋"/>
                <w:color w:val="000000"/>
                <w:kern w:val="0"/>
                <w:sz w:val="20"/>
                <w:szCs w:val="21"/>
              </w:rPr>
              <w:t>现场电晕试验接线示意图</w:t>
            </w:r>
          </w:p>
        </w:tc>
        <w:tc>
          <w:tcPr>
            <w:tcW w:w="4052" w:type="dxa"/>
            <w:noWrap w:val="0"/>
            <w:vAlign w:val="top"/>
          </w:tcPr>
          <w:p>
            <w:pPr>
              <w:jc w:val="center"/>
              <w:rPr>
                <w:rFonts w:ascii="宋体" w:hAnsi="宋体" w:cs="仿宋"/>
                <w:color w:val="000000"/>
                <w:kern w:val="0"/>
                <w:sz w:val="20"/>
                <w:szCs w:val="21"/>
              </w:rPr>
            </w:pPr>
            <w:r>
              <w:rPr>
                <w:rFonts w:hint="eastAsia" w:ascii="宋体" w:hAnsi="宋体" w:cs="仿宋"/>
                <w:color w:val="000000"/>
                <w:kern w:val="0"/>
                <w:sz w:val="20"/>
                <w:szCs w:val="21"/>
              </w:rPr>
              <w:t>变电站现场电晕试验发现典型问题</w:t>
            </w:r>
          </w:p>
        </w:tc>
      </w:tr>
    </w:tbl>
    <w:p>
      <w:pPr>
        <w:rPr>
          <w:rFonts w:ascii="仿宋" w:hAnsi="仿宋" w:eastAsia="仿宋"/>
          <w:sz w:val="28"/>
          <w:szCs w:val="28"/>
        </w:rPr>
      </w:pPr>
    </w:p>
    <w:p>
      <w:pPr>
        <w:jc w:val="center"/>
        <w:rPr>
          <w:rFonts w:ascii="Times New Roman" w:hAnsi="Times New Roman"/>
          <w:sz w:val="32"/>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E1A2"/>
    <w:rsid w:val="7FFFE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2025-02-19T11:31:00Z</dcterms:created>
  <dc:creator>xy</dc:creator>
  <cp:lastModifiedBy>xy</cp:lastModifiedBy>
  <dcterms:modified xsi:type="dcterms:W3CDTF">2025-02-19T11:33:41Z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59D3D403F4448031A050B567F88150DA_41</vt:lpwstr>
  </property>
</Properties>
</file>