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590F1">
      <w:pPr>
        <w:pStyle w:val="10"/>
        <w:ind w:firstLine="0" w:firstLineChars="0"/>
      </w:pPr>
    </w:p>
    <w:p w14:paraId="37057910">
      <w:pPr>
        <w:pStyle w:val="10"/>
        <w:ind w:firstLine="0" w:firstLineChars="0"/>
      </w:pPr>
    </w:p>
    <w:p w14:paraId="7D6A491F">
      <w:pPr>
        <w:pStyle w:val="10"/>
        <w:ind w:firstLine="0" w:firstLineChars="0"/>
      </w:pPr>
    </w:p>
    <w:p w14:paraId="4A8A52FD">
      <w:pPr>
        <w:pStyle w:val="10"/>
        <w:ind w:firstLine="0" w:firstLineChars="0"/>
      </w:pPr>
    </w:p>
    <w:p w14:paraId="33510E42">
      <w:pPr>
        <w:pStyle w:val="10"/>
        <w:ind w:firstLine="0" w:firstLineChars="0"/>
      </w:pPr>
    </w:p>
    <w:p w14:paraId="41EE79B5">
      <w:pPr>
        <w:pStyle w:val="10"/>
        <w:ind w:firstLine="0" w:firstLineChars="0"/>
      </w:pPr>
    </w:p>
    <w:p w14:paraId="2F2F8CC1">
      <w:pPr>
        <w:pStyle w:val="10"/>
        <w:ind w:firstLine="0" w:firstLineChars="0"/>
      </w:pPr>
    </w:p>
    <w:p w14:paraId="59AE0003">
      <w:pPr>
        <w:pStyle w:val="10"/>
        <w:ind w:firstLine="0" w:firstLineChars="0"/>
      </w:pPr>
    </w:p>
    <w:p w14:paraId="499829E2">
      <w:pPr>
        <w:pStyle w:val="10"/>
        <w:ind w:firstLine="0" w:firstLineChars="0"/>
      </w:pPr>
    </w:p>
    <w:p w14:paraId="3E99437F">
      <w:pPr>
        <w:pStyle w:val="10"/>
        <w:ind w:firstLine="0" w:firstLineChars="0"/>
      </w:pPr>
    </w:p>
    <w:p w14:paraId="3116C747">
      <w:pPr>
        <w:pStyle w:val="10"/>
        <w:ind w:firstLine="0" w:firstLineChars="0"/>
        <w:jc w:val="center"/>
        <w:rPr>
          <w:rFonts w:hint="eastAsia" w:ascii="黑体" w:eastAsia="黑体"/>
          <w:sz w:val="44"/>
          <w:szCs w:val="44"/>
        </w:rPr>
      </w:pPr>
      <w:r>
        <w:rPr>
          <w:rFonts w:hint="eastAsia" w:ascii="黑体" w:eastAsia="黑体"/>
          <w:sz w:val="44"/>
          <w:szCs w:val="44"/>
        </w:rPr>
        <w:t>海上升压站钢结构在役期检测技术规范</w:t>
      </w:r>
    </w:p>
    <w:p w14:paraId="384813A9">
      <w:pPr>
        <w:pStyle w:val="10"/>
        <w:ind w:firstLine="0" w:firstLineChars="0"/>
        <w:jc w:val="center"/>
        <w:rPr>
          <w:rFonts w:hint="eastAsia" w:ascii="黑体" w:eastAsia="黑体"/>
          <w:sz w:val="44"/>
          <w:szCs w:val="44"/>
        </w:rPr>
      </w:pPr>
    </w:p>
    <w:p w14:paraId="5F995CD3">
      <w:pPr>
        <w:pStyle w:val="10"/>
      </w:pPr>
    </w:p>
    <w:p w14:paraId="6973F562">
      <w:pPr>
        <w:pStyle w:val="10"/>
      </w:pPr>
    </w:p>
    <w:p w14:paraId="07446401">
      <w:pPr>
        <w:pStyle w:val="11"/>
        <w:numPr>
          <w:ilvl w:val="0"/>
          <w:numId w:val="0"/>
        </w:numPr>
        <w:jc w:val="center"/>
        <w:rPr>
          <w:sz w:val="28"/>
          <w:szCs w:val="28"/>
        </w:rPr>
      </w:pPr>
      <w:bookmarkStart w:id="0" w:name="_Toc298937368"/>
      <w:bookmarkStart w:id="1" w:name="_Toc298937333"/>
      <w:bookmarkStart w:id="2" w:name="_Toc309996019"/>
      <w:bookmarkStart w:id="3" w:name="_Toc304824981"/>
      <w:bookmarkStart w:id="4" w:name="_Toc304825020"/>
      <w:bookmarkStart w:id="5" w:name="_Toc298938794"/>
      <w:bookmarkStart w:id="6" w:name="_Toc309994571"/>
      <w:bookmarkStart w:id="7" w:name="_Toc309995410"/>
      <w:bookmarkStart w:id="8" w:name="_Toc298937430"/>
      <w:bookmarkStart w:id="9" w:name="_Toc309997060"/>
      <w:bookmarkStart w:id="10" w:name="_Toc298938646"/>
      <w:bookmarkStart w:id="11" w:name="_Toc304828086"/>
      <w:bookmarkStart w:id="12" w:name="_Toc309995598"/>
      <w:bookmarkStart w:id="13" w:name="_Toc298937473"/>
      <w:bookmarkStart w:id="14" w:name="_Toc320020914"/>
      <w:bookmarkStart w:id="15" w:name="_Toc310002657"/>
      <w:bookmarkStart w:id="16" w:name="_Toc309993200"/>
      <w:bookmarkStart w:id="17" w:name="_Toc298937560"/>
      <w:bookmarkStart w:id="18" w:name="_Toc298937620"/>
      <w:bookmarkStart w:id="19" w:name="_Toc309995492"/>
      <w:bookmarkStart w:id="20" w:name="_Toc304402675"/>
      <w:bookmarkStart w:id="21" w:name="_Toc318613715"/>
      <w:bookmarkStart w:id="22" w:name="_Toc304825093"/>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DBCD53D">
      <w:pPr>
        <w:pStyle w:val="10"/>
        <w:ind w:firstLine="560"/>
        <w:jc w:val="center"/>
        <w:rPr>
          <w:rFonts w:ascii="黑体" w:eastAsia="黑体"/>
          <w:sz w:val="28"/>
          <w:szCs w:val="28"/>
        </w:rPr>
      </w:pPr>
    </w:p>
    <w:p w14:paraId="2B99C9F4">
      <w:pPr>
        <w:pStyle w:val="10"/>
        <w:ind w:firstLine="560"/>
        <w:jc w:val="center"/>
        <w:rPr>
          <w:rFonts w:ascii="黑体" w:eastAsia="黑体"/>
          <w:sz w:val="28"/>
          <w:szCs w:val="28"/>
        </w:rPr>
      </w:pPr>
    </w:p>
    <w:p w14:paraId="33ABBCCA">
      <w:pPr>
        <w:pStyle w:val="10"/>
        <w:sectPr>
          <w:headerReference r:id="rId3" w:type="default"/>
          <w:headerReference r:id="rId4" w:type="even"/>
          <w:pgSz w:w="11906" w:h="16838"/>
          <w:pgMar w:top="567" w:right="1134" w:bottom="1134" w:left="1417" w:header="1418" w:footer="1134" w:gutter="0"/>
          <w:cols w:space="720" w:num="1"/>
          <w:formProt w:val="0"/>
          <w:docGrid w:type="lines" w:linePitch="312" w:charSpace="0"/>
        </w:sectPr>
      </w:pPr>
    </w:p>
    <w:p w14:paraId="70F47B94">
      <w:pPr>
        <w:pStyle w:val="12"/>
      </w:pPr>
      <w:bookmarkStart w:id="23" w:name="_Toc513731021"/>
      <w:bookmarkStart w:id="24" w:name="_Toc513731109"/>
      <w:bookmarkStart w:id="25" w:name="_Toc309992160"/>
      <w:r>
        <w:rPr>
          <w:rFonts w:hint="eastAsia"/>
        </w:rPr>
        <w:t>目次</w:t>
      </w:r>
      <w:bookmarkEnd w:id="23"/>
      <w:bookmarkEnd w:id="24"/>
      <w:bookmarkEnd w:id="25"/>
    </w:p>
    <w:p w14:paraId="4AA9BEF7">
      <w:pPr>
        <w:pStyle w:val="4"/>
        <w:spacing w:before="78" w:after="78"/>
        <w:rPr>
          <w:rFonts w:ascii="Calibri" w:hAnsi="Calibri"/>
          <w:szCs w:val="22"/>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p>
    <w:p w14:paraId="0EB420D2">
      <w:pPr>
        <w:pStyle w:val="4"/>
        <w:spacing w:before="78" w:after="78"/>
        <w:rPr>
          <w:rFonts w:ascii="Calibri" w:hAnsi="Calibri"/>
          <w:szCs w:val="22"/>
        </w:rPr>
      </w:pPr>
      <w:r>
        <w:fldChar w:fldCharType="begin"/>
      </w:r>
      <w:r>
        <w:instrText xml:space="preserve"> HYPERLINK \l "_Toc513731110" </w:instrText>
      </w:r>
      <w:r>
        <w:fldChar w:fldCharType="separate"/>
      </w:r>
      <w:r>
        <w:rPr>
          <w:rStyle w:val="9"/>
          <w:rFonts w:hAnsi="宋体"/>
        </w:rPr>
        <w:t xml:space="preserve">1 </w:t>
      </w:r>
      <w:r>
        <w:rPr>
          <w:rStyle w:val="9"/>
          <w:rFonts w:hint="eastAsia" w:hAnsi="宋体"/>
        </w:rPr>
        <w:t>编制背景</w:t>
      </w:r>
      <w:r>
        <w:tab/>
      </w:r>
      <w:r>
        <w:fldChar w:fldCharType="begin"/>
      </w:r>
      <w:r>
        <w:instrText xml:space="preserve"> PAGEREF _Toc513731110 \h </w:instrText>
      </w:r>
      <w:r>
        <w:fldChar w:fldCharType="separate"/>
      </w:r>
      <w:r>
        <w:t>1</w:t>
      </w:r>
      <w:r>
        <w:fldChar w:fldCharType="end"/>
      </w:r>
      <w:r>
        <w:fldChar w:fldCharType="end"/>
      </w:r>
    </w:p>
    <w:p w14:paraId="16FF4238">
      <w:pPr>
        <w:pStyle w:val="4"/>
        <w:spacing w:before="78" w:after="78"/>
        <w:rPr>
          <w:rFonts w:ascii="Calibri" w:hAnsi="Calibri"/>
          <w:szCs w:val="22"/>
        </w:rPr>
      </w:pPr>
      <w:r>
        <w:fldChar w:fldCharType="begin"/>
      </w:r>
      <w:r>
        <w:instrText xml:space="preserve"> HYPERLINK \l "_Toc513731111" </w:instrText>
      </w:r>
      <w:r>
        <w:fldChar w:fldCharType="separate"/>
      </w:r>
      <w:r>
        <w:rPr>
          <w:rStyle w:val="9"/>
          <w:rFonts w:hAnsi="宋体"/>
        </w:rPr>
        <w:t xml:space="preserve">2 </w:t>
      </w:r>
      <w:r>
        <w:rPr>
          <w:rStyle w:val="9"/>
          <w:rFonts w:hint="eastAsia" w:hAnsi="宋体"/>
        </w:rPr>
        <w:t>编制主要原则</w:t>
      </w:r>
      <w:r>
        <w:tab/>
      </w:r>
      <w:r>
        <w:fldChar w:fldCharType="begin"/>
      </w:r>
      <w:r>
        <w:instrText xml:space="preserve"> PAGEREF _Toc513731111 \h </w:instrText>
      </w:r>
      <w:r>
        <w:fldChar w:fldCharType="separate"/>
      </w:r>
      <w:r>
        <w:t>1</w:t>
      </w:r>
      <w:r>
        <w:fldChar w:fldCharType="end"/>
      </w:r>
      <w:r>
        <w:fldChar w:fldCharType="end"/>
      </w:r>
    </w:p>
    <w:p w14:paraId="3362DF50">
      <w:pPr>
        <w:pStyle w:val="4"/>
        <w:spacing w:before="78" w:after="78"/>
        <w:rPr>
          <w:rFonts w:ascii="Calibri" w:hAnsi="Calibri"/>
          <w:szCs w:val="22"/>
        </w:rPr>
      </w:pPr>
      <w:r>
        <w:fldChar w:fldCharType="begin"/>
      </w:r>
      <w:r>
        <w:instrText xml:space="preserve"> HYPERLINK \l "_Toc513731112" </w:instrText>
      </w:r>
      <w:r>
        <w:fldChar w:fldCharType="separate"/>
      </w:r>
      <w:r>
        <w:rPr>
          <w:rStyle w:val="9"/>
          <w:rFonts w:hAnsi="宋体"/>
        </w:rPr>
        <w:t xml:space="preserve">3 </w:t>
      </w:r>
      <w:r>
        <w:rPr>
          <w:rStyle w:val="9"/>
          <w:rFonts w:hint="eastAsia" w:hAnsi="宋体"/>
        </w:rPr>
        <w:t>主要工作过程</w:t>
      </w:r>
      <w:r>
        <w:tab/>
      </w:r>
      <w:r>
        <w:fldChar w:fldCharType="begin"/>
      </w:r>
      <w:r>
        <w:instrText xml:space="preserve"> PAGEREF _Toc513731112 \h </w:instrText>
      </w:r>
      <w:r>
        <w:fldChar w:fldCharType="separate"/>
      </w:r>
      <w:r>
        <w:t>1</w:t>
      </w:r>
      <w:r>
        <w:fldChar w:fldCharType="end"/>
      </w:r>
      <w:r>
        <w:fldChar w:fldCharType="end"/>
      </w:r>
    </w:p>
    <w:p w14:paraId="09CF3031">
      <w:pPr>
        <w:pStyle w:val="4"/>
        <w:spacing w:before="78" w:after="78"/>
        <w:rPr>
          <w:rFonts w:ascii="Calibri" w:hAnsi="Calibri"/>
          <w:szCs w:val="22"/>
        </w:rPr>
      </w:pPr>
      <w:r>
        <w:fldChar w:fldCharType="begin"/>
      </w:r>
      <w:r>
        <w:instrText xml:space="preserve"> HYPERLINK \l "_Toc513731113" </w:instrText>
      </w:r>
      <w:r>
        <w:fldChar w:fldCharType="separate"/>
      </w:r>
      <w:r>
        <w:rPr>
          <w:rStyle w:val="9"/>
          <w:rFonts w:hAnsi="宋体"/>
        </w:rPr>
        <w:t>4</w:t>
      </w:r>
      <w:r>
        <w:rPr>
          <w:rStyle w:val="9"/>
        </w:rPr>
        <w:t xml:space="preserve"> </w:t>
      </w:r>
      <w:r>
        <w:rPr>
          <w:rStyle w:val="9"/>
          <w:rFonts w:hint="eastAsia"/>
        </w:rPr>
        <w:t>标准结构和内容说明</w:t>
      </w:r>
      <w:r>
        <w:tab/>
      </w:r>
      <w:r>
        <w:fldChar w:fldCharType="begin"/>
      </w:r>
      <w:r>
        <w:instrText xml:space="preserve"> PAGEREF _Toc513731113 \h </w:instrText>
      </w:r>
      <w:r>
        <w:fldChar w:fldCharType="separate"/>
      </w:r>
      <w:r>
        <w:t>2</w:t>
      </w:r>
      <w:r>
        <w:fldChar w:fldCharType="end"/>
      </w:r>
      <w:r>
        <w:fldChar w:fldCharType="end"/>
      </w:r>
    </w:p>
    <w:p w14:paraId="1717E157">
      <w:pPr>
        <w:pStyle w:val="4"/>
        <w:spacing w:before="78" w:after="78"/>
        <w:rPr>
          <w:rFonts w:ascii="Calibri" w:hAnsi="Calibri"/>
          <w:szCs w:val="22"/>
        </w:rPr>
      </w:pPr>
      <w:r>
        <w:fldChar w:fldCharType="begin"/>
      </w:r>
      <w:r>
        <w:instrText xml:space="preserve"> HYPERLINK \l "_Toc513731114" </w:instrText>
      </w:r>
      <w:r>
        <w:fldChar w:fldCharType="separate"/>
      </w:r>
      <w:r>
        <w:rPr>
          <w:rStyle w:val="9"/>
          <w:rFonts w:hAnsi="宋体"/>
        </w:rPr>
        <w:t>5</w:t>
      </w:r>
      <w:r>
        <w:rPr>
          <w:rStyle w:val="9"/>
          <w:rFonts w:hint="eastAsia"/>
        </w:rPr>
        <w:t>相关标准对比说明</w:t>
      </w:r>
      <w:r>
        <w:rPr>
          <w:rStyle w:val="9"/>
        </w:rPr>
        <w:tab/>
      </w:r>
      <w:r>
        <w:fldChar w:fldCharType="begin"/>
      </w:r>
      <w:r>
        <w:rPr>
          <w:rStyle w:val="9"/>
        </w:rPr>
        <w:instrText xml:space="preserve"> PAGEREF _Toc513731114 \h </w:instrText>
      </w:r>
      <w:r>
        <w:fldChar w:fldCharType="separate"/>
      </w:r>
      <w:r>
        <w:rPr>
          <w:rStyle w:val="9"/>
        </w:rPr>
        <w:t>2</w:t>
      </w:r>
      <w:r>
        <w:fldChar w:fldCharType="end"/>
      </w:r>
      <w:r>
        <w:fldChar w:fldCharType="end"/>
      </w:r>
    </w:p>
    <w:p w14:paraId="449B179B">
      <w:pPr>
        <w:pStyle w:val="4"/>
        <w:spacing w:before="78" w:after="78"/>
        <w:rPr>
          <w:rFonts w:ascii="Calibri" w:hAnsi="Calibri"/>
          <w:szCs w:val="22"/>
        </w:rPr>
      </w:pPr>
      <w:r>
        <w:fldChar w:fldCharType="begin"/>
      </w:r>
      <w:r>
        <w:instrText xml:space="preserve"> HYPERLINK \l "_Toc513731115" </w:instrText>
      </w:r>
      <w:r>
        <w:fldChar w:fldCharType="separate"/>
      </w:r>
      <w:r>
        <w:rPr>
          <w:rStyle w:val="9"/>
          <w:rFonts w:hAnsi="宋体"/>
        </w:rPr>
        <w:t>6</w:t>
      </w:r>
      <w:r>
        <w:rPr>
          <w:rStyle w:val="9"/>
          <w:rFonts w:hint="eastAsia" w:hAnsi="宋体"/>
        </w:rPr>
        <w:t>标准实施措施说明</w:t>
      </w:r>
      <w:r>
        <w:tab/>
      </w:r>
      <w:r>
        <w:fldChar w:fldCharType="begin"/>
      </w:r>
      <w:r>
        <w:instrText xml:space="preserve"> PAGEREF _Toc513731115 \h </w:instrText>
      </w:r>
      <w:r>
        <w:fldChar w:fldCharType="separate"/>
      </w:r>
      <w:r>
        <w:t>2</w:t>
      </w:r>
      <w:r>
        <w:fldChar w:fldCharType="end"/>
      </w:r>
      <w:r>
        <w:fldChar w:fldCharType="end"/>
      </w:r>
    </w:p>
    <w:p w14:paraId="0A94FD75">
      <w:pPr>
        <w:pStyle w:val="10"/>
        <w:rPr>
          <w:rFonts w:hAnsi="宋体"/>
          <w:szCs w:val="21"/>
        </w:rPr>
      </w:pPr>
      <w:r>
        <w:rPr>
          <w:rFonts w:hAnsi="宋体"/>
          <w:szCs w:val="21"/>
        </w:rPr>
        <w:fldChar w:fldCharType="end"/>
      </w:r>
    </w:p>
    <w:p w14:paraId="00B04481">
      <w:pPr>
        <w:pStyle w:val="10"/>
        <w:tabs>
          <w:tab w:val="left" w:pos="6722"/>
          <w:tab w:val="clear" w:pos="4201"/>
        </w:tabs>
        <w:rPr>
          <w:rFonts w:hint="eastAsia" w:hAnsi="宋体" w:eastAsia="宋体"/>
          <w:szCs w:val="21"/>
          <w:lang w:eastAsia="zh-CN"/>
        </w:rPr>
      </w:pPr>
      <w:r>
        <w:rPr>
          <w:rFonts w:hint="eastAsia" w:hAnsi="宋体"/>
          <w:szCs w:val="21"/>
          <w:lang w:eastAsia="zh-CN"/>
        </w:rPr>
        <w:tab/>
      </w:r>
      <w:bookmarkStart w:id="32" w:name="_GoBack"/>
      <w:bookmarkEnd w:id="32"/>
    </w:p>
    <w:p w14:paraId="53A70E4B">
      <w:pPr>
        <w:pStyle w:val="10"/>
        <w:rPr>
          <w:rFonts w:hAnsi="宋体"/>
          <w:szCs w:val="21"/>
        </w:rPr>
      </w:pPr>
    </w:p>
    <w:p w14:paraId="7B39F370">
      <w:pPr>
        <w:pStyle w:val="10"/>
        <w:rPr>
          <w:rFonts w:hAnsi="宋体"/>
          <w:szCs w:val="21"/>
        </w:rPr>
      </w:pPr>
    </w:p>
    <w:p w14:paraId="3AAEAEF9">
      <w:pPr>
        <w:pStyle w:val="10"/>
        <w:rPr>
          <w:rFonts w:hAnsi="宋体"/>
          <w:szCs w:val="21"/>
        </w:rPr>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pPr>
    </w:p>
    <w:p w14:paraId="1E2BF6D9">
      <w:pPr>
        <w:pStyle w:val="14"/>
        <w:spacing w:before="312" w:after="312"/>
        <w:rPr>
          <w:rFonts w:ascii="宋体" w:hAnsi="宋体"/>
          <w:szCs w:val="21"/>
        </w:rPr>
      </w:pPr>
      <w:bookmarkStart w:id="26" w:name="_Toc513731110"/>
      <w:r>
        <w:rPr>
          <w:rFonts w:hint="eastAsia" w:ascii="宋体" w:hAnsi="宋体"/>
          <w:szCs w:val="21"/>
        </w:rPr>
        <w:t>1 编制背景</w:t>
      </w:r>
      <w:bookmarkEnd w:id="26"/>
    </w:p>
    <w:p w14:paraId="463BB1FC">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本标准是根据电机咨〔2022〕300号文，</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中国电机工程学会关于印发</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中国电机工程学会2022年标准计划（第一批）</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的通知</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下达</w:t>
      </w:r>
      <w:r>
        <w:rPr>
          <w:rFonts w:hint="eastAsia"/>
          <w:color w:val="000000" w:themeColor="text1"/>
          <w14:textFill>
            <w14:solidFill>
              <w14:schemeClr w14:val="tx1"/>
            </w14:solidFill>
          </w14:textFill>
        </w:rPr>
        <w:t>的制定</w:t>
      </w:r>
      <w:r>
        <w:rPr>
          <w:color w:val="000000" w:themeColor="text1"/>
          <w14:textFill>
            <w14:solidFill>
              <w14:schemeClr w14:val="tx1"/>
            </w14:solidFill>
          </w14:textFill>
        </w:rPr>
        <w:t>任务</w:t>
      </w:r>
      <w:r>
        <w:rPr>
          <w:rFonts w:hint="eastAsia"/>
          <w:color w:val="000000" w:themeColor="text1"/>
          <w14:textFill>
            <w14:solidFill>
              <w14:schemeClr w14:val="tx1"/>
            </w14:solidFill>
          </w14:textFill>
        </w:rPr>
        <w:t>，项目序号</w:t>
      </w:r>
      <w:r>
        <w:rPr>
          <w:rFonts w:hint="eastAsia"/>
          <w:color w:val="000000" w:themeColor="text1"/>
          <w:lang w:val="en-US" w:eastAsia="zh-CN"/>
          <w14:textFill>
            <w14:solidFill>
              <w14:schemeClr w14:val="tx1"/>
            </w14:solidFill>
          </w14:textFill>
        </w:rPr>
        <w:t>63（编号202112200001）</w:t>
      </w:r>
      <w:r>
        <w:rPr>
          <w:rFonts w:hint="eastAsia"/>
          <w:color w:val="000000" w:themeColor="text1"/>
          <w14:textFill>
            <w14:solidFill>
              <w14:schemeClr w14:val="tx1"/>
            </w14:solidFill>
          </w14:textFill>
        </w:rPr>
        <w:t>对“海上升压站钢结构在役期检测技术规范”进行制定的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由西安热工研究院有限公司、华能江苏清洁能源分公司、华能浙江清能分公司、中国华能集团有限公司、广东粤电阳江海上风电有限公司、华东勘测设计研究院有限公司、上海勘测设计研究院有限公司、广东省电力设计研究院有限公司、上海振华重工（集团）股份有限公司、中国石油集团海洋工程有限公司、武汉中科创新技术股份有限公司</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单位</w:t>
      </w:r>
      <w:r>
        <w:rPr>
          <w:color w:val="000000" w:themeColor="text1"/>
          <w14:textFill>
            <w14:solidFill>
              <w14:schemeClr w14:val="tx1"/>
            </w14:solidFill>
          </w14:textFill>
        </w:rPr>
        <w:t>负责起草。</w:t>
      </w:r>
    </w:p>
    <w:p w14:paraId="267331DB">
      <w:pPr>
        <w:pStyle w:val="1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标准编制的背景及意义如下：</w:t>
      </w:r>
    </w:p>
    <w:p w14:paraId="7E570D93">
      <w:pPr>
        <w:pStyle w:val="1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内海上风电已历经十多年的发展，目前已有超过60个海上风电场全容量并网发电，海上升压站是海上风电场的核心，目前行业内海上升压站钢结构在役检测工作没有规范开展，其钢结构安全性主要通过在线监测系统进行监控。由于在线监测对于焊缝出现开裂等较小损伤不够敏感，因此无法进行准确的缺陷识别定位，一旦缺陷扩展可能造成结构重大破坏。针对性的钢结构在役检测工作尤为重要，包括焊缝无损检测、腐蚀检测等在役检测手段可以精确的发现检测部位损伤，弥补在线监测不足，提前发现隐患并进行消除，避免事故发生。</w:t>
      </w:r>
    </w:p>
    <w:p w14:paraId="5FF9A049">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但目前国内尚无海上升压站钢结构在役检测方面的标准体系，在役检测工作缺少规范指导约束。因此亟需总结国内外海上升压站钢结构在役检测经验，结合现有设计、施工及制造水平，兼顾必要的前瞻性，制定海上风电场海上升压站钢结构在役检测技术规范，规范和指导海上风电行业海上升压站钢结构在役检测工作。</w:t>
      </w:r>
    </w:p>
    <w:p w14:paraId="58A22763">
      <w:pPr>
        <w:pStyle w:val="14"/>
        <w:spacing w:before="312" w:after="312"/>
        <w:rPr>
          <w:rFonts w:ascii="宋体" w:hAnsi="宋体"/>
          <w:szCs w:val="21"/>
        </w:rPr>
      </w:pPr>
      <w:bookmarkStart w:id="27" w:name="_Toc513731111"/>
      <w:r>
        <w:rPr>
          <w:rFonts w:hint="eastAsia" w:ascii="宋体" w:hAnsi="宋体"/>
          <w:szCs w:val="21"/>
        </w:rPr>
        <w:t>2 编制主要原则</w:t>
      </w:r>
      <w:bookmarkEnd w:id="27"/>
    </w:p>
    <w:p w14:paraId="0364901D">
      <w:pPr>
        <w:pStyle w:val="15"/>
        <w:numPr>
          <w:ilvl w:val="0"/>
          <w:numId w:val="0"/>
        </w:numPr>
        <w:spacing w:before="156" w:beforeLines="50" w:after="156" w:afterLines="50"/>
      </w:pPr>
      <w:r>
        <w:rPr>
          <w:rFonts w:hint="eastAsia"/>
        </w:rPr>
        <w:t>2.1 标准格式</w:t>
      </w:r>
    </w:p>
    <w:p w14:paraId="63DCC94B">
      <w:pPr>
        <w:pStyle w:val="10"/>
      </w:pPr>
      <w:r>
        <w:rPr>
          <w:rFonts w:hint="eastAsia"/>
        </w:rPr>
        <w:t>本标准的格式是根据GB/T 1.1—2020《标准化工作导则 第1部分：标准化文件的结构和起草规则》，并参考《西安热工研究院有限公司企业标准编制规范》而制定。</w:t>
      </w:r>
    </w:p>
    <w:p w14:paraId="324D8ED7">
      <w:pPr>
        <w:pStyle w:val="15"/>
        <w:numPr>
          <w:ilvl w:val="0"/>
          <w:numId w:val="0"/>
        </w:numPr>
        <w:spacing w:before="156" w:beforeLines="50" w:after="156" w:afterLines="50"/>
        <w:rPr>
          <w:rFonts w:hint="default" w:eastAsia="黑体"/>
          <w:lang w:val="en-US" w:eastAsia="zh-CN"/>
        </w:rPr>
      </w:pPr>
      <w:r>
        <w:rPr>
          <w:rFonts w:hint="eastAsia"/>
        </w:rPr>
        <w:t xml:space="preserve">2.2 </w:t>
      </w:r>
      <w:r>
        <w:rPr>
          <w:rFonts w:hint="eastAsia"/>
          <w:lang w:val="en-US" w:eastAsia="zh-CN"/>
        </w:rPr>
        <w:t>标准范围</w:t>
      </w:r>
    </w:p>
    <w:p w14:paraId="102E9AF6">
      <w:pPr>
        <w:pStyle w:val="10"/>
        <w:rPr>
          <w:rFonts w:hint="eastAsia"/>
        </w:rPr>
      </w:pPr>
      <w:r>
        <w:rPr>
          <w:rFonts w:hint="eastAsia"/>
        </w:rPr>
        <w:t>本文件规定了海上升压站钢结构在役期检测要求，包括在役期检测范围、检测方法、检测时机、检测频次以及相应的验收准则等内容。本文件适用于海上风电场海上升压站钢结构在役期检测，柔性直流海上换流站可参照执行。</w:t>
      </w:r>
    </w:p>
    <w:p w14:paraId="455EEAE6">
      <w:pPr>
        <w:pStyle w:val="10"/>
        <w:rPr>
          <w:rFonts w:hint="eastAsia"/>
        </w:rPr>
      </w:pPr>
      <w:r>
        <w:rPr>
          <w:rFonts w:hint="eastAsia"/>
        </w:rPr>
        <w:t>本文件由中国电机工程学会提出。本文件由中国电机工程学会海上风电技术专业委员会技术归口并解释。</w:t>
      </w:r>
    </w:p>
    <w:p w14:paraId="70A2D02C">
      <w:pPr>
        <w:pStyle w:val="14"/>
        <w:spacing w:before="312" w:after="312"/>
        <w:rPr>
          <w:rFonts w:ascii="宋体" w:hAnsi="宋体"/>
          <w:szCs w:val="21"/>
        </w:rPr>
      </w:pPr>
      <w:bookmarkStart w:id="28" w:name="_Toc513731112"/>
      <w:r>
        <w:rPr>
          <w:rFonts w:hint="eastAsia" w:ascii="宋体" w:hAnsi="宋体"/>
          <w:szCs w:val="21"/>
        </w:rPr>
        <w:t>3 主要工作过程</w:t>
      </w:r>
      <w:bookmarkEnd w:id="28"/>
    </w:p>
    <w:p w14:paraId="517A7665">
      <w:pPr>
        <w:pStyle w:val="16"/>
        <w:ind w:left="0" w:leftChars="0" w:firstLine="420" w:firstLineChars="200"/>
      </w:pPr>
      <w:r>
        <w:rPr>
          <w:rFonts w:hint="eastAsia"/>
          <w:lang w:val="en-US" w:eastAsia="zh-CN"/>
        </w:rPr>
        <w:t>本文件《</w:t>
      </w:r>
      <w:r>
        <w:rPr>
          <w:rFonts w:hint="eastAsia"/>
        </w:rPr>
        <w:t>海上风电场海上升压站钢结构在役期检测</w:t>
      </w:r>
      <w:r>
        <w:rPr>
          <w:rFonts w:hint="eastAsia"/>
          <w:lang w:val="en-US" w:eastAsia="zh-CN"/>
        </w:rPr>
        <w:t>》于2022年8月获得中国电机工程学会立项批准，标准编写组由西安热工研究院有限公司牵头，组织标准编写单位成员于2024年4月完成标准初稿编写工作，2024年11月完成标准内部审查及修改，现在已形成征求意见稿，申请中国电机工程学会挂网征求意见</w:t>
      </w:r>
      <w:r>
        <w:rPr>
          <w:rFonts w:hint="eastAsia"/>
        </w:rPr>
        <w:t>。</w:t>
      </w:r>
    </w:p>
    <w:p w14:paraId="662C5B14">
      <w:pPr>
        <w:pStyle w:val="14"/>
        <w:spacing w:before="312" w:after="312"/>
      </w:pPr>
      <w:bookmarkStart w:id="29" w:name="_Toc513731113"/>
      <w:r>
        <w:rPr>
          <w:rFonts w:hint="eastAsia" w:ascii="宋体" w:hAnsi="宋体"/>
          <w:szCs w:val="21"/>
        </w:rPr>
        <w:t>4</w:t>
      </w:r>
      <w:r>
        <w:rPr>
          <w:rFonts w:hint="eastAsia"/>
        </w:rPr>
        <w:t xml:space="preserve"> 标准结构和内容说明</w:t>
      </w:r>
      <w:bookmarkEnd w:id="29"/>
    </w:p>
    <w:p w14:paraId="01E0523E">
      <w:pPr>
        <w:pStyle w:val="16"/>
        <w:ind w:left="0" w:leftChars="0" w:firstLine="0" w:firstLineChars="0"/>
        <w:rPr>
          <w:rFonts w:hint="eastAsia"/>
        </w:rPr>
      </w:pPr>
      <w:r>
        <w:rPr>
          <w:rFonts w:hint="eastAsia"/>
        </w:rPr>
        <w:t>4.</w:t>
      </w:r>
      <w:r>
        <w:rPr>
          <w:rFonts w:hint="eastAsia"/>
          <w:lang w:val="en-US" w:eastAsia="zh-CN"/>
        </w:rPr>
        <w:t>1</w:t>
      </w:r>
      <w:r>
        <w:rPr>
          <w:rFonts w:hint="eastAsia"/>
        </w:rPr>
        <w:t xml:space="preserve"> 一般规定</w:t>
      </w:r>
    </w:p>
    <w:p w14:paraId="4B191CC2">
      <w:pPr>
        <w:pStyle w:val="16"/>
        <w:ind w:firstLineChars="0"/>
        <w:rPr>
          <w:rFonts w:hint="eastAsia"/>
        </w:rPr>
      </w:pPr>
      <w:r>
        <w:rPr>
          <w:rFonts w:hint="eastAsia"/>
        </w:rPr>
        <w:t>本章节提出了海上升压站钢结构在役期检测的分类、检测机构及检测人员要求、检测环境要求。</w:t>
      </w:r>
    </w:p>
    <w:p w14:paraId="2AB7DDB0">
      <w:pPr>
        <w:pStyle w:val="16"/>
        <w:ind w:left="0" w:leftChars="0" w:firstLine="0" w:firstLineChars="0"/>
        <w:rPr>
          <w:rFonts w:hint="eastAsia"/>
        </w:rPr>
      </w:pPr>
      <w:r>
        <w:rPr>
          <w:rFonts w:hint="eastAsia"/>
        </w:rPr>
        <w:t>4.</w:t>
      </w:r>
      <w:r>
        <w:rPr>
          <w:rFonts w:hint="eastAsia"/>
          <w:lang w:val="en-US" w:eastAsia="zh-CN"/>
        </w:rPr>
        <w:t>2</w:t>
      </w:r>
      <w:r>
        <w:rPr>
          <w:rFonts w:hint="eastAsia"/>
        </w:rPr>
        <w:t xml:space="preserve"> 整体外观检验</w:t>
      </w:r>
    </w:p>
    <w:p w14:paraId="2A7FB2D6">
      <w:pPr>
        <w:pStyle w:val="16"/>
        <w:ind w:firstLineChars="0"/>
        <w:rPr>
          <w:rFonts w:hint="eastAsia"/>
        </w:rPr>
      </w:pPr>
      <w:r>
        <w:rPr>
          <w:rFonts w:hint="eastAsia"/>
        </w:rPr>
        <w:t>本章节提出了对海上升压站结构外观检查，确认是否存在变形、损坏、严重腐蚀等缺陷。按海上升压站钢结构特点及服役状态，分为水上检查和水下检查。水上部分采取整体远观和局部检查，可使用望远镜、无人机等辅助设备，对比判断平台是否发生倾斜、变形、损坏等，近距离对重点部位进行外观检查。水下部分由潜水员或遥控无人潜水器（ROV）进行检查、水下摄像和水下照相等进行检查，重点检查水下部分的腐蚀、冲刷、表面碰撞损伤、附着海洋生物状态。</w:t>
      </w:r>
    </w:p>
    <w:p w14:paraId="602963A8">
      <w:pPr>
        <w:pStyle w:val="16"/>
        <w:ind w:firstLineChars="0"/>
        <w:rPr>
          <w:rFonts w:hint="eastAsia"/>
        </w:rPr>
      </w:pPr>
      <w:r>
        <w:rPr>
          <w:rFonts w:hint="eastAsia"/>
        </w:rPr>
        <w:t>提出了海上升压站上部组块外观检查、下部基础外观检查的具体要求。</w:t>
      </w:r>
    </w:p>
    <w:p w14:paraId="437C1225">
      <w:pPr>
        <w:pStyle w:val="16"/>
        <w:ind w:left="0" w:leftChars="0" w:firstLine="0" w:firstLineChars="0"/>
        <w:rPr>
          <w:rFonts w:hint="eastAsia"/>
        </w:rPr>
      </w:pPr>
      <w:r>
        <w:rPr>
          <w:rFonts w:hint="eastAsia"/>
        </w:rPr>
        <w:t>4.</w:t>
      </w:r>
      <w:r>
        <w:rPr>
          <w:rFonts w:hint="eastAsia"/>
          <w:lang w:val="en-US" w:eastAsia="zh-CN"/>
        </w:rPr>
        <w:t>3</w:t>
      </w:r>
      <w:r>
        <w:rPr>
          <w:rFonts w:hint="eastAsia"/>
        </w:rPr>
        <w:t xml:space="preserve"> 无损检测</w:t>
      </w:r>
    </w:p>
    <w:p w14:paraId="69C61AA7">
      <w:pPr>
        <w:pStyle w:val="16"/>
        <w:ind w:firstLineChars="0"/>
        <w:rPr>
          <w:rFonts w:hint="eastAsia"/>
        </w:rPr>
      </w:pPr>
      <w:r>
        <w:rPr>
          <w:rFonts w:hint="eastAsia"/>
        </w:rPr>
        <w:t>本章节规定了海上升压站钢结构无损检测的一般要求、检测设备要求、检测范围及周期比例、焊缝表面缺陷检测、焊缝内部缺陷检测、充水检测的具体要求。</w:t>
      </w:r>
    </w:p>
    <w:p w14:paraId="646B1BBF">
      <w:pPr>
        <w:pStyle w:val="16"/>
        <w:ind w:left="0" w:leftChars="0" w:firstLine="0" w:firstLineChars="0"/>
        <w:rPr>
          <w:rFonts w:hint="eastAsia"/>
        </w:rPr>
      </w:pPr>
      <w:r>
        <w:rPr>
          <w:rFonts w:hint="eastAsia"/>
        </w:rPr>
        <w:t>4.</w:t>
      </w:r>
      <w:r>
        <w:rPr>
          <w:rFonts w:hint="eastAsia"/>
          <w:lang w:val="en-US" w:eastAsia="zh-CN"/>
        </w:rPr>
        <w:t>4</w:t>
      </w:r>
      <w:r>
        <w:rPr>
          <w:rFonts w:hint="eastAsia"/>
        </w:rPr>
        <w:t xml:space="preserve"> 防腐检测</w:t>
      </w:r>
    </w:p>
    <w:p w14:paraId="04B32BE8">
      <w:pPr>
        <w:pStyle w:val="16"/>
        <w:ind w:firstLineChars="0"/>
        <w:rPr>
          <w:rFonts w:hint="eastAsia"/>
        </w:rPr>
      </w:pPr>
      <w:r>
        <w:rPr>
          <w:rFonts w:hint="eastAsia"/>
        </w:rPr>
        <w:t>本章节规定了海上升压站钢结构防腐检测的一般要求、涂层检测、外加电流系统检测、牺牲阳极检测的具体要求。</w:t>
      </w:r>
    </w:p>
    <w:p w14:paraId="0E8D624A">
      <w:pPr>
        <w:pStyle w:val="16"/>
        <w:ind w:left="0" w:leftChars="0" w:firstLine="0" w:firstLineChars="0"/>
        <w:rPr>
          <w:rFonts w:hint="eastAsia"/>
        </w:rPr>
      </w:pPr>
      <w:r>
        <w:rPr>
          <w:rFonts w:hint="eastAsia"/>
        </w:rPr>
        <w:t>4.</w:t>
      </w:r>
      <w:r>
        <w:rPr>
          <w:rFonts w:hint="eastAsia"/>
          <w:lang w:val="en-US" w:eastAsia="zh-CN"/>
        </w:rPr>
        <w:t>5</w:t>
      </w:r>
      <w:r>
        <w:rPr>
          <w:rFonts w:hint="eastAsia"/>
        </w:rPr>
        <w:t xml:space="preserve"> </w:t>
      </w:r>
      <w:r>
        <w:rPr>
          <w:rFonts w:hint="eastAsia"/>
          <w:lang w:val="en-US" w:eastAsia="zh-CN"/>
        </w:rPr>
        <w:t>其它检测（</w:t>
      </w:r>
      <w:r>
        <w:rPr>
          <w:rFonts w:hint="eastAsia"/>
        </w:rPr>
        <w:t>海生物检测</w:t>
      </w:r>
      <w:r>
        <w:rPr>
          <w:rFonts w:hint="eastAsia"/>
          <w:lang w:eastAsia="zh-CN"/>
        </w:rPr>
        <w:t>、</w:t>
      </w:r>
      <w:r>
        <w:rPr>
          <w:rFonts w:hint="eastAsia"/>
        </w:rPr>
        <w:t>冲刷检测</w:t>
      </w:r>
      <w:r>
        <w:rPr>
          <w:rFonts w:hint="eastAsia"/>
          <w:lang w:eastAsia="zh-CN"/>
        </w:rPr>
        <w:t>、</w:t>
      </w:r>
      <w:r>
        <w:rPr>
          <w:rFonts w:hint="eastAsia"/>
        </w:rPr>
        <w:t>振动检测</w:t>
      </w:r>
      <w:r>
        <w:rPr>
          <w:rFonts w:hint="eastAsia"/>
          <w:lang w:val="en-US" w:eastAsia="zh-CN"/>
        </w:rPr>
        <w:t>）</w:t>
      </w:r>
    </w:p>
    <w:p w14:paraId="344A1B2F">
      <w:pPr>
        <w:pStyle w:val="16"/>
        <w:ind w:firstLineChars="0"/>
        <w:rPr>
          <w:rFonts w:hint="eastAsia"/>
        </w:rPr>
      </w:pPr>
      <w:r>
        <w:rPr>
          <w:rFonts w:hint="eastAsia"/>
        </w:rPr>
        <w:t>本章节规定了海上升压站钢结构海生物检测</w:t>
      </w:r>
      <w:r>
        <w:rPr>
          <w:rFonts w:hint="eastAsia"/>
          <w:lang w:eastAsia="zh-CN"/>
        </w:rPr>
        <w:t>、</w:t>
      </w:r>
      <w:r>
        <w:rPr>
          <w:rFonts w:hint="eastAsia"/>
        </w:rPr>
        <w:t>冲刷检测</w:t>
      </w:r>
      <w:r>
        <w:rPr>
          <w:rFonts w:hint="eastAsia"/>
          <w:lang w:eastAsia="zh-CN"/>
        </w:rPr>
        <w:t>、</w:t>
      </w:r>
      <w:r>
        <w:rPr>
          <w:rFonts w:hint="eastAsia"/>
        </w:rPr>
        <w:t>振动检测的主要要求。</w:t>
      </w:r>
    </w:p>
    <w:p w14:paraId="31176770">
      <w:pPr>
        <w:pStyle w:val="16"/>
        <w:ind w:left="0" w:leftChars="0" w:firstLine="0" w:firstLineChars="0"/>
        <w:rPr>
          <w:rFonts w:hint="eastAsia"/>
        </w:rPr>
      </w:pPr>
      <w:r>
        <w:rPr>
          <w:rFonts w:hint="eastAsia"/>
        </w:rPr>
        <w:t>4.</w:t>
      </w:r>
      <w:r>
        <w:rPr>
          <w:rFonts w:hint="eastAsia"/>
          <w:lang w:val="en-US" w:eastAsia="zh-CN"/>
        </w:rPr>
        <w:t>6</w:t>
      </w:r>
      <w:r>
        <w:rPr>
          <w:rFonts w:hint="eastAsia"/>
        </w:rPr>
        <w:t xml:space="preserve"> 检测内容</w:t>
      </w:r>
    </w:p>
    <w:p w14:paraId="3B624990">
      <w:pPr>
        <w:pStyle w:val="16"/>
        <w:ind w:firstLineChars="0"/>
        <w:rPr>
          <w:rFonts w:hint="eastAsia"/>
        </w:rPr>
      </w:pPr>
      <w:r>
        <w:rPr>
          <w:rFonts w:hint="eastAsia"/>
        </w:rPr>
        <w:t>本章节规定了海上升压站钢结构在役期年度检验、定期检验及临时检验的要求。</w:t>
      </w:r>
    </w:p>
    <w:p w14:paraId="1F370336">
      <w:pPr>
        <w:pStyle w:val="16"/>
        <w:ind w:left="0" w:leftChars="0" w:firstLine="0" w:firstLineChars="0"/>
        <w:rPr>
          <w:rFonts w:hint="eastAsia"/>
        </w:rPr>
      </w:pPr>
      <w:r>
        <w:rPr>
          <w:rFonts w:hint="eastAsia"/>
        </w:rPr>
        <w:t>4.</w:t>
      </w:r>
      <w:r>
        <w:rPr>
          <w:rFonts w:hint="eastAsia"/>
          <w:lang w:val="en-US" w:eastAsia="zh-CN"/>
        </w:rPr>
        <w:t>7</w:t>
      </w:r>
      <w:r>
        <w:rPr>
          <w:rFonts w:hint="eastAsia"/>
        </w:rPr>
        <w:t xml:space="preserve"> 检测记录与报告</w:t>
      </w:r>
    </w:p>
    <w:p w14:paraId="5FC0B60A">
      <w:pPr>
        <w:pStyle w:val="16"/>
        <w:ind w:firstLineChars="0"/>
        <w:rPr>
          <w:rFonts w:hint="eastAsia"/>
        </w:rPr>
      </w:pPr>
      <w:r>
        <w:rPr>
          <w:rFonts w:hint="eastAsia"/>
        </w:rPr>
        <w:t>本章节规定了海上升压站钢结构在役期检测的记录及报告的具体要求。</w:t>
      </w:r>
    </w:p>
    <w:p w14:paraId="1F8F3577">
      <w:pPr>
        <w:pStyle w:val="16"/>
        <w:ind w:left="0" w:leftChars="0" w:firstLine="0" w:firstLineChars="0"/>
        <w:rPr>
          <w:rFonts w:hint="eastAsia"/>
        </w:rPr>
      </w:pPr>
      <w:r>
        <w:rPr>
          <w:rFonts w:hint="eastAsia"/>
        </w:rPr>
        <w:t>4.</w:t>
      </w:r>
      <w:r>
        <w:rPr>
          <w:rFonts w:hint="eastAsia"/>
          <w:lang w:val="en-US" w:eastAsia="zh-CN"/>
        </w:rPr>
        <w:t>8</w:t>
      </w:r>
      <w:r>
        <w:rPr>
          <w:rFonts w:hint="eastAsia"/>
        </w:rPr>
        <w:t xml:space="preserve"> 附录A、附录B</w:t>
      </w:r>
    </w:p>
    <w:p w14:paraId="4FBAF420">
      <w:pPr>
        <w:pStyle w:val="16"/>
        <w:ind w:firstLineChars="0"/>
        <w:rPr>
          <w:rFonts w:hint="eastAsia"/>
        </w:rPr>
      </w:pPr>
      <w:r>
        <w:rPr>
          <w:rFonts w:hint="eastAsia"/>
        </w:rPr>
        <w:t>附录A给出了ACFM参考试件的要求。</w:t>
      </w:r>
    </w:p>
    <w:p w14:paraId="0FD3E4BA">
      <w:pPr>
        <w:pStyle w:val="16"/>
        <w:ind w:firstLineChars="0"/>
      </w:pPr>
      <w:r>
        <w:rPr>
          <w:rFonts w:hint="eastAsia"/>
        </w:rPr>
        <w:t>附录B给出了ACFM检测原理。</w:t>
      </w:r>
    </w:p>
    <w:p w14:paraId="4979ABC5">
      <w:pPr>
        <w:pStyle w:val="14"/>
        <w:spacing w:before="312" w:after="312"/>
      </w:pPr>
      <w:bookmarkStart w:id="30" w:name="_Toc513731114"/>
      <w:r>
        <w:rPr>
          <w:rFonts w:hint="eastAsia" w:ascii="宋体" w:hAnsi="宋体"/>
          <w:szCs w:val="21"/>
        </w:rPr>
        <w:t>5相关</w:t>
      </w:r>
      <w:r>
        <w:rPr>
          <w:rFonts w:hint="eastAsia"/>
        </w:rPr>
        <w:t>标准对比说明</w:t>
      </w:r>
      <w:bookmarkEnd w:id="30"/>
    </w:p>
    <w:p w14:paraId="2C3E6E05">
      <w:pPr>
        <w:pStyle w:val="16"/>
        <w:ind w:firstLine="420" w:firstLineChars="200"/>
        <w:rPr>
          <w:rFonts w:hint="eastAsia"/>
        </w:rPr>
      </w:pPr>
      <w:r>
        <w:rPr>
          <w:rFonts w:hint="eastAsia"/>
        </w:rPr>
        <w:t>目前国内外尚无海上升压站钢结构在役检测技术规范及标准体系。《海上风电场运行维护规程》（GB/T 32128）仅简单的规定了海上风电场维护周期及维护项目，无海上升压站结构在役检测的针对性要求，对维护检测项目实施方法、检测要求、验收标准等也未进行明确。</w:t>
      </w:r>
    </w:p>
    <w:p w14:paraId="5CADF09E">
      <w:pPr>
        <w:pStyle w:val="16"/>
        <w:ind w:firstLine="420" w:firstLineChars="200"/>
        <w:rPr>
          <w:rFonts w:hint="eastAsia"/>
        </w:rPr>
      </w:pPr>
      <w:r>
        <w:rPr>
          <w:rFonts w:hint="eastAsia"/>
        </w:rPr>
        <w:t>目前国内外针对海上升压站钢结构无损检测，均为通用型检测标准规范，对于在役期海上升压站，考虑带防腐涂层、高空梁柱及水下基础结构等复杂工况下，现有标准不能完全适用，也不能有效指导及规范海上升压站钢结构在役检测工作。</w:t>
      </w:r>
    </w:p>
    <w:p w14:paraId="257084AD">
      <w:pPr>
        <w:pStyle w:val="16"/>
        <w:ind w:firstLine="420" w:firstLineChars="200"/>
      </w:pPr>
      <w:r>
        <w:rPr>
          <w:rFonts w:hint="eastAsia"/>
        </w:rPr>
        <w:t>目前国内部分海上升压站运行已经超过</w:t>
      </w:r>
      <w:r>
        <w:rPr>
          <w:rFonts w:hint="eastAsia"/>
          <w:lang w:val="en-US" w:eastAsia="zh-CN"/>
        </w:rPr>
        <w:t>5</w:t>
      </w:r>
      <w:r>
        <w:rPr>
          <w:rFonts w:hint="eastAsia"/>
        </w:rPr>
        <w:t>年，但由于缺少规范指导约束，钢结构在役检测工作基本处于空白，导致影响结构安全的缺陷无法及时发现并处理，使海上升压站运行存在安全隐患</w:t>
      </w:r>
      <w:r>
        <w:rPr>
          <w:rFonts w:hint="eastAsia"/>
          <w:color w:val="000000" w:themeColor="text1"/>
          <w14:textFill>
            <w14:solidFill>
              <w14:schemeClr w14:val="tx1"/>
            </w14:solidFill>
          </w14:textFill>
        </w:rPr>
        <w:t>。</w:t>
      </w:r>
    </w:p>
    <w:p w14:paraId="121463CC">
      <w:pPr>
        <w:pStyle w:val="14"/>
        <w:spacing w:before="312" w:after="312"/>
        <w:rPr>
          <w:rFonts w:ascii="宋体" w:hAnsi="宋体"/>
          <w:szCs w:val="21"/>
        </w:rPr>
      </w:pPr>
      <w:bookmarkStart w:id="31" w:name="_Toc513731115"/>
      <w:r>
        <w:rPr>
          <w:rFonts w:hint="eastAsia" w:ascii="宋体" w:hAnsi="宋体"/>
          <w:szCs w:val="21"/>
        </w:rPr>
        <w:t>6标准实施措施说明</w:t>
      </w:r>
      <w:bookmarkEnd w:id="31"/>
    </w:p>
    <w:p w14:paraId="30604100">
      <w:pPr>
        <w:pStyle w:val="16"/>
        <w:ind w:firstLine="420" w:firstLineChars="200"/>
      </w:pPr>
      <w:r>
        <w:rPr>
          <w:rFonts w:hint="eastAsia"/>
        </w:rPr>
        <w:t>本标准可作为</w:t>
      </w:r>
      <w:r>
        <w:rPr>
          <w:rFonts w:hint="eastAsia"/>
          <w:lang w:val="en-US" w:eastAsia="zh-CN"/>
        </w:rPr>
        <w:t>行业内</w:t>
      </w:r>
      <w:r>
        <w:rPr>
          <w:rFonts w:hint="eastAsia"/>
        </w:rPr>
        <w:t>海上升压站钢结构在役期检测的标准实施。</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728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45A7">
    <w:pPr>
      <w:pStyle w:val="3"/>
      <w:jc w:val="center"/>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7E5D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B7E5D8F">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000C87">
                          <w:pPr>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A000C87">
                    <w:pPr>
                      <w:rPr>
                        <w:rFonts w:hint="eastAsia" w:eastAsia="宋体"/>
                        <w:lang w:val="en-US" w:eastAsia="zh-CN"/>
                      </w:rPr>
                    </w:pPr>
                  </w:p>
                </w:txbxContent>
              </v:textbox>
            </v:shape>
          </w:pict>
        </mc:Fallback>
      </mc:AlternateContent>
    </w:r>
    <w:r>
      <w:rPr>
        <w:rFonts w:hint="eastAsia"/>
        <w:sz w:val="18"/>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A3C3">
    <w:pPr>
      <w:pStyle w:val="17"/>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315B">
    <w:pPr>
      <w:pStyle w:val="17"/>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CC4A">
    <w:pPr>
      <w:pStyle w:val="17"/>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3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toc 1"/>
    <w:basedOn w:val="1"/>
    <w:next w:val="1"/>
    <w:qFormat/>
    <w:uiPriority w:val="39"/>
    <w:pPr>
      <w:tabs>
        <w:tab w:val="right" w:leader="dot" w:pos="9241"/>
      </w:tabs>
      <w:spacing w:before="25" w:beforeLines="25" w:after="25" w:afterLines="25"/>
      <w:jc w:val="left"/>
    </w:pPr>
    <w:rPr>
      <w:rFonts w:ascii="宋体" w:hAnsi="Times New Roman"/>
      <w:szCs w:val="21"/>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qFormat/>
    <w:uiPriority w:val="0"/>
    <w:rPr>
      <w:rFonts w:ascii="Times New Roman" w:hAnsi="Times New Roman" w:eastAsia="宋体"/>
      <w:sz w:val="18"/>
    </w:rPr>
  </w:style>
  <w:style w:type="character" w:styleId="9">
    <w:name w:val="Hyperlink"/>
    <w:qFormat/>
    <w:uiPriority w:val="99"/>
    <w:rPr>
      <w:rFonts w:cs="Times New Roman"/>
      <w:color w:val="0563C1"/>
      <w:u w:val="single"/>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目次、标准名称标题"/>
    <w:basedOn w:val="13"/>
    <w:next w:val="10"/>
    <w:qFormat/>
    <w:uiPriority w:val="0"/>
    <w:pPr>
      <w:keepNext/>
      <w:pageBreakBefore/>
      <w:spacing w:line="460" w:lineRule="exact"/>
    </w:pPr>
  </w:style>
  <w:style w:type="paragraph" w:customStyle="1" w:styleId="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15">
    <w:name w:val="附录章标题"/>
    <w:next w:val="1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styleId="16">
    <w:name w:val="List Paragraph"/>
    <w:basedOn w:val="1"/>
    <w:qFormat/>
    <w:uiPriority w:val="34"/>
    <w:pPr>
      <w:ind w:firstLine="420" w:firstLineChars="200"/>
    </w:p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2024-12-16T06:18:15Z</dcterms:created>
  <dc:creator>Lenovo</dc:creator>
  <cp:lastModifiedBy>xiaoyuaiqq（余成）</cp:lastModifiedBy>
  <dcterms:modified xsi:type="dcterms:W3CDTF">2024-12-16T06:51:44Z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E2D89207EBD64FDCBF01B2307542C6EB_12</vt:lpwstr>
  </property>
</Properties>
</file>