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3A0C" w14:textId="77777777" w:rsidR="007832CF" w:rsidRDefault="007832CF">
      <w:pPr>
        <w:pStyle w:val="aff1"/>
        <w:ind w:firstLineChars="0" w:firstLine="0"/>
      </w:pPr>
    </w:p>
    <w:p w14:paraId="77BCAE14" w14:textId="77777777" w:rsidR="007832CF" w:rsidRDefault="007832CF">
      <w:pPr>
        <w:pStyle w:val="aff1"/>
        <w:ind w:firstLineChars="0" w:firstLine="0"/>
      </w:pPr>
    </w:p>
    <w:p w14:paraId="1C6F3FA9" w14:textId="77777777" w:rsidR="007832CF" w:rsidRDefault="007832CF">
      <w:pPr>
        <w:pStyle w:val="aff1"/>
        <w:ind w:firstLineChars="0" w:firstLine="0"/>
      </w:pPr>
    </w:p>
    <w:p w14:paraId="72E9FCC0" w14:textId="77777777" w:rsidR="007832CF" w:rsidRDefault="007832CF">
      <w:pPr>
        <w:pStyle w:val="aff1"/>
        <w:ind w:firstLineChars="0" w:firstLine="0"/>
      </w:pPr>
    </w:p>
    <w:p w14:paraId="15924119" w14:textId="77777777" w:rsidR="007832CF" w:rsidRDefault="007832CF">
      <w:pPr>
        <w:pStyle w:val="aff1"/>
        <w:ind w:firstLineChars="0" w:firstLine="0"/>
      </w:pPr>
    </w:p>
    <w:p w14:paraId="26D80C90" w14:textId="77777777" w:rsidR="007832CF" w:rsidRDefault="007832CF">
      <w:pPr>
        <w:pStyle w:val="aff1"/>
        <w:ind w:firstLineChars="0" w:firstLine="0"/>
      </w:pPr>
    </w:p>
    <w:p w14:paraId="4966B7CB" w14:textId="77777777" w:rsidR="007832CF" w:rsidRDefault="007832CF">
      <w:pPr>
        <w:pStyle w:val="aff1"/>
        <w:ind w:firstLineChars="0" w:firstLine="0"/>
      </w:pPr>
    </w:p>
    <w:p w14:paraId="04A5CB87" w14:textId="77777777" w:rsidR="007832CF" w:rsidRDefault="007832CF">
      <w:pPr>
        <w:pStyle w:val="aff1"/>
        <w:ind w:firstLineChars="0" w:firstLine="0"/>
      </w:pPr>
    </w:p>
    <w:p w14:paraId="677DB948" w14:textId="77777777" w:rsidR="007832CF" w:rsidRDefault="007832CF">
      <w:pPr>
        <w:pStyle w:val="aff1"/>
        <w:ind w:firstLineChars="0" w:firstLine="0"/>
      </w:pPr>
    </w:p>
    <w:p w14:paraId="5D39E4AF" w14:textId="77777777" w:rsidR="007832CF" w:rsidRDefault="007832CF">
      <w:pPr>
        <w:pStyle w:val="aff1"/>
        <w:ind w:firstLineChars="0" w:firstLine="0"/>
      </w:pPr>
    </w:p>
    <w:p w14:paraId="1106EC23" w14:textId="539EF7BA" w:rsidR="007832CF" w:rsidRPr="00855A7D" w:rsidRDefault="008E64BB">
      <w:pPr>
        <w:pStyle w:val="aff1"/>
        <w:ind w:firstLineChars="0" w:firstLine="0"/>
        <w:jc w:val="center"/>
        <w:rPr>
          <w:rFonts w:ascii="黑体" w:eastAsia="黑体"/>
          <w:sz w:val="44"/>
          <w:szCs w:val="44"/>
        </w:rPr>
      </w:pPr>
      <w:r w:rsidRPr="008E64BB">
        <w:rPr>
          <w:rFonts w:ascii="黑体" w:eastAsia="黑体" w:hint="eastAsia"/>
          <w:sz w:val="44"/>
          <w:szCs w:val="44"/>
        </w:rPr>
        <w:t>区域电网多时间尺度电力供需平衡分析技术导则</w:t>
      </w:r>
    </w:p>
    <w:p w14:paraId="519DB708" w14:textId="77777777" w:rsidR="007832CF" w:rsidRDefault="007832CF">
      <w:pPr>
        <w:pStyle w:val="aff1"/>
        <w:ind w:firstLineChars="0" w:firstLine="0"/>
        <w:jc w:val="center"/>
        <w:rPr>
          <w:rFonts w:ascii="黑体" w:eastAsia="黑体"/>
          <w:sz w:val="44"/>
          <w:szCs w:val="44"/>
        </w:rPr>
      </w:pPr>
    </w:p>
    <w:p w14:paraId="2A839037" w14:textId="77777777" w:rsidR="007832CF" w:rsidRDefault="007832CF">
      <w:pPr>
        <w:pStyle w:val="aff1"/>
      </w:pPr>
    </w:p>
    <w:p w14:paraId="14404D73" w14:textId="77777777" w:rsidR="007832CF" w:rsidRDefault="007832CF">
      <w:pPr>
        <w:pStyle w:val="aff1"/>
      </w:pPr>
    </w:p>
    <w:p w14:paraId="01E7E27D" w14:textId="77777777" w:rsidR="007832CF" w:rsidRDefault="00000000">
      <w:pPr>
        <w:pStyle w:val="a"/>
        <w:numPr>
          <w:ilvl w:val="0"/>
          <w:numId w:val="0"/>
        </w:numPr>
        <w:jc w:val="center"/>
        <w:rPr>
          <w:sz w:val="28"/>
          <w:szCs w:val="28"/>
        </w:rPr>
      </w:pPr>
      <w:bookmarkStart w:id="0" w:name="_Toc298937333"/>
      <w:bookmarkStart w:id="1" w:name="_Toc298937368"/>
      <w:bookmarkStart w:id="2" w:name="_Toc309995492"/>
      <w:bookmarkStart w:id="3" w:name="_Toc310002657"/>
      <w:bookmarkStart w:id="4" w:name="_Toc309995410"/>
      <w:bookmarkStart w:id="5" w:name="_Toc304828086"/>
      <w:bookmarkStart w:id="6" w:name="_Toc304824981"/>
      <w:bookmarkStart w:id="7" w:name="_Toc309993200"/>
      <w:bookmarkStart w:id="8" w:name="_Toc298937473"/>
      <w:bookmarkStart w:id="9" w:name="_Toc298937620"/>
      <w:bookmarkStart w:id="10" w:name="_Toc304825020"/>
      <w:bookmarkStart w:id="11" w:name="_Toc309997060"/>
      <w:bookmarkStart w:id="12" w:name="_Toc298938794"/>
      <w:bookmarkStart w:id="13" w:name="_Toc309994571"/>
      <w:bookmarkStart w:id="14" w:name="_Toc309995598"/>
      <w:bookmarkStart w:id="15" w:name="_Toc320020914"/>
      <w:bookmarkStart w:id="16" w:name="_Toc304825093"/>
      <w:bookmarkStart w:id="17" w:name="_Toc318613715"/>
      <w:bookmarkStart w:id="18" w:name="_Toc298938646"/>
      <w:bookmarkStart w:id="19" w:name="_Toc304402675"/>
      <w:bookmarkStart w:id="20" w:name="_Toc298937430"/>
      <w:bookmarkStart w:id="21" w:name="_Toc298937560"/>
      <w:bookmarkStart w:id="22" w:name="_Toc309996019"/>
      <w:r>
        <w:rPr>
          <w:rFonts w:hint="eastAsia"/>
          <w:sz w:val="28"/>
          <w:szCs w:val="28"/>
        </w:rPr>
        <w:t>编 制 说</w:t>
      </w:r>
      <w:bookmarkEnd w:id="0"/>
      <w:bookmarkEnd w:id="1"/>
      <w:r>
        <w:rPr>
          <w:rFonts w:hint="eastAsia"/>
          <w:sz w:val="28"/>
          <w:szCs w:val="28"/>
        </w:rPr>
        <w:t> 明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7E8813E" w14:textId="77777777" w:rsidR="007832CF" w:rsidRDefault="007832CF">
      <w:pPr>
        <w:pStyle w:val="aff1"/>
        <w:ind w:firstLine="560"/>
        <w:jc w:val="center"/>
        <w:rPr>
          <w:rFonts w:ascii="黑体" w:eastAsia="黑体"/>
          <w:sz w:val="28"/>
          <w:szCs w:val="28"/>
        </w:rPr>
      </w:pPr>
    </w:p>
    <w:p w14:paraId="6DB30B54" w14:textId="77777777" w:rsidR="007832CF" w:rsidRDefault="007832CF">
      <w:pPr>
        <w:pStyle w:val="aff1"/>
        <w:ind w:firstLine="560"/>
        <w:jc w:val="center"/>
        <w:rPr>
          <w:rFonts w:ascii="黑体" w:eastAsia="黑体"/>
          <w:sz w:val="28"/>
          <w:szCs w:val="28"/>
        </w:rPr>
      </w:pPr>
    </w:p>
    <w:p w14:paraId="08C68443" w14:textId="77777777" w:rsidR="007832CF" w:rsidRDefault="007832CF">
      <w:pPr>
        <w:pStyle w:val="aff1"/>
        <w:sectPr w:rsidR="007832CF">
          <w:headerReference w:type="even" r:id="rId8"/>
          <w:footerReference w:type="default" r:id="rId9"/>
          <w:pgSz w:w="11906" w:h="16838"/>
          <w:pgMar w:top="567" w:right="1134" w:bottom="1134" w:left="1417" w:header="1418" w:footer="1134" w:gutter="0"/>
          <w:cols w:space="720"/>
          <w:formProt w:val="0"/>
          <w:docGrid w:type="lines" w:linePitch="312"/>
        </w:sectPr>
      </w:pPr>
    </w:p>
    <w:p w14:paraId="42CCC3CC" w14:textId="77777777" w:rsidR="007832CF" w:rsidRDefault="00000000">
      <w:pPr>
        <w:jc w:val="center"/>
        <w:rPr>
          <w:b/>
          <w:bCs/>
          <w:sz w:val="28"/>
          <w:szCs w:val="32"/>
        </w:rPr>
      </w:pPr>
      <w:bookmarkStart w:id="23" w:name="_Toc513731109"/>
      <w:bookmarkStart w:id="24" w:name="_Toc309992160"/>
      <w:bookmarkStart w:id="25" w:name="_Toc513731021"/>
      <w:r>
        <w:rPr>
          <w:rFonts w:hint="eastAsia"/>
          <w:b/>
          <w:bCs/>
          <w:sz w:val="28"/>
          <w:szCs w:val="32"/>
        </w:rPr>
        <w:lastRenderedPageBreak/>
        <w:t>目</w:t>
      </w:r>
      <w:r>
        <w:rPr>
          <w:rFonts w:hint="eastAsia"/>
          <w:b/>
          <w:bCs/>
          <w:sz w:val="28"/>
          <w:szCs w:val="32"/>
        </w:rPr>
        <w:t xml:space="preserve">  </w:t>
      </w:r>
      <w:r>
        <w:rPr>
          <w:rFonts w:hint="eastAsia"/>
          <w:b/>
          <w:bCs/>
          <w:sz w:val="28"/>
          <w:szCs w:val="32"/>
        </w:rPr>
        <w:t>次</w:t>
      </w:r>
      <w:bookmarkEnd w:id="23"/>
      <w:bookmarkEnd w:id="24"/>
      <w:bookmarkEnd w:id="25"/>
    </w:p>
    <w:p w14:paraId="13196321" w14:textId="26CCD1DB" w:rsidR="00D93860" w:rsidRDefault="00000000">
      <w:pPr>
        <w:pStyle w:val="TOC1"/>
        <w:spacing w:before="78" w:after="78"/>
        <w:rPr>
          <w:rFonts w:asciiTheme="minorHAnsi" w:eastAsiaTheme="minorEastAsia" w:hAnsiTheme="minorHAnsi" w:cstheme="minorBidi" w:hint="eastAsia"/>
          <w:noProof/>
          <w:szCs w:val="22"/>
          <w14:ligatures w14:val="standardContextual"/>
        </w:rPr>
      </w:pPr>
      <w:r>
        <w:rPr>
          <w:rFonts w:hAnsi="宋体"/>
        </w:rPr>
        <w:fldChar w:fldCharType="begin"/>
      </w:r>
      <w:r>
        <w:rPr>
          <w:rFonts w:hAnsi="宋体"/>
        </w:rPr>
        <w:instrText xml:space="preserve"> </w:instrText>
      </w:r>
      <w:r>
        <w:rPr>
          <w:rFonts w:hAnsi="宋体" w:hint="eastAsia"/>
        </w:rPr>
        <w:instrText>TOC \o "1-1" \h \z \u</w:instrText>
      </w:r>
      <w:r>
        <w:rPr>
          <w:rFonts w:hAnsi="宋体"/>
        </w:rPr>
        <w:instrText xml:space="preserve"> </w:instrText>
      </w:r>
      <w:r>
        <w:rPr>
          <w:rFonts w:hAnsi="宋体"/>
        </w:rPr>
        <w:fldChar w:fldCharType="separate"/>
      </w:r>
      <w:hyperlink w:anchor="_Toc184737084" w:history="1">
        <w:r w:rsidR="00D93860" w:rsidRPr="001914EF">
          <w:rPr>
            <w:rStyle w:val="afb"/>
            <w:rFonts w:hAnsi="宋体" w:hint="eastAsia"/>
            <w:noProof/>
          </w:rPr>
          <w:t>1 编制背景</w:t>
        </w:r>
        <w:r w:rsidR="00D93860">
          <w:rPr>
            <w:rFonts w:hint="eastAsia"/>
            <w:noProof/>
            <w:webHidden/>
          </w:rPr>
          <w:tab/>
        </w:r>
        <w:r w:rsidR="00D93860">
          <w:rPr>
            <w:rFonts w:hint="eastAsia"/>
            <w:noProof/>
            <w:webHidden/>
          </w:rPr>
          <w:fldChar w:fldCharType="begin"/>
        </w:r>
        <w:r w:rsidR="00D93860">
          <w:rPr>
            <w:rFonts w:hint="eastAsia"/>
            <w:noProof/>
            <w:webHidden/>
          </w:rPr>
          <w:instrText xml:space="preserve"> </w:instrText>
        </w:r>
        <w:r w:rsidR="00D93860">
          <w:rPr>
            <w:noProof/>
            <w:webHidden/>
          </w:rPr>
          <w:instrText>PAGEREF _Toc184737084 \h</w:instrText>
        </w:r>
        <w:r w:rsidR="00D93860">
          <w:rPr>
            <w:rFonts w:hint="eastAsia"/>
            <w:noProof/>
            <w:webHidden/>
          </w:rPr>
          <w:instrText xml:space="preserve"> </w:instrText>
        </w:r>
        <w:r w:rsidR="00D93860">
          <w:rPr>
            <w:rFonts w:hint="eastAsia"/>
            <w:noProof/>
            <w:webHidden/>
          </w:rPr>
        </w:r>
        <w:r w:rsidR="00D93860">
          <w:rPr>
            <w:noProof/>
            <w:webHidden/>
          </w:rPr>
          <w:fldChar w:fldCharType="separate"/>
        </w:r>
        <w:r w:rsidR="00D93860">
          <w:rPr>
            <w:noProof/>
            <w:webHidden/>
          </w:rPr>
          <w:t>1</w:t>
        </w:r>
        <w:r w:rsidR="00D93860">
          <w:rPr>
            <w:rFonts w:hint="eastAsia"/>
            <w:noProof/>
            <w:webHidden/>
          </w:rPr>
          <w:fldChar w:fldCharType="end"/>
        </w:r>
      </w:hyperlink>
    </w:p>
    <w:p w14:paraId="4FFC97BE" w14:textId="12FF4FD4" w:rsidR="00D93860" w:rsidRDefault="00D93860">
      <w:pPr>
        <w:pStyle w:val="TOC1"/>
        <w:spacing w:before="78" w:after="78"/>
        <w:rPr>
          <w:rFonts w:asciiTheme="minorHAnsi" w:eastAsiaTheme="minorEastAsia" w:hAnsiTheme="minorHAnsi" w:cstheme="minorBidi" w:hint="eastAsia"/>
          <w:noProof/>
          <w:szCs w:val="22"/>
          <w14:ligatures w14:val="standardContextual"/>
        </w:rPr>
      </w:pPr>
      <w:hyperlink w:anchor="_Toc184737085" w:history="1">
        <w:r w:rsidRPr="001914EF">
          <w:rPr>
            <w:rStyle w:val="afb"/>
            <w:rFonts w:hAnsi="宋体" w:hint="eastAsia"/>
            <w:noProof/>
          </w:rPr>
          <w:t>2 编制主要原则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_Toc184737085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14:paraId="28563B0D" w14:textId="1531F423" w:rsidR="00D93860" w:rsidRDefault="00D93860">
      <w:pPr>
        <w:pStyle w:val="TOC1"/>
        <w:spacing w:before="78" w:after="78"/>
        <w:rPr>
          <w:rFonts w:asciiTheme="minorHAnsi" w:eastAsiaTheme="minorEastAsia" w:hAnsiTheme="minorHAnsi" w:cstheme="minorBidi" w:hint="eastAsia"/>
          <w:noProof/>
          <w:szCs w:val="22"/>
          <w14:ligatures w14:val="standardContextual"/>
        </w:rPr>
      </w:pPr>
      <w:hyperlink w:anchor="_Toc184737086" w:history="1">
        <w:r w:rsidRPr="001914EF">
          <w:rPr>
            <w:rStyle w:val="afb"/>
            <w:rFonts w:hAnsi="宋体" w:hint="eastAsia"/>
            <w:noProof/>
          </w:rPr>
          <w:t>3 主要工作过程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_Toc184737086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0F243233" w14:textId="04B185BB" w:rsidR="00D93860" w:rsidRDefault="00D93860">
      <w:pPr>
        <w:pStyle w:val="TOC1"/>
        <w:spacing w:before="78" w:after="78"/>
        <w:rPr>
          <w:rFonts w:asciiTheme="minorHAnsi" w:eastAsiaTheme="minorEastAsia" w:hAnsiTheme="minorHAnsi" w:cstheme="minorBidi" w:hint="eastAsia"/>
          <w:noProof/>
          <w:szCs w:val="22"/>
          <w14:ligatures w14:val="standardContextual"/>
        </w:rPr>
      </w:pPr>
      <w:hyperlink w:anchor="_Toc184737087" w:history="1">
        <w:r w:rsidRPr="001914EF">
          <w:rPr>
            <w:rStyle w:val="afb"/>
            <w:rFonts w:hAnsi="宋体" w:hint="eastAsia"/>
            <w:noProof/>
          </w:rPr>
          <w:t>4 标准结构和内容说明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_Toc184737087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14:paraId="7AA68526" w14:textId="11FBB626" w:rsidR="00D93860" w:rsidRDefault="00D93860">
      <w:pPr>
        <w:pStyle w:val="TOC1"/>
        <w:spacing w:before="78" w:after="78"/>
        <w:rPr>
          <w:rFonts w:asciiTheme="minorHAnsi" w:eastAsiaTheme="minorEastAsia" w:hAnsiTheme="minorHAnsi" w:cstheme="minorBidi" w:hint="eastAsia"/>
          <w:noProof/>
          <w:szCs w:val="22"/>
          <w14:ligatures w14:val="standardContextual"/>
        </w:rPr>
      </w:pPr>
      <w:hyperlink w:anchor="_Toc184737088" w:history="1">
        <w:r w:rsidRPr="001914EF">
          <w:rPr>
            <w:rStyle w:val="afb"/>
            <w:rFonts w:hAnsi="宋体" w:hint="eastAsia"/>
            <w:noProof/>
          </w:rPr>
          <w:t>5相关</w:t>
        </w:r>
        <w:r w:rsidRPr="001914EF">
          <w:rPr>
            <w:rStyle w:val="afb"/>
            <w:rFonts w:hint="eastAsia"/>
            <w:noProof/>
          </w:rPr>
          <w:t>标准对比说明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_Toc184737088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614EEC9A" w14:textId="0CAFD64C" w:rsidR="00D93860" w:rsidRDefault="00D93860">
      <w:pPr>
        <w:pStyle w:val="TOC1"/>
        <w:spacing w:before="78" w:after="78"/>
        <w:rPr>
          <w:rFonts w:asciiTheme="minorHAnsi" w:eastAsiaTheme="minorEastAsia" w:hAnsiTheme="minorHAnsi" w:cstheme="minorBidi" w:hint="eastAsia"/>
          <w:noProof/>
          <w:szCs w:val="22"/>
          <w14:ligatures w14:val="standardContextual"/>
        </w:rPr>
      </w:pPr>
      <w:hyperlink w:anchor="_Toc184737089" w:history="1">
        <w:r w:rsidRPr="001914EF">
          <w:rPr>
            <w:rStyle w:val="afb"/>
            <w:rFonts w:hAnsi="宋体" w:hint="eastAsia"/>
            <w:noProof/>
          </w:rPr>
          <w:t>6标准实施措施说明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_Toc184737089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4341B843" w14:textId="2BD7BC12" w:rsidR="007832CF" w:rsidRDefault="00000000">
      <w:pPr>
        <w:pStyle w:val="aff1"/>
        <w:rPr>
          <w:rFonts w:hAnsi="宋体" w:hint="eastAsia"/>
          <w:szCs w:val="21"/>
        </w:rPr>
      </w:pPr>
      <w:r>
        <w:rPr>
          <w:rFonts w:hAnsi="宋体"/>
          <w:szCs w:val="21"/>
        </w:rPr>
        <w:fldChar w:fldCharType="end"/>
      </w:r>
    </w:p>
    <w:p w14:paraId="4B46C6AB" w14:textId="77777777" w:rsidR="007832CF" w:rsidRDefault="007832CF">
      <w:pPr>
        <w:pStyle w:val="aff1"/>
        <w:rPr>
          <w:rFonts w:hAnsi="宋体" w:hint="eastAsia"/>
          <w:szCs w:val="21"/>
        </w:rPr>
      </w:pPr>
    </w:p>
    <w:p w14:paraId="75407046" w14:textId="77777777" w:rsidR="007832CF" w:rsidRDefault="007832CF">
      <w:pPr>
        <w:pStyle w:val="aff1"/>
        <w:rPr>
          <w:rFonts w:hAnsi="宋体" w:hint="eastAsia"/>
          <w:szCs w:val="21"/>
        </w:rPr>
      </w:pPr>
    </w:p>
    <w:p w14:paraId="44202BAF" w14:textId="77777777" w:rsidR="007832CF" w:rsidRDefault="007832CF">
      <w:pPr>
        <w:pStyle w:val="aff1"/>
        <w:rPr>
          <w:rFonts w:hAnsi="宋体" w:hint="eastAsia"/>
          <w:szCs w:val="21"/>
        </w:rPr>
      </w:pPr>
    </w:p>
    <w:p w14:paraId="2138B4F7" w14:textId="77777777" w:rsidR="007832CF" w:rsidRDefault="007832CF">
      <w:pPr>
        <w:pStyle w:val="aff1"/>
        <w:rPr>
          <w:rFonts w:hAnsi="宋体" w:hint="eastAsia"/>
          <w:szCs w:val="21"/>
        </w:rPr>
        <w:sectPr w:rsidR="007832CF">
          <w:headerReference w:type="default" r:id="rId10"/>
          <w:footerReference w:type="default" r:id="rId11"/>
          <w:pgSz w:w="11906" w:h="16838"/>
          <w:pgMar w:top="567" w:right="1134" w:bottom="1134" w:left="1417" w:header="1418" w:footer="1134" w:gutter="0"/>
          <w:pgNumType w:start="28"/>
          <w:cols w:space="720"/>
          <w:formProt w:val="0"/>
          <w:docGrid w:type="lines" w:linePitch="312"/>
        </w:sectPr>
      </w:pPr>
    </w:p>
    <w:p w14:paraId="178319C9" w14:textId="77777777" w:rsidR="007832CF" w:rsidRDefault="00000000">
      <w:pPr>
        <w:pStyle w:val="14"/>
        <w:spacing w:beforeLines="50" w:before="156" w:afterLines="50" w:after="156"/>
        <w:rPr>
          <w:rFonts w:ascii="宋体" w:hAnsi="宋体" w:hint="eastAsia"/>
          <w:szCs w:val="21"/>
        </w:rPr>
      </w:pPr>
      <w:bookmarkStart w:id="26" w:name="_Toc184737084"/>
      <w:r>
        <w:rPr>
          <w:rFonts w:ascii="宋体" w:hAnsi="宋体" w:hint="eastAsia"/>
          <w:szCs w:val="21"/>
        </w:rPr>
        <w:lastRenderedPageBreak/>
        <w:t xml:space="preserve">1 </w:t>
      </w:r>
      <w:r>
        <w:rPr>
          <w:rFonts w:ascii="宋体" w:hAnsi="宋体" w:hint="eastAsia"/>
          <w:szCs w:val="21"/>
        </w:rPr>
        <w:t>编制背景</w:t>
      </w:r>
      <w:bookmarkEnd w:id="26"/>
    </w:p>
    <w:p w14:paraId="1B80F463" w14:textId="56F986C7" w:rsidR="007832CF" w:rsidRDefault="00000000" w:rsidP="008E64BB">
      <w:pPr>
        <w:pStyle w:val="aff1"/>
      </w:pPr>
      <w:r>
        <w:rPr>
          <w:rFonts w:hint="eastAsia"/>
        </w:rPr>
        <w:t>本标准是根据电机</w:t>
      </w:r>
      <w:proofErr w:type="gramStart"/>
      <w:r>
        <w:rPr>
          <w:rFonts w:hint="eastAsia"/>
        </w:rPr>
        <w:t>咨</w:t>
      </w:r>
      <w:proofErr w:type="gramEnd"/>
      <w:r>
        <w:rPr>
          <w:rFonts w:hint="eastAsia"/>
        </w:rPr>
        <w:t>[2024]331号文“中国电机工程学会关于印发‘中国电机工程学会 2024 年标准计划（第一批）’的通知”下达的制定任务，项目序号3</w:t>
      </w:r>
      <w:r w:rsidR="00855A7D">
        <w:rPr>
          <w:rFonts w:hint="eastAsia"/>
        </w:rPr>
        <w:t>2</w:t>
      </w:r>
      <w:r>
        <w:rPr>
          <w:rFonts w:hint="eastAsia"/>
        </w:rPr>
        <w:t>，对“</w:t>
      </w:r>
      <w:bookmarkStart w:id="27" w:name="_Hlk184735186"/>
      <w:r w:rsidR="008E64BB">
        <w:rPr>
          <w:rFonts w:hint="eastAsia"/>
        </w:rPr>
        <w:t>区域电网多时间尺度电力供需平衡分析技术导则</w:t>
      </w:r>
      <w:bookmarkEnd w:id="27"/>
      <w:r>
        <w:rPr>
          <w:rFonts w:hint="eastAsia"/>
        </w:rPr>
        <w:t>”标准进行制定的。</w:t>
      </w:r>
      <w:proofErr w:type="gramStart"/>
      <w:r>
        <w:rPr>
          <w:rFonts w:hint="eastAsia"/>
        </w:rPr>
        <w:t>由</w:t>
      </w:r>
      <w:bookmarkStart w:id="28" w:name="_Hlk184735164"/>
      <w:r w:rsidR="008E64BB">
        <w:rPr>
          <w:rFonts w:hint="eastAsia"/>
        </w:rPr>
        <w:t>国网江苏省</w:t>
      </w:r>
      <w:proofErr w:type="gramEnd"/>
      <w:r w:rsidR="008E64BB">
        <w:rPr>
          <w:rFonts w:hint="eastAsia"/>
        </w:rPr>
        <w:t>电力有限公司经济技术研究院</w:t>
      </w:r>
      <w:r w:rsidR="008E64BB">
        <w:rPr>
          <w:rFonts w:hint="eastAsia"/>
        </w:rPr>
        <w:t>、</w:t>
      </w:r>
      <w:r w:rsidR="008E64BB">
        <w:rPr>
          <w:rFonts w:hint="eastAsia"/>
        </w:rPr>
        <w:t>清华大学、清华四川能源互联网研究院、</w:t>
      </w:r>
      <w:proofErr w:type="gramStart"/>
      <w:r w:rsidR="008E64BB">
        <w:rPr>
          <w:rFonts w:hint="eastAsia"/>
        </w:rPr>
        <w:t>国网江苏省</w:t>
      </w:r>
      <w:proofErr w:type="gramEnd"/>
      <w:r w:rsidR="008E64BB">
        <w:rPr>
          <w:rFonts w:hint="eastAsia"/>
        </w:rPr>
        <w:t>电力有限公司、中国电力科学研究院有限公司南京分院、东南大学</w:t>
      </w:r>
      <w:bookmarkEnd w:id="28"/>
      <w:r>
        <w:rPr>
          <w:rFonts w:hint="eastAsia"/>
        </w:rPr>
        <w:t>负责起草。</w:t>
      </w:r>
    </w:p>
    <w:p w14:paraId="4ED54135" w14:textId="77777777" w:rsidR="00ED173C" w:rsidRDefault="00E62ECF">
      <w:pPr>
        <w:pStyle w:val="aff1"/>
      </w:pPr>
      <w:r w:rsidRPr="00E62ECF">
        <w:rPr>
          <w:rFonts w:hint="eastAsia"/>
        </w:rPr>
        <w:t>传统电力电量平衡分析是基于负荷预测信息，通过机组的发电安排，实现所有电源的可靠出力之和以</w:t>
      </w:r>
      <w:proofErr w:type="gramStart"/>
      <w:r w:rsidRPr="00E62ECF">
        <w:rPr>
          <w:rFonts w:hint="eastAsia"/>
        </w:rPr>
        <w:t>一定裕度超过</w:t>
      </w:r>
      <w:proofErr w:type="gramEnd"/>
      <w:r w:rsidRPr="00E62ECF">
        <w:rPr>
          <w:rFonts w:hint="eastAsia"/>
        </w:rPr>
        <w:t>负荷功率，同时可发电量之和大于负荷电量。传统电力电量平衡关心</w:t>
      </w:r>
      <w:proofErr w:type="gramStart"/>
      <w:r w:rsidRPr="00E62ECF">
        <w:rPr>
          <w:rFonts w:hint="eastAsia"/>
        </w:rPr>
        <w:t>逐时间</w:t>
      </w:r>
      <w:proofErr w:type="gramEnd"/>
      <w:r w:rsidRPr="00E62ECF">
        <w:rPr>
          <w:rFonts w:hint="eastAsia"/>
        </w:rPr>
        <w:t>断面的系统电力供给与负荷需求的确定性平衡。然而，在极高比例系统的新结构特点影响下，电力电量平衡将面临新挑战：</w:t>
      </w:r>
    </w:p>
    <w:p w14:paraId="5DD9AAA1" w14:textId="77777777" w:rsidR="00ED173C" w:rsidRDefault="00E62ECF">
      <w:pPr>
        <w:pStyle w:val="aff1"/>
      </w:pPr>
      <w:r w:rsidRPr="00E62ECF">
        <w:rPr>
          <w:rFonts w:hint="eastAsia"/>
        </w:rPr>
        <w:t>（1）电力电量平衡的机制从“源平衡荷”转变为“可调资源平衡调节需求”。对传统电力系统，通过电源调节功率输出单向跟踪负荷变化，保证系统电力电量平衡。而对极高比例系统，风/光电源出力的随机波动是电力电量平衡的主要扰动源，</w:t>
      </w:r>
      <w:proofErr w:type="gramStart"/>
      <w:r w:rsidRPr="00E62ECF">
        <w:rPr>
          <w:rFonts w:hint="eastAsia"/>
        </w:rPr>
        <w:t>负荷侧将有</w:t>
      </w:r>
      <w:proofErr w:type="gramEnd"/>
      <w:r w:rsidRPr="00E62ECF">
        <w:rPr>
          <w:rFonts w:hint="eastAsia"/>
        </w:rPr>
        <w:t>相当比例的可调负荷参与调节响应。在此情境下，按可调资源与调节需求的平衡来分析更加契合系统的物理特征。</w:t>
      </w:r>
    </w:p>
    <w:p w14:paraId="0BACB89E" w14:textId="77777777" w:rsidR="00ED173C" w:rsidRDefault="00E62ECF">
      <w:pPr>
        <w:pStyle w:val="aff1"/>
      </w:pPr>
      <w:r w:rsidRPr="00E62ECF">
        <w:rPr>
          <w:rFonts w:hint="eastAsia"/>
        </w:rPr>
        <w:t>（2）电力电量平衡的范围从“正净负荷象限”扩展至“负净负荷象限”。极高比例系统风/光发电的瞬时发电功率超过负荷，即净负荷为负值的工况，将常态化出现。以2060年全国电力容量规划数据为基础得到的年净负荷时序和持续曲线，全年近2000h净负荷将为负，风/光发电富余电量的消</w:t>
      </w:r>
      <w:proofErr w:type="gramStart"/>
      <w:r w:rsidRPr="00E62ECF">
        <w:rPr>
          <w:rFonts w:hint="eastAsia"/>
        </w:rPr>
        <w:t>纳问题</w:t>
      </w:r>
      <w:proofErr w:type="gramEnd"/>
      <w:r w:rsidRPr="00E62ECF">
        <w:rPr>
          <w:rFonts w:hint="eastAsia"/>
        </w:rPr>
        <w:t>突出；</w:t>
      </w:r>
      <w:proofErr w:type="gramStart"/>
      <w:r w:rsidRPr="00E62ECF">
        <w:rPr>
          <w:rFonts w:hint="eastAsia"/>
        </w:rPr>
        <w:t>全年负净负荷</w:t>
      </w:r>
      <w:proofErr w:type="gramEnd"/>
      <w:r w:rsidRPr="00E62ECF">
        <w:rPr>
          <w:rFonts w:hint="eastAsia"/>
        </w:rPr>
        <w:t>最大值可达负荷峰值的0.8p.u.，风/光发电高瞬时出力的平衡问题凸显。电力电量平衡需要兼顾可靠供电和风/光消纳的双重问题。</w:t>
      </w:r>
    </w:p>
    <w:p w14:paraId="56D585B6" w14:textId="77777777" w:rsidR="00ED173C" w:rsidRDefault="00E62ECF">
      <w:pPr>
        <w:pStyle w:val="aff1"/>
      </w:pPr>
      <w:r w:rsidRPr="00E62ECF">
        <w:rPr>
          <w:rFonts w:hint="eastAsia"/>
        </w:rPr>
        <w:t>（3）电力电量平衡的分析方法从“确定性平衡”方法发展至“概率性平衡”方法。对传统电力系统，由常规机组留取确定比例的备用容量能有效保障负荷供应。实际上，备用容量留取的比例隐含了系统供电可靠性的要求。但对极高比例系统，风/光发电出力的强不确定性导致确定性平衡准则无解或得到的解难以经济地实现，必须引入概率平衡分析方法。</w:t>
      </w:r>
    </w:p>
    <w:p w14:paraId="30EDF57A" w14:textId="77777777" w:rsidR="00ED173C" w:rsidRDefault="00E62ECF">
      <w:pPr>
        <w:pStyle w:val="aff1"/>
      </w:pPr>
      <w:r w:rsidRPr="00E62ECF">
        <w:rPr>
          <w:rFonts w:hint="eastAsia"/>
        </w:rPr>
        <w:t>（4）电力电量平衡的分析过程从“断面平衡”延拓为“时序平衡”。对传统电力系统，负荷波动的幅度整体较小，基本都在火电爬坡能力范围内，从而可忽略时序耦合特性。但对极高比例系统，风/光发电出力波动幅度剧烈，而各环节可调资源的调节能力时序耦合特征明显，前</w:t>
      </w:r>
      <w:proofErr w:type="gramStart"/>
      <w:r w:rsidRPr="00E62ECF">
        <w:rPr>
          <w:rFonts w:hint="eastAsia"/>
        </w:rPr>
        <w:t>序时刻</w:t>
      </w:r>
      <w:proofErr w:type="gramEnd"/>
      <w:r w:rsidRPr="00E62ECF">
        <w:rPr>
          <w:rFonts w:hint="eastAsia"/>
        </w:rPr>
        <w:t>的决策状态将会影响后续时刻的可调节范围，电力电量平衡分析必须保留时序耦合特性。</w:t>
      </w:r>
    </w:p>
    <w:p w14:paraId="549E5E89" w14:textId="7AB94737" w:rsidR="00F2013C" w:rsidRDefault="00E62ECF">
      <w:pPr>
        <w:pStyle w:val="aff1"/>
      </w:pPr>
      <w:r w:rsidRPr="00E62ECF">
        <w:rPr>
          <w:rFonts w:hint="eastAsia"/>
        </w:rPr>
        <w:t>（5）电力电量平衡的时间尺度从“各时间尺度相对独立”变化为“多时间尺度协调”。对传统电力系统，以煤炭为燃料的火电厂本身就是很好的基于能量块的长周期储能资源，长时间尺度的计划结果形成短时间尺度调度决策的电量边界。但是，对极高比例系统，火电容量少甚至没有，风光水等清洁能源均有一定的随机波动特性，以水电或其它专门类型的长周期储能在不同时间尺度的调节能力耦合，使得在长时间尺度的发电计划中也需要考虑短时间尺度的电力电量平衡性能，从而产生了多时间尺度的协调平衡问题。</w:t>
      </w:r>
    </w:p>
    <w:p w14:paraId="630337C8" w14:textId="4F6E8050" w:rsidR="007832CF" w:rsidRDefault="00E62ECF">
      <w:pPr>
        <w:pStyle w:val="aff1"/>
      </w:pPr>
      <w:r w:rsidRPr="00E62ECF">
        <w:rPr>
          <w:rFonts w:hint="eastAsia"/>
        </w:rPr>
        <w:t>鉴于此，本标准围绕高比例新能源场景下新型电力系统电力电量平衡问题，通过研究提出电网多时间尺度供需分析方法、供需平衡原则和供需</w:t>
      </w:r>
      <w:r w:rsidR="00663AB9">
        <w:rPr>
          <w:rFonts w:hint="eastAsia"/>
        </w:rPr>
        <w:t>分析</w:t>
      </w:r>
      <w:r w:rsidRPr="00E62ECF">
        <w:rPr>
          <w:rFonts w:hint="eastAsia"/>
        </w:rPr>
        <w:t>技术，从而形成电力系统多时间尺度供需平衡</w:t>
      </w:r>
      <w:r w:rsidR="00663AB9">
        <w:rPr>
          <w:rFonts w:hint="eastAsia"/>
        </w:rPr>
        <w:t>分析</w:t>
      </w:r>
      <w:r w:rsidRPr="00E62ECF">
        <w:rPr>
          <w:rFonts w:hint="eastAsia"/>
        </w:rPr>
        <w:t>技术原则，助力大规模新能源及多类型负荷接入的新型电力系统安全供电能力保障和经济高效运行。</w:t>
      </w:r>
    </w:p>
    <w:p w14:paraId="0D7FDBF6" w14:textId="77777777" w:rsidR="007832CF" w:rsidRDefault="00000000">
      <w:pPr>
        <w:pStyle w:val="14"/>
        <w:spacing w:before="312" w:after="312"/>
        <w:rPr>
          <w:rFonts w:ascii="宋体" w:hAnsi="宋体" w:hint="eastAsia"/>
          <w:szCs w:val="21"/>
        </w:rPr>
      </w:pPr>
      <w:bookmarkStart w:id="29" w:name="_Toc184737085"/>
      <w:r>
        <w:rPr>
          <w:rFonts w:ascii="宋体" w:hAnsi="宋体" w:hint="eastAsia"/>
          <w:szCs w:val="21"/>
        </w:rPr>
        <w:t xml:space="preserve">2 </w:t>
      </w:r>
      <w:r>
        <w:rPr>
          <w:rFonts w:ascii="宋体" w:hAnsi="宋体" w:hint="eastAsia"/>
          <w:szCs w:val="21"/>
        </w:rPr>
        <w:t>编制主要原则</w:t>
      </w:r>
      <w:bookmarkEnd w:id="29"/>
    </w:p>
    <w:p w14:paraId="7D2619D8" w14:textId="77777777" w:rsidR="007832CF" w:rsidRDefault="00000000">
      <w:pPr>
        <w:pStyle w:val="a6"/>
        <w:numPr>
          <w:ilvl w:val="0"/>
          <w:numId w:val="0"/>
        </w:numPr>
        <w:spacing w:beforeLines="50" w:before="156" w:afterLines="50" w:after="156"/>
      </w:pPr>
      <w:r>
        <w:rPr>
          <w:rFonts w:hint="eastAsia"/>
        </w:rPr>
        <w:t>2.1 规范性</w:t>
      </w:r>
    </w:p>
    <w:p w14:paraId="39BA7D7D" w14:textId="77777777" w:rsidR="007832CF" w:rsidRDefault="00000000">
      <w:pPr>
        <w:pStyle w:val="aff1"/>
      </w:pPr>
      <w:r>
        <w:rPr>
          <w:rFonts w:hint="eastAsia"/>
        </w:rPr>
        <w:lastRenderedPageBreak/>
        <w:t>编写遵循</w:t>
      </w:r>
      <w:r>
        <w:t>GB/T 1.1-2020</w:t>
      </w:r>
      <w:r>
        <w:rPr>
          <w:rFonts w:hint="eastAsia"/>
        </w:rPr>
        <w:t>和</w:t>
      </w:r>
      <w:r>
        <w:t>GB/T 1.2-2020</w:t>
      </w:r>
      <w:r>
        <w:rPr>
          <w:rFonts w:hint="eastAsia"/>
        </w:rPr>
        <w:t>等标准，确保标准的内容和结构符合规范要求。</w:t>
      </w:r>
    </w:p>
    <w:p w14:paraId="426CEE5D" w14:textId="77777777" w:rsidR="007832CF" w:rsidRDefault="00000000">
      <w:pPr>
        <w:pStyle w:val="a6"/>
        <w:numPr>
          <w:ilvl w:val="0"/>
          <w:numId w:val="0"/>
        </w:numPr>
        <w:spacing w:beforeLines="50" w:before="156" w:afterLines="50" w:after="156"/>
      </w:pPr>
      <w:r>
        <w:rPr>
          <w:rFonts w:hint="eastAsia"/>
        </w:rPr>
        <w:t>2.2 一致性</w:t>
      </w:r>
    </w:p>
    <w:p w14:paraId="68014A56" w14:textId="77777777" w:rsidR="007832CF" w:rsidRDefault="00000000" w:rsidP="00D93860">
      <w:pPr>
        <w:pStyle w:val="aff1"/>
      </w:pPr>
      <w:r>
        <w:rPr>
          <w:rFonts w:hint="eastAsia"/>
        </w:rPr>
        <w:t>标准文本内部各部分之间要保持一致，使用相同的用语和术语，避免同义词的使用，确保标准的一致性。</w:t>
      </w:r>
    </w:p>
    <w:p w14:paraId="148DBC4E" w14:textId="77777777" w:rsidR="007832CF" w:rsidRDefault="00000000">
      <w:pPr>
        <w:pStyle w:val="a6"/>
        <w:numPr>
          <w:ilvl w:val="0"/>
          <w:numId w:val="0"/>
        </w:numPr>
        <w:spacing w:beforeLines="50" w:before="156" w:afterLines="50" w:after="156"/>
      </w:pPr>
      <w:r>
        <w:rPr>
          <w:rFonts w:hint="eastAsia"/>
        </w:rPr>
        <w:t xml:space="preserve">2.3 </w:t>
      </w:r>
      <w:r>
        <w:t>开放性</w:t>
      </w:r>
    </w:p>
    <w:p w14:paraId="1C7DC7DE" w14:textId="77777777" w:rsidR="007832CF" w:rsidRDefault="00000000" w:rsidP="00D93860">
      <w:pPr>
        <w:pStyle w:val="aff1"/>
        <w:rPr>
          <w:rFonts w:eastAsia="等线"/>
        </w:rPr>
      </w:pPr>
      <w:r>
        <w:rPr>
          <w:rFonts w:hint="eastAsia"/>
        </w:rPr>
        <w:t>标准制定过程中要保证各相关方的有效参与，通过设立规则让各方充分讨论，解决技术内容分歧</w:t>
      </w:r>
      <w:r>
        <w:rPr>
          <w:rFonts w:ascii="等线" w:eastAsia="等线" w:hAnsi="等线" w:cs="MS Gothic" w:hint="eastAsia"/>
        </w:rPr>
        <w:t>。</w:t>
      </w:r>
    </w:p>
    <w:p w14:paraId="206946B9" w14:textId="77777777" w:rsidR="007832CF" w:rsidRDefault="00000000">
      <w:pPr>
        <w:pStyle w:val="a6"/>
        <w:numPr>
          <w:ilvl w:val="0"/>
          <w:numId w:val="0"/>
        </w:numPr>
        <w:spacing w:beforeLines="50" w:before="156" w:afterLines="50" w:after="156"/>
      </w:pPr>
      <w:r>
        <w:t>‌</w:t>
      </w:r>
      <w:r>
        <w:rPr>
          <w:rFonts w:hint="eastAsia"/>
        </w:rPr>
        <w:t xml:space="preserve">2.4 </w:t>
      </w:r>
      <w:r>
        <w:t>公正性和协商一致</w:t>
      </w:r>
    </w:p>
    <w:p w14:paraId="01CAEE18" w14:textId="77777777" w:rsidR="007832CF" w:rsidRDefault="00000000" w:rsidP="00D93860">
      <w:pPr>
        <w:pStyle w:val="aff1"/>
      </w:pPr>
      <w:r>
        <w:rPr>
          <w:rFonts w:hint="eastAsia"/>
        </w:rPr>
        <w:t>参编单位</w:t>
      </w:r>
      <w:r>
        <w:t>通过协商一致的方式达成普遍同意</w:t>
      </w:r>
      <w:r>
        <w:rPr>
          <w:rFonts w:hint="eastAsia"/>
        </w:rPr>
        <w:t>。</w:t>
      </w:r>
    </w:p>
    <w:p w14:paraId="611CBBC0" w14:textId="77777777" w:rsidR="007832CF" w:rsidRDefault="00000000">
      <w:pPr>
        <w:pStyle w:val="a6"/>
        <w:numPr>
          <w:ilvl w:val="0"/>
          <w:numId w:val="0"/>
        </w:numPr>
        <w:spacing w:beforeLines="50" w:before="156" w:afterLines="50" w:after="156"/>
      </w:pPr>
      <w:r>
        <w:rPr>
          <w:rFonts w:hint="eastAsia"/>
        </w:rPr>
        <w:t>2.5 协调性</w:t>
      </w:r>
    </w:p>
    <w:p w14:paraId="265B94F6" w14:textId="77777777" w:rsidR="007832CF" w:rsidRDefault="00000000" w:rsidP="00D93860">
      <w:pPr>
        <w:pStyle w:val="aff1"/>
      </w:pPr>
      <w:r>
        <w:rPr>
          <w:rFonts w:hAnsi="宋体" w:cs="宋体" w:hint="eastAsia"/>
        </w:rPr>
        <w:t>标准与现行</w:t>
      </w:r>
      <w:r w:rsidRPr="00D93860">
        <w:rPr>
          <w:rFonts w:hint="eastAsia"/>
        </w:rPr>
        <w:t>有效</w:t>
      </w:r>
      <w:r>
        <w:rPr>
          <w:rFonts w:hAnsi="宋体" w:cs="宋体" w:hint="eastAsia"/>
        </w:rPr>
        <w:t>的文件相互协调，避免重复和不必要的差异，遵守基础标准和通用标准的规定</w:t>
      </w:r>
      <w:r>
        <w:rPr>
          <w:rFonts w:ascii="等线" w:eastAsia="等线" w:hAnsi="等线" w:cs="MS Gothic" w:hint="eastAsia"/>
        </w:rPr>
        <w:t>。</w:t>
      </w:r>
    </w:p>
    <w:p w14:paraId="226E748A" w14:textId="77777777" w:rsidR="007832CF" w:rsidRDefault="00000000">
      <w:pPr>
        <w:pStyle w:val="14"/>
        <w:spacing w:before="312" w:after="312"/>
        <w:rPr>
          <w:rFonts w:ascii="宋体" w:hAnsi="宋体" w:hint="eastAsia"/>
          <w:szCs w:val="21"/>
        </w:rPr>
      </w:pPr>
      <w:bookmarkStart w:id="30" w:name="_Toc184737086"/>
      <w:r>
        <w:rPr>
          <w:rFonts w:ascii="宋体" w:hAnsi="宋体" w:hint="eastAsia"/>
          <w:szCs w:val="21"/>
        </w:rPr>
        <w:t xml:space="preserve">3 </w:t>
      </w:r>
      <w:r>
        <w:rPr>
          <w:rFonts w:ascii="宋体" w:hAnsi="宋体" w:hint="eastAsia"/>
          <w:szCs w:val="21"/>
        </w:rPr>
        <w:t>主要工作过程</w:t>
      </w:r>
      <w:bookmarkEnd w:id="30"/>
    </w:p>
    <w:p w14:paraId="02799D71" w14:textId="77777777" w:rsidR="007832CF" w:rsidRDefault="00000000" w:rsidP="00D93860">
      <w:pPr>
        <w:pStyle w:val="aff1"/>
      </w:pPr>
      <w:r>
        <w:rPr>
          <w:rFonts w:hint="eastAsia"/>
        </w:rPr>
        <w:t>2024年7月，</w:t>
      </w:r>
      <w:r>
        <w:rPr>
          <w:rFonts w:ascii="Times New Roman" w:hint="eastAsia"/>
        </w:rPr>
        <w:t>中国电机工程学会下达标准立项通知，工作组完成项目任务书编写</w:t>
      </w:r>
      <w:r>
        <w:rPr>
          <w:rFonts w:hint="eastAsia"/>
        </w:rPr>
        <w:t>。</w:t>
      </w:r>
    </w:p>
    <w:p w14:paraId="0E999A39" w14:textId="30A86B6F" w:rsidR="007832CF" w:rsidRDefault="00000000">
      <w:pPr>
        <w:ind w:firstLineChars="200" w:firstLine="420"/>
        <w:rPr>
          <w:rFonts w:ascii="宋体" w:hAnsi="Times New Roman"/>
          <w:kern w:val="0"/>
          <w:szCs w:val="20"/>
        </w:rPr>
      </w:pPr>
      <w:r>
        <w:rPr>
          <w:rFonts w:ascii="宋体" w:hAnsi="Times New Roman" w:hint="eastAsia"/>
          <w:kern w:val="0"/>
          <w:szCs w:val="20"/>
        </w:rPr>
        <w:t>2024年8月，</w:t>
      </w:r>
      <w:proofErr w:type="gramStart"/>
      <w:r w:rsidR="00ED173C">
        <w:rPr>
          <w:rFonts w:hint="eastAsia"/>
        </w:rPr>
        <w:t>国网江苏省</w:t>
      </w:r>
      <w:proofErr w:type="gramEnd"/>
      <w:r w:rsidR="00ED173C">
        <w:rPr>
          <w:rFonts w:hint="eastAsia"/>
        </w:rPr>
        <w:t>电力有限公司经济技术研究院</w:t>
      </w:r>
      <w:r>
        <w:rPr>
          <w:rFonts w:ascii="宋体" w:hAnsi="Times New Roman" w:hint="eastAsia"/>
          <w:kern w:val="0"/>
          <w:szCs w:val="20"/>
        </w:rPr>
        <w:t>牵头</w:t>
      </w:r>
      <w:r>
        <w:rPr>
          <w:rFonts w:hint="eastAsia"/>
        </w:rPr>
        <w:t>成立了</w:t>
      </w:r>
      <w:r>
        <w:rPr>
          <w:rFonts w:ascii="宋体" w:hAnsi="Times New Roman" w:hint="eastAsia"/>
          <w:kern w:val="0"/>
          <w:szCs w:val="20"/>
        </w:rPr>
        <w:t>标准编写工作组，组织各参与单位召开了《</w:t>
      </w:r>
      <w:r w:rsidR="008B6E1A">
        <w:rPr>
          <w:rFonts w:hint="eastAsia"/>
        </w:rPr>
        <w:t>区域电网多时间尺度电力供需平衡分析技术导则</w:t>
      </w:r>
      <w:r>
        <w:rPr>
          <w:rFonts w:ascii="宋体" w:hAnsi="Times New Roman" w:hint="eastAsia"/>
          <w:kern w:val="0"/>
          <w:szCs w:val="20"/>
        </w:rPr>
        <w:t>》标准编制启动会议，讨论确定了标准编制思路和工作计划。</w:t>
      </w:r>
    </w:p>
    <w:p w14:paraId="35BE2998" w14:textId="63988852" w:rsidR="007832CF" w:rsidRDefault="00000000">
      <w:pPr>
        <w:ind w:firstLineChars="200" w:firstLine="420"/>
        <w:rPr>
          <w:rFonts w:ascii="宋体" w:hAnsi="Times New Roman"/>
          <w:kern w:val="0"/>
          <w:szCs w:val="20"/>
        </w:rPr>
      </w:pPr>
      <w:r>
        <w:rPr>
          <w:rFonts w:ascii="宋体" w:hAnsi="Times New Roman" w:hint="eastAsia"/>
          <w:kern w:val="0"/>
          <w:szCs w:val="20"/>
        </w:rPr>
        <w:t>2024年9月，工作组结合立项评审专家建议，开展广泛调查研究，基于</w:t>
      </w:r>
      <w:r w:rsidR="00E9607F" w:rsidRPr="00E9607F">
        <w:rPr>
          <w:rFonts w:ascii="宋体" w:hAnsi="Times New Roman" w:hint="eastAsia"/>
          <w:kern w:val="0"/>
          <w:szCs w:val="20"/>
        </w:rPr>
        <w:t>区域电网多时间尺度电力供需平衡分析</w:t>
      </w:r>
      <w:r>
        <w:rPr>
          <w:rFonts w:ascii="宋体" w:hAnsi="Times New Roman" w:hint="eastAsia"/>
          <w:kern w:val="0"/>
          <w:szCs w:val="20"/>
        </w:rPr>
        <w:t>实际需求和各</w:t>
      </w:r>
      <w:r w:rsidR="00E9607F">
        <w:rPr>
          <w:rFonts w:ascii="宋体" w:hAnsi="Times New Roman" w:hint="eastAsia"/>
          <w:kern w:val="0"/>
          <w:szCs w:val="20"/>
        </w:rPr>
        <w:t>区域电网</w:t>
      </w:r>
      <w:r>
        <w:rPr>
          <w:rFonts w:ascii="宋体" w:hAnsi="Times New Roman" w:hint="eastAsia"/>
          <w:kern w:val="0"/>
          <w:szCs w:val="20"/>
        </w:rPr>
        <w:t>应用经验，全面开展标准草案的修改完善工作，形成了标准初稿。</w:t>
      </w:r>
    </w:p>
    <w:p w14:paraId="5B4E6F21" w14:textId="77777777" w:rsidR="007832CF" w:rsidRDefault="00000000">
      <w:pPr>
        <w:ind w:firstLineChars="200" w:firstLine="420"/>
        <w:rPr>
          <w:rFonts w:ascii="宋体" w:hAnsi="Times New Roman"/>
          <w:kern w:val="0"/>
          <w:szCs w:val="20"/>
        </w:rPr>
      </w:pPr>
      <w:r>
        <w:rPr>
          <w:rFonts w:ascii="宋体" w:hAnsi="Times New Roman" w:hint="eastAsia"/>
          <w:kern w:val="0"/>
          <w:szCs w:val="20"/>
        </w:rPr>
        <w:t>2024年10月，工作组对标准初稿进行了内部审查，并按照审查意见修改，形成标准征求意见稿</w:t>
      </w:r>
      <w:bookmarkStart w:id="31" w:name="sys8035531"/>
      <w:r>
        <w:rPr>
          <w:rFonts w:ascii="宋体" w:hAnsi="Times New Roman" w:hint="eastAsia"/>
          <w:kern w:val="0"/>
          <w:szCs w:val="20"/>
        </w:rPr>
        <w:t>初稿。</w:t>
      </w:r>
      <w:bookmarkEnd w:id="31"/>
    </w:p>
    <w:p w14:paraId="6B0A26B1" w14:textId="7AFE9378" w:rsidR="007832CF" w:rsidRDefault="00000000">
      <w:pPr>
        <w:ind w:firstLineChars="200" w:firstLine="420"/>
        <w:rPr>
          <w:rFonts w:ascii="宋体" w:hAnsi="Times New Roman"/>
          <w:kern w:val="0"/>
          <w:szCs w:val="20"/>
        </w:rPr>
      </w:pPr>
      <w:r>
        <w:rPr>
          <w:rFonts w:ascii="宋体" w:hAnsi="Times New Roman" w:hint="eastAsia"/>
          <w:kern w:val="0"/>
          <w:szCs w:val="20"/>
        </w:rPr>
        <w:t>2024年1</w:t>
      </w:r>
      <w:r w:rsidR="00E9607F">
        <w:rPr>
          <w:rFonts w:ascii="宋体" w:hAnsi="Times New Roman" w:hint="eastAsia"/>
          <w:kern w:val="0"/>
          <w:szCs w:val="20"/>
        </w:rPr>
        <w:t>2</w:t>
      </w:r>
      <w:r>
        <w:rPr>
          <w:rFonts w:ascii="宋体" w:hAnsi="Times New Roman" w:hint="eastAsia"/>
          <w:kern w:val="0"/>
          <w:szCs w:val="20"/>
        </w:rPr>
        <w:t>月，经过编制小组和外部相关专家的反复论证和修改，向中国电机工程学会提交了标准征求意见稿，并向相关单位广泛征求意见。</w:t>
      </w:r>
    </w:p>
    <w:p w14:paraId="7F7B4F1B" w14:textId="77777777" w:rsidR="007832CF" w:rsidRDefault="00000000">
      <w:pPr>
        <w:pStyle w:val="14"/>
        <w:spacing w:before="312" w:after="312"/>
        <w:rPr>
          <w:rFonts w:ascii="宋体" w:hAnsi="宋体" w:hint="eastAsia"/>
          <w:szCs w:val="21"/>
        </w:rPr>
      </w:pPr>
      <w:bookmarkStart w:id="32" w:name="_Toc184737087"/>
      <w:r>
        <w:rPr>
          <w:rFonts w:ascii="宋体" w:hAnsi="宋体" w:hint="eastAsia"/>
          <w:szCs w:val="21"/>
        </w:rPr>
        <w:t xml:space="preserve">4 </w:t>
      </w:r>
      <w:r>
        <w:rPr>
          <w:rFonts w:ascii="宋体" w:hAnsi="宋体" w:hint="eastAsia"/>
          <w:szCs w:val="21"/>
        </w:rPr>
        <w:t>标准结构和内容说明</w:t>
      </w:r>
      <w:bookmarkEnd w:id="32"/>
    </w:p>
    <w:p w14:paraId="73BC707E" w14:textId="12F347C9" w:rsidR="00676940" w:rsidRDefault="00000000" w:rsidP="00676940">
      <w:pPr>
        <w:pStyle w:val="aff1"/>
      </w:pPr>
      <w:r>
        <w:rPr>
          <w:rFonts w:hint="eastAsia"/>
        </w:rPr>
        <w:t>本文件规定了</w:t>
      </w:r>
      <w:r w:rsidR="00E9607F">
        <w:rPr>
          <w:rFonts w:hint="eastAsia"/>
        </w:rPr>
        <w:t>区域电网多时间尺度电力供需平衡分析</w:t>
      </w:r>
      <w:r>
        <w:rPr>
          <w:rFonts w:hint="eastAsia"/>
        </w:rPr>
        <w:t>的总体要求、</w:t>
      </w:r>
      <w:proofErr w:type="gramStart"/>
      <w:r w:rsidR="00676940" w:rsidRPr="00676940">
        <w:rPr>
          <w:rFonts w:hint="eastAsia"/>
        </w:rPr>
        <w:t>源荷特性</w:t>
      </w:r>
      <w:proofErr w:type="gramEnd"/>
      <w:r w:rsidR="00676940" w:rsidRPr="00676940">
        <w:rPr>
          <w:rFonts w:hint="eastAsia"/>
        </w:rPr>
        <w:t>预测和场景生成</w:t>
      </w:r>
      <w:r w:rsidR="00676940">
        <w:rPr>
          <w:rFonts w:hint="eastAsia"/>
        </w:rPr>
        <w:t>、</w:t>
      </w:r>
      <w:r w:rsidR="00676940">
        <w:rPr>
          <w:rFonts w:hint="eastAsia"/>
        </w:rPr>
        <w:t>生产运行模拟</w:t>
      </w:r>
      <w:r w:rsidR="00676940">
        <w:rPr>
          <w:rFonts w:hint="eastAsia"/>
        </w:rPr>
        <w:t>、</w:t>
      </w:r>
      <w:r w:rsidR="00676940">
        <w:rPr>
          <w:rFonts w:hint="eastAsia"/>
        </w:rPr>
        <w:t>供需平衡规划</w:t>
      </w:r>
      <w:r w:rsidR="00676940">
        <w:rPr>
          <w:rFonts w:hint="eastAsia"/>
        </w:rPr>
        <w:t>、</w:t>
      </w:r>
      <w:r w:rsidR="00676940">
        <w:rPr>
          <w:rFonts w:hint="eastAsia"/>
        </w:rPr>
        <w:t>规划方案验证</w:t>
      </w:r>
      <w:r w:rsidR="00676940">
        <w:rPr>
          <w:rFonts w:hint="eastAsia"/>
        </w:rPr>
        <w:t>和</w:t>
      </w:r>
      <w:r w:rsidR="00676940">
        <w:rPr>
          <w:rFonts w:hint="eastAsia"/>
        </w:rPr>
        <w:t>技术经济分析</w:t>
      </w:r>
      <w:r w:rsidR="00676940">
        <w:rPr>
          <w:rFonts w:hint="eastAsia"/>
        </w:rPr>
        <w:t>。</w:t>
      </w:r>
    </w:p>
    <w:p w14:paraId="08813AFB" w14:textId="64A6D85D" w:rsidR="007832CF" w:rsidRDefault="00000000">
      <w:pPr>
        <w:pStyle w:val="aff1"/>
      </w:pPr>
      <w:r>
        <w:rPr>
          <w:rFonts w:hint="eastAsia"/>
        </w:rPr>
        <w:t>本文件适用于</w:t>
      </w:r>
      <w:r w:rsidR="00607828" w:rsidRPr="00607828">
        <w:rPr>
          <w:rFonts w:hint="eastAsia"/>
        </w:rPr>
        <w:t>国家电网有限公司经营区域内独立开展电力电量平衡的省级或者区域电网多时间尺度电力供需规划工作</w:t>
      </w:r>
      <w:r>
        <w:rPr>
          <w:rFonts w:hint="eastAsia"/>
        </w:rPr>
        <w:t>。</w:t>
      </w:r>
    </w:p>
    <w:p w14:paraId="60C06548" w14:textId="77777777" w:rsidR="007832CF" w:rsidRDefault="00000000">
      <w:pPr>
        <w:pStyle w:val="aff1"/>
      </w:pPr>
      <w:r>
        <w:rPr>
          <w:rFonts w:hint="eastAsia"/>
        </w:rPr>
        <w:t>标准的主要结构和内容如下：</w:t>
      </w:r>
    </w:p>
    <w:p w14:paraId="4FFA5A8A" w14:textId="77777777" w:rsidR="007832CF" w:rsidRDefault="00000000">
      <w:pPr>
        <w:pStyle w:val="Style134"/>
        <w:ind w:firstLineChars="0"/>
        <w:rPr>
          <w:rFonts w:ascii="Times New Roman" w:hAnsi="Times New Roman"/>
        </w:rPr>
      </w:pPr>
      <w:r>
        <w:rPr>
          <w:rFonts w:ascii="Times New Roman" w:hAnsi="Times New Roman" w:hint="eastAsia"/>
        </w:rPr>
        <w:t>1</w:t>
      </w:r>
      <w:r>
        <w:rPr>
          <w:rFonts w:ascii="Times New Roman" w:hAnsi="Times New Roman" w:hint="eastAsia"/>
        </w:rPr>
        <w:t>）范围</w:t>
      </w:r>
      <w:bookmarkStart w:id="33" w:name="pindex806"/>
      <w:bookmarkEnd w:id="33"/>
    </w:p>
    <w:p w14:paraId="527042BD" w14:textId="77777777" w:rsidR="007832CF" w:rsidRDefault="00000000">
      <w:pPr>
        <w:pStyle w:val="Style134"/>
        <w:ind w:firstLineChars="0"/>
        <w:rPr>
          <w:rFonts w:ascii="Times New Roman" w:hAnsi="Times New Roman"/>
        </w:rPr>
      </w:pPr>
      <w:r>
        <w:rPr>
          <w:rFonts w:ascii="Times New Roman" w:hAnsi="Times New Roman" w:hint="eastAsia"/>
        </w:rPr>
        <w:t>2</w:t>
      </w:r>
      <w:r>
        <w:rPr>
          <w:rFonts w:ascii="Times New Roman" w:hAnsi="Times New Roman" w:hint="eastAsia"/>
        </w:rPr>
        <w:t>）规范性引用文件</w:t>
      </w:r>
      <w:bookmarkStart w:id="34" w:name="pindex807"/>
      <w:bookmarkEnd w:id="34"/>
    </w:p>
    <w:p w14:paraId="37BD2800" w14:textId="77777777" w:rsidR="007832CF" w:rsidRDefault="00000000">
      <w:pPr>
        <w:pStyle w:val="Style134"/>
        <w:ind w:firstLineChars="0"/>
        <w:rPr>
          <w:rFonts w:ascii="Times New Roman" w:hAnsi="Times New Roman"/>
        </w:rPr>
      </w:pPr>
      <w:r>
        <w:rPr>
          <w:rFonts w:ascii="Times New Roman" w:hAnsi="Times New Roman" w:hint="eastAsia"/>
        </w:rPr>
        <w:t>3</w:t>
      </w:r>
      <w:r>
        <w:rPr>
          <w:rFonts w:ascii="Times New Roman" w:hAnsi="Times New Roman" w:hint="eastAsia"/>
        </w:rPr>
        <w:t>）术语和定义</w:t>
      </w:r>
      <w:bookmarkStart w:id="35" w:name="pindex808"/>
      <w:bookmarkEnd w:id="35"/>
    </w:p>
    <w:p w14:paraId="6EB44B95" w14:textId="34C1516F" w:rsidR="007832CF" w:rsidRDefault="00000000">
      <w:pPr>
        <w:pStyle w:val="Style134"/>
        <w:ind w:firstLineChars="0"/>
        <w:rPr>
          <w:rFonts w:ascii="Times New Roman" w:hAnsi="Times New Roman"/>
        </w:rPr>
      </w:pPr>
      <w:r>
        <w:rPr>
          <w:rFonts w:ascii="Times New Roman" w:hAnsi="Times New Roman" w:hint="eastAsia"/>
        </w:rPr>
        <w:t>4</w:t>
      </w:r>
      <w:r>
        <w:rPr>
          <w:rFonts w:ascii="Times New Roman" w:hAnsi="Times New Roman" w:hint="eastAsia"/>
        </w:rPr>
        <w:t>）</w:t>
      </w:r>
      <w:bookmarkStart w:id="36" w:name="pindex809"/>
      <w:bookmarkEnd w:id="36"/>
      <w:r w:rsidR="0051052B">
        <w:rPr>
          <w:rFonts w:ascii="Times New Roman" w:hAnsi="Times New Roman" w:hint="eastAsia"/>
        </w:rPr>
        <w:t>总则</w:t>
      </w:r>
    </w:p>
    <w:p w14:paraId="77BB7210" w14:textId="59CEE4B5" w:rsidR="0051052B" w:rsidRPr="0051052B" w:rsidRDefault="0051052B" w:rsidP="0051052B">
      <w:pPr>
        <w:pStyle w:val="Style134"/>
        <w:ind w:firstLineChars="0"/>
        <w:rPr>
          <w:rFonts w:ascii="Times New Roman" w:hAnsi="Times New Roman" w:hint="eastAsia"/>
        </w:rPr>
      </w:pPr>
      <w:r>
        <w:rPr>
          <w:rFonts w:ascii="Times New Roman" w:hAnsi="Times New Roman" w:hint="eastAsia"/>
        </w:rPr>
        <w:t>5</w:t>
      </w:r>
      <w:r>
        <w:rPr>
          <w:rFonts w:ascii="Times New Roman" w:hAnsi="Times New Roman" w:hint="eastAsia"/>
        </w:rPr>
        <w:t>）</w:t>
      </w:r>
      <w:r w:rsidRPr="0051052B">
        <w:rPr>
          <w:rFonts w:ascii="Times New Roman" w:hAnsi="Times New Roman" w:hint="eastAsia"/>
        </w:rPr>
        <w:t>规划</w:t>
      </w:r>
      <w:proofErr w:type="gramStart"/>
      <w:r w:rsidRPr="0051052B">
        <w:rPr>
          <w:rFonts w:ascii="Times New Roman" w:hAnsi="Times New Roman" w:hint="eastAsia"/>
        </w:rPr>
        <w:t>尺度源荷特性</w:t>
      </w:r>
      <w:proofErr w:type="gramEnd"/>
      <w:r w:rsidRPr="0051052B">
        <w:rPr>
          <w:rFonts w:ascii="Times New Roman" w:hAnsi="Times New Roman" w:hint="eastAsia"/>
        </w:rPr>
        <w:t>预测和场景生成</w:t>
      </w:r>
    </w:p>
    <w:p w14:paraId="6D13D4F5" w14:textId="287981BF" w:rsidR="0051052B" w:rsidRPr="0051052B" w:rsidRDefault="0051052B" w:rsidP="0051052B">
      <w:pPr>
        <w:pStyle w:val="Style134"/>
        <w:ind w:firstLineChars="0"/>
        <w:rPr>
          <w:rFonts w:ascii="Times New Roman" w:hAnsi="Times New Roman" w:hint="eastAsia"/>
        </w:rPr>
      </w:pPr>
      <w:r>
        <w:rPr>
          <w:rFonts w:ascii="Times New Roman" w:hAnsi="Times New Roman" w:hint="eastAsia"/>
        </w:rPr>
        <w:lastRenderedPageBreak/>
        <w:t>6</w:t>
      </w:r>
      <w:r>
        <w:rPr>
          <w:rFonts w:ascii="Times New Roman" w:hAnsi="Times New Roman" w:hint="eastAsia"/>
        </w:rPr>
        <w:t>）</w:t>
      </w:r>
      <w:r w:rsidRPr="0051052B">
        <w:rPr>
          <w:rFonts w:ascii="Times New Roman" w:hAnsi="Times New Roman" w:hint="eastAsia"/>
        </w:rPr>
        <w:t>电网时序生产运行模拟模型构建原则</w:t>
      </w:r>
    </w:p>
    <w:p w14:paraId="2CDDB2AA" w14:textId="734393C3" w:rsidR="0051052B" w:rsidRPr="0051052B" w:rsidRDefault="0051052B" w:rsidP="0051052B">
      <w:pPr>
        <w:pStyle w:val="Style134"/>
        <w:ind w:firstLineChars="0"/>
        <w:rPr>
          <w:rFonts w:ascii="Times New Roman" w:hAnsi="Times New Roman" w:hint="eastAsia"/>
        </w:rPr>
      </w:pPr>
      <w:r>
        <w:rPr>
          <w:rFonts w:ascii="Times New Roman" w:hAnsi="Times New Roman" w:hint="eastAsia"/>
        </w:rPr>
        <w:t>7</w:t>
      </w:r>
      <w:r>
        <w:rPr>
          <w:rFonts w:ascii="Times New Roman" w:hAnsi="Times New Roman" w:hint="eastAsia"/>
        </w:rPr>
        <w:t>）</w:t>
      </w:r>
      <w:r w:rsidRPr="0051052B">
        <w:rPr>
          <w:rFonts w:ascii="Times New Roman" w:hAnsi="Times New Roman" w:hint="eastAsia"/>
        </w:rPr>
        <w:t>基于典型场景的供需</w:t>
      </w:r>
      <w:proofErr w:type="gramStart"/>
      <w:r w:rsidRPr="0051052B">
        <w:rPr>
          <w:rFonts w:ascii="Times New Roman" w:hAnsi="Times New Roman" w:hint="eastAsia"/>
        </w:rPr>
        <w:t>平衡规划</w:t>
      </w:r>
      <w:proofErr w:type="gramEnd"/>
      <w:r w:rsidRPr="0051052B">
        <w:rPr>
          <w:rFonts w:ascii="Times New Roman" w:hAnsi="Times New Roman" w:hint="eastAsia"/>
        </w:rPr>
        <w:t>原则</w:t>
      </w:r>
    </w:p>
    <w:p w14:paraId="501C00BE" w14:textId="68DA3BF8" w:rsidR="0051052B" w:rsidRPr="0051052B" w:rsidRDefault="0051052B" w:rsidP="0051052B">
      <w:pPr>
        <w:pStyle w:val="Style134"/>
        <w:ind w:firstLineChars="0"/>
        <w:rPr>
          <w:rFonts w:ascii="Times New Roman" w:hAnsi="Times New Roman" w:hint="eastAsia"/>
        </w:rPr>
      </w:pPr>
      <w:r>
        <w:rPr>
          <w:rFonts w:ascii="Times New Roman" w:hAnsi="Times New Roman" w:hint="eastAsia"/>
        </w:rPr>
        <w:t>8</w:t>
      </w:r>
      <w:r>
        <w:rPr>
          <w:rFonts w:ascii="Times New Roman" w:hAnsi="Times New Roman" w:hint="eastAsia"/>
        </w:rPr>
        <w:t>）</w:t>
      </w:r>
      <w:r w:rsidRPr="0051052B">
        <w:rPr>
          <w:rFonts w:ascii="Times New Roman" w:hAnsi="Times New Roman" w:hint="eastAsia"/>
        </w:rPr>
        <w:t>考虑极端场景的规划方案验证</w:t>
      </w:r>
    </w:p>
    <w:p w14:paraId="21023D87" w14:textId="34A27E1E" w:rsidR="007832CF" w:rsidRPr="0051052B" w:rsidRDefault="0051052B" w:rsidP="0051052B">
      <w:pPr>
        <w:pStyle w:val="Style134"/>
        <w:ind w:firstLineChars="0"/>
        <w:rPr>
          <w:rFonts w:ascii="Times New Roman" w:hAnsi="Times New Roman" w:hint="eastAsia"/>
        </w:rPr>
      </w:pPr>
      <w:r>
        <w:rPr>
          <w:rFonts w:ascii="Times New Roman" w:hAnsi="Times New Roman" w:hint="eastAsia"/>
        </w:rPr>
        <w:t>9</w:t>
      </w:r>
      <w:r>
        <w:rPr>
          <w:rFonts w:ascii="Times New Roman" w:hAnsi="Times New Roman" w:hint="eastAsia"/>
        </w:rPr>
        <w:t>）</w:t>
      </w:r>
      <w:r w:rsidRPr="0051052B">
        <w:rPr>
          <w:rFonts w:ascii="Times New Roman" w:hAnsi="Times New Roman" w:hint="eastAsia"/>
        </w:rPr>
        <w:t>技术经济分析</w:t>
      </w:r>
    </w:p>
    <w:p w14:paraId="6DFF1E09" w14:textId="77777777" w:rsidR="007832CF" w:rsidRDefault="00000000">
      <w:pPr>
        <w:pStyle w:val="14"/>
        <w:spacing w:before="312" w:after="312"/>
      </w:pPr>
      <w:bookmarkStart w:id="37" w:name="_Toc184737088"/>
      <w:r>
        <w:rPr>
          <w:rFonts w:ascii="宋体" w:hAnsi="宋体" w:hint="eastAsia"/>
          <w:szCs w:val="21"/>
        </w:rPr>
        <w:t>5</w:t>
      </w:r>
      <w:r>
        <w:rPr>
          <w:rFonts w:ascii="宋体" w:hAnsi="宋体" w:hint="eastAsia"/>
          <w:szCs w:val="21"/>
        </w:rPr>
        <w:t>相关</w:t>
      </w:r>
      <w:r>
        <w:rPr>
          <w:rFonts w:hint="eastAsia"/>
        </w:rPr>
        <w:t>标准对比说明</w:t>
      </w:r>
      <w:bookmarkEnd w:id="37"/>
    </w:p>
    <w:p w14:paraId="6EF07A26" w14:textId="16D40EF2" w:rsidR="00EE52F8" w:rsidRDefault="00EE52F8" w:rsidP="00EE52F8">
      <w:pPr>
        <w:pStyle w:val="aff1"/>
        <w:rPr>
          <w:rFonts w:hint="eastAsia"/>
        </w:rPr>
      </w:pPr>
      <w:r>
        <w:rPr>
          <w:rFonts w:hint="eastAsia"/>
        </w:rPr>
        <w:t>本标准（或本部分或本指导性技术文件）相关的国标有：</w:t>
      </w:r>
      <w:r w:rsidR="00CE04D1">
        <w:rPr>
          <w:rFonts w:hint="eastAsia"/>
        </w:rPr>
        <w:t>《</w:t>
      </w:r>
      <w:r>
        <w:rPr>
          <w:rFonts w:hint="eastAsia"/>
        </w:rPr>
        <w:t>GB 38755-2019 电力系统安全稳定导则</w:t>
      </w:r>
      <w:r w:rsidR="00CE04D1">
        <w:rPr>
          <w:rFonts w:hint="eastAsia"/>
        </w:rPr>
        <w:t>》</w:t>
      </w:r>
      <w:r>
        <w:rPr>
          <w:rFonts w:hint="eastAsia"/>
        </w:rPr>
        <w:t>、</w:t>
      </w:r>
      <w:r w:rsidR="00CE04D1">
        <w:rPr>
          <w:rFonts w:hint="eastAsia"/>
        </w:rPr>
        <w:t>《</w:t>
      </w:r>
      <w:r>
        <w:rPr>
          <w:rFonts w:hint="eastAsia"/>
        </w:rPr>
        <w:t>GBT 38969-2020电力系统技术导则</w:t>
      </w:r>
      <w:r w:rsidR="00CE04D1">
        <w:rPr>
          <w:rFonts w:hint="eastAsia"/>
        </w:rPr>
        <w:t>》</w:t>
      </w:r>
      <w:r>
        <w:rPr>
          <w:rFonts w:hint="eastAsia"/>
        </w:rPr>
        <w:t>、</w:t>
      </w:r>
      <w:r w:rsidR="00CE04D1">
        <w:rPr>
          <w:rFonts w:hint="eastAsia"/>
        </w:rPr>
        <w:t>《</w:t>
      </w:r>
      <w:r>
        <w:rPr>
          <w:rFonts w:hint="eastAsia"/>
        </w:rPr>
        <w:t>GB/T 40607-2021 调度侧风电或光伏功率预测系统技术要求</w:t>
      </w:r>
      <w:r w:rsidR="00FE3FF1">
        <w:rPr>
          <w:rFonts w:hint="eastAsia"/>
        </w:rPr>
        <w:t>》</w:t>
      </w:r>
      <w:r>
        <w:rPr>
          <w:rFonts w:hint="eastAsia"/>
        </w:rPr>
        <w:t>。本标准（或本部分或本指导性技术文件）相关的行标有：</w:t>
      </w:r>
      <w:r w:rsidR="00FE3FF1">
        <w:rPr>
          <w:rFonts w:hint="eastAsia"/>
        </w:rPr>
        <w:t>《</w:t>
      </w:r>
      <w:r>
        <w:rPr>
          <w:rFonts w:hint="eastAsia"/>
        </w:rPr>
        <w:t>DL/T5631-2021 输电网规划设计内容深度规定</w:t>
      </w:r>
      <w:r w:rsidR="00FE3FF1">
        <w:rPr>
          <w:rFonts w:hint="eastAsia"/>
        </w:rPr>
        <w:t>》、《</w:t>
      </w:r>
      <w:r>
        <w:rPr>
          <w:rFonts w:hint="eastAsia"/>
        </w:rPr>
        <w:t>DL/T 5729-2016 配电网规划设计技术导则</w:t>
      </w:r>
      <w:r w:rsidR="00FE3FF1">
        <w:rPr>
          <w:rFonts w:hint="eastAsia"/>
        </w:rPr>
        <w:t>》</w:t>
      </w:r>
      <w:r>
        <w:rPr>
          <w:rFonts w:hint="eastAsia"/>
        </w:rPr>
        <w:t>、</w:t>
      </w:r>
      <w:r w:rsidR="00FE3FF1">
        <w:rPr>
          <w:rFonts w:hint="eastAsia"/>
        </w:rPr>
        <w:t>《</w:t>
      </w:r>
      <w:r>
        <w:rPr>
          <w:rFonts w:hint="eastAsia"/>
        </w:rPr>
        <w:t>DL/T 1711-2017 电网短期和超短期负荷预测技术规范</w:t>
      </w:r>
      <w:r w:rsidR="00FE3FF1">
        <w:rPr>
          <w:rFonts w:hint="eastAsia"/>
        </w:rPr>
        <w:t>》</w:t>
      </w:r>
      <w:r w:rsidR="0056528C">
        <w:rPr>
          <w:rFonts w:hint="eastAsia"/>
        </w:rPr>
        <w:t>。</w:t>
      </w:r>
    </w:p>
    <w:p w14:paraId="0419BACA" w14:textId="074D2218" w:rsidR="007832CF" w:rsidRDefault="00EE52F8" w:rsidP="00EE52F8">
      <w:pPr>
        <w:pStyle w:val="aff1"/>
        <w:rPr>
          <w:rFonts w:hint="eastAsia"/>
        </w:rPr>
      </w:pPr>
      <w:r>
        <w:rPr>
          <w:rFonts w:hint="eastAsia"/>
        </w:rPr>
        <w:t>相比目前国标或者行标，本标准（或本部分或本指导性技术文件）首次提出了电力电量</w:t>
      </w:r>
      <w:r>
        <w:rPr>
          <w:rFonts w:hint="eastAsia"/>
        </w:rPr>
        <w:t>多时间尺度</w:t>
      </w:r>
      <w:r>
        <w:rPr>
          <w:rFonts w:hint="eastAsia"/>
        </w:rPr>
        <w:t>平衡原则、平衡指标以及供需平衡</w:t>
      </w:r>
      <w:r>
        <w:rPr>
          <w:rFonts w:hint="eastAsia"/>
        </w:rPr>
        <w:t>分析</w:t>
      </w:r>
      <w:r>
        <w:rPr>
          <w:rFonts w:hint="eastAsia"/>
        </w:rPr>
        <w:t>原则</w:t>
      </w:r>
      <w:r>
        <w:rPr>
          <w:rFonts w:hint="eastAsia"/>
        </w:rPr>
        <w:t>，为电网运行及</w:t>
      </w:r>
      <w:proofErr w:type="gramStart"/>
      <w:r>
        <w:rPr>
          <w:rFonts w:hint="eastAsia"/>
        </w:rPr>
        <w:t>源网荷储规划</w:t>
      </w:r>
      <w:proofErr w:type="gramEnd"/>
      <w:r>
        <w:rPr>
          <w:rFonts w:hint="eastAsia"/>
        </w:rPr>
        <w:t>提供了</w:t>
      </w:r>
      <w:r>
        <w:rPr>
          <w:rFonts w:hint="eastAsia"/>
        </w:rPr>
        <w:t>关键</w:t>
      </w:r>
      <w:r>
        <w:rPr>
          <w:rFonts w:hint="eastAsia"/>
        </w:rPr>
        <w:t>的量化评价依据。</w:t>
      </w:r>
    </w:p>
    <w:p w14:paraId="6A1F8024" w14:textId="77777777" w:rsidR="007832CF" w:rsidRDefault="00000000">
      <w:pPr>
        <w:pStyle w:val="14"/>
        <w:spacing w:before="312" w:after="312"/>
        <w:rPr>
          <w:rFonts w:ascii="宋体" w:hAnsi="宋体" w:hint="eastAsia"/>
          <w:szCs w:val="21"/>
        </w:rPr>
      </w:pPr>
      <w:bookmarkStart w:id="38" w:name="_Toc184737089"/>
      <w:r>
        <w:rPr>
          <w:rFonts w:ascii="宋体" w:hAnsi="宋体" w:hint="eastAsia"/>
          <w:szCs w:val="21"/>
        </w:rPr>
        <w:t>6</w:t>
      </w:r>
      <w:r>
        <w:rPr>
          <w:rFonts w:ascii="宋体" w:hAnsi="宋体" w:hint="eastAsia"/>
          <w:szCs w:val="21"/>
        </w:rPr>
        <w:t>标准实施措施说明</w:t>
      </w:r>
      <w:bookmarkEnd w:id="38"/>
    </w:p>
    <w:p w14:paraId="5583DE16" w14:textId="17A76A38" w:rsidR="007832CF" w:rsidRDefault="00000000">
      <w:pPr>
        <w:rPr>
          <w:rFonts w:ascii="黑体" w:eastAsia="黑体" w:hAnsi="黑体" w:cs="黑体" w:hint="eastAsia"/>
        </w:rPr>
      </w:pPr>
      <w:r>
        <w:rPr>
          <w:rFonts w:ascii="黑体" w:eastAsia="黑体" w:hAnsi="黑体" w:cs="黑体" w:hint="eastAsia"/>
        </w:rPr>
        <w:t xml:space="preserve">6.1 </w:t>
      </w:r>
      <w:r w:rsidR="00817DC3">
        <w:rPr>
          <w:rFonts w:ascii="黑体" w:eastAsia="黑体" w:hAnsi="黑体" w:cs="黑体" w:hint="eastAsia"/>
        </w:rPr>
        <w:t>电网企业</w:t>
      </w:r>
    </w:p>
    <w:p w14:paraId="57AE5F89" w14:textId="6F0407CA" w:rsidR="00817DC3" w:rsidRDefault="0042684C">
      <w:pPr>
        <w:pStyle w:val="aff1"/>
      </w:pPr>
      <w:r>
        <w:rPr>
          <w:rFonts w:hint="eastAsia"/>
        </w:rPr>
        <w:t>（1）</w:t>
      </w:r>
      <w:r w:rsidR="00817DC3">
        <w:rPr>
          <w:rFonts w:hint="eastAsia"/>
        </w:rPr>
        <w:t>电网</w:t>
      </w:r>
      <w:r w:rsidR="008F49AF">
        <w:rPr>
          <w:rFonts w:hint="eastAsia"/>
        </w:rPr>
        <w:t>企业</w:t>
      </w:r>
      <w:r w:rsidR="00817DC3">
        <w:rPr>
          <w:rFonts w:hint="eastAsia"/>
        </w:rPr>
        <w:t>发展规划部门可</w:t>
      </w:r>
      <w:r w:rsidR="008F49AF">
        <w:rPr>
          <w:rFonts w:hint="eastAsia"/>
        </w:rPr>
        <w:t>根据</w:t>
      </w:r>
      <w:r w:rsidR="00817DC3">
        <w:rPr>
          <w:rFonts w:hint="eastAsia"/>
        </w:rPr>
        <w:t>本标准开展电网规划方案的量化校核分析，指导电网和灵活性资源的协调规划。</w:t>
      </w:r>
    </w:p>
    <w:p w14:paraId="7321A03F" w14:textId="3FE9F935" w:rsidR="0042684C" w:rsidRDefault="0042684C">
      <w:pPr>
        <w:pStyle w:val="aff1"/>
      </w:pPr>
      <w:r>
        <w:rPr>
          <w:rFonts w:hint="eastAsia"/>
        </w:rPr>
        <w:t>（2）电网</w:t>
      </w:r>
      <w:r w:rsidR="008F49AF">
        <w:rPr>
          <w:rFonts w:hint="eastAsia"/>
        </w:rPr>
        <w:t>企业</w:t>
      </w:r>
      <w:r>
        <w:rPr>
          <w:rFonts w:hint="eastAsia"/>
        </w:rPr>
        <w:t>调度运行部门可</w:t>
      </w:r>
      <w:r w:rsidR="008F49AF">
        <w:rPr>
          <w:rFonts w:hint="eastAsia"/>
        </w:rPr>
        <w:t>根据</w:t>
      </w:r>
      <w:r>
        <w:rPr>
          <w:rFonts w:hint="eastAsia"/>
        </w:rPr>
        <w:t>本标准开展电网运行方式的平衡分析，有助于提升电网运行方式的电力电量平衡能力。</w:t>
      </w:r>
    </w:p>
    <w:p w14:paraId="41BB27CC" w14:textId="00348ECC" w:rsidR="00817DC3" w:rsidRDefault="00817DC3" w:rsidP="00817DC3">
      <w:pPr>
        <w:rPr>
          <w:rFonts w:ascii="黑体" w:eastAsia="黑体" w:hAnsi="黑体" w:cs="黑体" w:hint="eastAsia"/>
        </w:rPr>
      </w:pPr>
      <w:r>
        <w:rPr>
          <w:rFonts w:ascii="黑体" w:eastAsia="黑体" w:hAnsi="黑体" w:cs="黑体" w:hint="eastAsia"/>
        </w:rPr>
        <w:t>6.</w:t>
      </w:r>
      <w:r>
        <w:rPr>
          <w:rFonts w:ascii="黑体" w:eastAsia="黑体" w:hAnsi="黑体" w:cs="黑体" w:hint="eastAsia"/>
        </w:rPr>
        <w:t>2</w:t>
      </w:r>
      <w:r>
        <w:rPr>
          <w:rFonts w:ascii="黑体" w:eastAsia="黑体" w:hAnsi="黑体" w:cs="黑体" w:hint="eastAsia"/>
        </w:rPr>
        <w:t xml:space="preserve"> </w:t>
      </w:r>
      <w:r w:rsidR="0042684C">
        <w:rPr>
          <w:rFonts w:ascii="黑体" w:eastAsia="黑体" w:hAnsi="黑体" w:cs="黑体" w:hint="eastAsia"/>
        </w:rPr>
        <w:t>发电</w:t>
      </w:r>
      <w:r>
        <w:rPr>
          <w:rFonts w:ascii="黑体" w:eastAsia="黑体" w:hAnsi="黑体" w:cs="黑体" w:hint="eastAsia"/>
        </w:rPr>
        <w:t>企业</w:t>
      </w:r>
    </w:p>
    <w:p w14:paraId="04B1CC34" w14:textId="43275F80" w:rsidR="00817DC3" w:rsidRDefault="0042684C">
      <w:pPr>
        <w:pStyle w:val="aff1"/>
      </w:pPr>
      <w:r>
        <w:rPr>
          <w:rFonts w:hint="eastAsia"/>
        </w:rPr>
        <w:t>发电企业可以</w:t>
      </w:r>
      <w:r w:rsidR="008F49AF">
        <w:rPr>
          <w:rFonts w:hint="eastAsia"/>
        </w:rPr>
        <w:t>根据</w:t>
      </w:r>
      <w:r>
        <w:rPr>
          <w:rFonts w:hint="eastAsia"/>
        </w:rPr>
        <w:t>本标准开展新能源规划方案接入电网的电力</w:t>
      </w:r>
      <w:r w:rsidR="008F49AF">
        <w:rPr>
          <w:rFonts w:hint="eastAsia"/>
        </w:rPr>
        <w:t>电量</w:t>
      </w:r>
      <w:r>
        <w:rPr>
          <w:rFonts w:hint="eastAsia"/>
        </w:rPr>
        <w:t>平衡分析和</w:t>
      </w:r>
      <w:r w:rsidR="00E163E4">
        <w:rPr>
          <w:rFonts w:hint="eastAsia"/>
        </w:rPr>
        <w:t>清洁能源</w:t>
      </w:r>
      <w:r>
        <w:rPr>
          <w:rFonts w:hint="eastAsia"/>
        </w:rPr>
        <w:t>消</w:t>
      </w:r>
      <w:proofErr w:type="gramStart"/>
      <w:r>
        <w:rPr>
          <w:rFonts w:hint="eastAsia"/>
        </w:rPr>
        <w:t>纳能力</w:t>
      </w:r>
      <w:proofErr w:type="gramEnd"/>
      <w:r>
        <w:rPr>
          <w:rFonts w:hint="eastAsia"/>
        </w:rPr>
        <w:t>评估，指导发电企业电源规划的精准投资决策，提升投资回报率。</w:t>
      </w:r>
    </w:p>
    <w:p w14:paraId="373A76D6" w14:textId="473E5ED9" w:rsidR="0042684C" w:rsidRPr="00817DC3" w:rsidRDefault="008F49AF" w:rsidP="008F49AF">
      <w:pPr>
        <w:pStyle w:val="aff1"/>
        <w:ind w:firstLineChars="0" w:firstLine="0"/>
        <w:rPr>
          <w:rFonts w:hint="eastAsia"/>
        </w:rPr>
      </w:pPr>
      <w:r>
        <w:rPr>
          <w:rFonts w:ascii="黑体" w:eastAsia="黑体" w:hAnsi="黑体" w:cs="黑体" w:hint="eastAsia"/>
        </w:rPr>
        <w:t>6.</w:t>
      </w:r>
      <w:r>
        <w:rPr>
          <w:rFonts w:ascii="黑体" w:eastAsia="黑体" w:hAnsi="黑体" w:cs="黑体" w:hint="eastAsia"/>
        </w:rPr>
        <w:t>3</w:t>
      </w:r>
      <w:r>
        <w:rPr>
          <w:rFonts w:ascii="黑体" w:eastAsia="黑体" w:hAnsi="黑体" w:cs="黑体" w:hint="eastAsia"/>
        </w:rPr>
        <w:t xml:space="preserve"> </w:t>
      </w:r>
      <w:r>
        <w:rPr>
          <w:rFonts w:ascii="黑体" w:eastAsia="黑体" w:hAnsi="黑体" w:cs="黑体" w:hint="eastAsia"/>
        </w:rPr>
        <w:t>电力设计院</w:t>
      </w:r>
    </w:p>
    <w:p w14:paraId="5F0C6DF9" w14:textId="11970BB9" w:rsidR="00817DC3" w:rsidRDefault="008F49AF">
      <w:pPr>
        <w:pStyle w:val="aff1"/>
      </w:pPr>
      <w:r>
        <w:rPr>
          <w:rFonts w:hint="eastAsia"/>
        </w:rPr>
        <w:t>电力设计院可根据本标准对设计方案开展电力电量平衡量化分析</w:t>
      </w:r>
      <w:r w:rsidR="00BD256D">
        <w:rPr>
          <w:rFonts w:hint="eastAsia"/>
        </w:rPr>
        <w:t>，提升设计方案的技术可行性与经济效益。</w:t>
      </w:r>
    </w:p>
    <w:p w14:paraId="3A8C5214" w14:textId="584717EC" w:rsidR="00BD256D" w:rsidRPr="00817DC3" w:rsidRDefault="00BD256D" w:rsidP="00BD256D">
      <w:pPr>
        <w:pStyle w:val="aff1"/>
        <w:ind w:firstLineChars="0" w:firstLine="0"/>
        <w:rPr>
          <w:rFonts w:hint="eastAsia"/>
        </w:rPr>
      </w:pPr>
      <w:r>
        <w:rPr>
          <w:rFonts w:ascii="黑体" w:eastAsia="黑体" w:hAnsi="黑体" w:cs="黑体" w:hint="eastAsia"/>
        </w:rPr>
        <w:t>6.</w:t>
      </w:r>
      <w:r>
        <w:rPr>
          <w:rFonts w:ascii="黑体" w:eastAsia="黑体" w:hAnsi="黑体" w:cs="黑体" w:hint="eastAsia"/>
        </w:rPr>
        <w:t>4</w:t>
      </w:r>
      <w:r>
        <w:rPr>
          <w:rFonts w:ascii="黑体" w:eastAsia="黑体" w:hAnsi="黑体" w:cs="黑体" w:hint="eastAsia"/>
        </w:rPr>
        <w:t xml:space="preserve"> </w:t>
      </w:r>
      <w:r w:rsidR="001B4E51">
        <w:rPr>
          <w:rFonts w:ascii="黑体" w:eastAsia="黑体" w:hAnsi="黑体" w:cs="黑体" w:hint="eastAsia"/>
        </w:rPr>
        <w:t>灵活性资源</w:t>
      </w:r>
      <w:r>
        <w:rPr>
          <w:rFonts w:ascii="黑体" w:eastAsia="黑体" w:hAnsi="黑体" w:cs="黑体" w:hint="eastAsia"/>
        </w:rPr>
        <w:t>投资商</w:t>
      </w:r>
    </w:p>
    <w:p w14:paraId="5DC19AA0" w14:textId="724F17BF" w:rsidR="008F49AF" w:rsidRDefault="001B4E51">
      <w:pPr>
        <w:pStyle w:val="aff1"/>
      </w:pPr>
      <w:r>
        <w:rPr>
          <w:rFonts w:hint="eastAsia"/>
        </w:rPr>
        <w:t>（1）</w:t>
      </w:r>
      <w:r w:rsidR="002268DF" w:rsidRPr="002268DF">
        <w:rPr>
          <w:rFonts w:hint="eastAsia"/>
        </w:rPr>
        <w:t>储能投资商</w:t>
      </w:r>
      <w:r w:rsidR="002268DF">
        <w:rPr>
          <w:rFonts w:hint="eastAsia"/>
        </w:rPr>
        <w:t>可根据本标准对</w:t>
      </w:r>
      <w:r w:rsidR="002268DF">
        <w:rPr>
          <w:rFonts w:hint="eastAsia"/>
        </w:rPr>
        <w:t>储能接入电网的投资规划方案开展电力</w:t>
      </w:r>
      <w:r>
        <w:rPr>
          <w:rFonts w:hint="eastAsia"/>
        </w:rPr>
        <w:t>电量</w:t>
      </w:r>
      <w:r w:rsidR="002268DF">
        <w:rPr>
          <w:rFonts w:hint="eastAsia"/>
        </w:rPr>
        <w:t>平衡量化分析与储能收益的量化计算，提升储能投资决策科学性</w:t>
      </w:r>
      <w:r w:rsidR="004C2053">
        <w:rPr>
          <w:rFonts w:hint="eastAsia"/>
        </w:rPr>
        <w:t>。</w:t>
      </w:r>
    </w:p>
    <w:p w14:paraId="25535B32" w14:textId="50D99AC3" w:rsidR="007832CF" w:rsidRDefault="001B4E51" w:rsidP="005A4C3F">
      <w:pPr>
        <w:pStyle w:val="aff1"/>
      </w:pPr>
      <w:r w:rsidRPr="005A4C3F">
        <w:rPr>
          <w:rFonts w:hint="eastAsia"/>
        </w:rPr>
        <w:t>（2）虚拟电厂投资商</w:t>
      </w:r>
      <w:r>
        <w:rPr>
          <w:rFonts w:hint="eastAsia"/>
        </w:rPr>
        <w:t>可根据本标准</w:t>
      </w:r>
      <w:r>
        <w:rPr>
          <w:rFonts w:hint="eastAsia"/>
        </w:rPr>
        <w:t>，</w:t>
      </w:r>
      <w:r>
        <w:rPr>
          <w:rFonts w:hint="eastAsia"/>
        </w:rPr>
        <w:t>对</w:t>
      </w:r>
      <w:r>
        <w:rPr>
          <w:rFonts w:hint="eastAsia"/>
        </w:rPr>
        <w:t>虚拟电厂</w:t>
      </w:r>
      <w:r>
        <w:rPr>
          <w:rFonts w:hint="eastAsia"/>
        </w:rPr>
        <w:t>接入电网的投资规划方案开展电力</w:t>
      </w:r>
      <w:r>
        <w:rPr>
          <w:rFonts w:hint="eastAsia"/>
        </w:rPr>
        <w:t>电量</w:t>
      </w:r>
      <w:r>
        <w:rPr>
          <w:rFonts w:hint="eastAsia"/>
        </w:rPr>
        <w:t>平衡量化分析与</w:t>
      </w:r>
      <w:r>
        <w:rPr>
          <w:rFonts w:hint="eastAsia"/>
        </w:rPr>
        <w:t>虚拟电厂</w:t>
      </w:r>
      <w:r>
        <w:rPr>
          <w:rFonts w:hint="eastAsia"/>
        </w:rPr>
        <w:t>收益的量化计算，提升</w:t>
      </w:r>
      <w:r>
        <w:rPr>
          <w:rFonts w:hint="eastAsia"/>
        </w:rPr>
        <w:t>虚拟电厂经济效益</w:t>
      </w:r>
      <w:r>
        <w:rPr>
          <w:rFonts w:hint="eastAsia"/>
        </w:rPr>
        <w:t>。</w:t>
      </w:r>
    </w:p>
    <w:p w14:paraId="7317002F" w14:textId="77777777" w:rsidR="00293F72" w:rsidRDefault="00293F72" w:rsidP="005A4C3F">
      <w:pPr>
        <w:pStyle w:val="aff1"/>
        <w:rPr>
          <w:rFonts w:hint="eastAsia"/>
        </w:rPr>
      </w:pPr>
    </w:p>
    <w:sectPr w:rsidR="00293F72">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65E1B" w14:textId="77777777" w:rsidR="002A3477" w:rsidRDefault="002A3477">
      <w:r>
        <w:separator/>
      </w:r>
    </w:p>
  </w:endnote>
  <w:endnote w:type="continuationSeparator" w:id="0">
    <w:p w14:paraId="4576B552" w14:textId="77777777" w:rsidR="002A3477" w:rsidRDefault="002A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0C87" w14:textId="77777777" w:rsidR="007832CF" w:rsidRDefault="007832CF">
    <w:pPr>
      <w:pStyle w:val="aff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CE" w14:textId="77777777" w:rsidR="007832CF" w:rsidRDefault="007832CF">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C4EA" w14:textId="77777777" w:rsidR="007832CF" w:rsidRDefault="00000000">
    <w:pPr>
      <w:pStyle w:val="af1"/>
      <w:jc w:val="center"/>
    </w:pPr>
    <w:r>
      <w:rPr>
        <w:noProof/>
      </w:rPr>
      <mc:AlternateContent>
        <mc:Choice Requires="wps">
          <w:drawing>
            <wp:anchor distT="0" distB="0" distL="114300" distR="114300" simplePos="0" relativeHeight="251659264" behindDoc="0" locked="0" layoutInCell="1" allowOverlap="1" wp14:anchorId="502C0B84" wp14:editId="44C2ADA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DC72C" w14:textId="77777777" w:rsidR="007832CF" w:rsidRDefault="00000000">
                          <w:pPr>
                            <w:pStyle w:val="af1"/>
                            <w:jc w:val="center"/>
                          </w:pPr>
                          <w:r>
                            <w:fldChar w:fldCharType="begin"/>
                          </w:r>
                          <w:r>
                            <w:instrText xml:space="preserve"> PAGE   \* MERGEFORMAT </w:instrText>
                          </w:r>
                          <w:r>
                            <w:fldChar w:fldCharType="separate"/>
                          </w:r>
                          <w:r>
                            <w:rPr>
                              <w:lang w:val="zh-CN"/>
                            </w:rPr>
                            <w:t>52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2C0B8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8DC72C" w14:textId="77777777" w:rsidR="007832CF" w:rsidRDefault="00000000">
                    <w:pPr>
                      <w:pStyle w:val="af1"/>
                      <w:jc w:val="center"/>
                    </w:pPr>
                    <w:r>
                      <w:fldChar w:fldCharType="begin"/>
                    </w:r>
                    <w:r>
                      <w:instrText xml:space="preserve"> PAGE   \* MERGEFORMAT </w:instrText>
                    </w:r>
                    <w:r>
                      <w:fldChar w:fldCharType="separate"/>
                    </w:r>
                    <w:r>
                      <w:rPr>
                        <w:lang w:val="zh-CN"/>
                      </w:rPr>
                      <w:t>52</w:t>
                    </w:r>
                    <w:r>
                      <w:rPr>
                        <w:lang w:val="zh-CN"/>
                      </w:rPr>
                      <w:fldChar w:fldCharType="end"/>
                    </w:r>
                  </w:p>
                </w:txbxContent>
              </v:textbox>
              <w10:wrap anchorx="margin"/>
            </v:shape>
          </w:pict>
        </mc:Fallback>
      </mc:AlternateContent>
    </w:r>
  </w:p>
  <w:p w14:paraId="02213FF8" w14:textId="77777777" w:rsidR="007832CF" w:rsidRDefault="007832C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4EB2" w14:textId="77777777" w:rsidR="002A3477" w:rsidRDefault="002A3477">
      <w:r>
        <w:separator/>
      </w:r>
    </w:p>
  </w:footnote>
  <w:footnote w:type="continuationSeparator" w:id="0">
    <w:p w14:paraId="7D5ADBE7" w14:textId="77777777" w:rsidR="002A3477" w:rsidRDefault="002A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8A9C5" w14:textId="77777777" w:rsidR="007832CF" w:rsidRDefault="00000000">
    <w:pPr>
      <w:pStyle w:val="aff2"/>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130C" w14:textId="77777777" w:rsidR="007832CF" w:rsidRDefault="007832CF">
    <w:pPr>
      <w:pStyle w:val="aff2"/>
      <w:wordWrap w:val="0"/>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69975" w14:textId="77777777" w:rsidR="007832CF" w:rsidRDefault="007832CF">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8F7113"/>
    <w:multiLevelType w:val="multilevel"/>
    <w:tmpl w:val="2A8F7113"/>
    <w:lvl w:ilvl="0">
      <w:start w:val="1"/>
      <w:numFmt w:val="upperLetter"/>
      <w:pStyle w:val="a1"/>
      <w:suff w:val="space"/>
      <w:lvlText w:val="%1"/>
      <w:lvlJc w:val="left"/>
      <w:pPr>
        <w:ind w:left="0" w:firstLine="0"/>
      </w:pPr>
      <w:rPr>
        <w:rFonts w:hint="eastAsia"/>
        <w:color w:val="FFFFFF"/>
        <w:sz w:val="2"/>
      </w:rPr>
    </w:lvl>
    <w:lvl w:ilvl="1">
      <w:start w:val="1"/>
      <w:numFmt w:val="decimal"/>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15:restartNumberingAfterBreak="0">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 w15:restartNumberingAfterBreak="0">
    <w:nsid w:val="44C50F90"/>
    <w:multiLevelType w:val="multilevel"/>
    <w:tmpl w:val="44C50F90"/>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60B55DC2"/>
    <w:multiLevelType w:val="multilevel"/>
    <w:tmpl w:val="60B55DC2"/>
    <w:lvl w:ilvl="0">
      <w:start w:val="1"/>
      <w:numFmt w:val="upperLetter"/>
      <w:pStyle w:val="a4"/>
      <w:lvlText w:val="%1"/>
      <w:lvlJc w:val="left"/>
      <w:pPr>
        <w:tabs>
          <w:tab w:val="left" w:pos="0"/>
        </w:tabs>
        <w:ind w:left="0" w:firstLine="0"/>
      </w:pPr>
      <w:rPr>
        <w:rFonts w:hint="eastAsia"/>
        <w:color w:val="FFFFFF"/>
        <w:sz w:val="2"/>
      </w:rPr>
    </w:lvl>
    <w:lvl w:ilvl="1">
      <w:start w:val="1"/>
      <w:numFmt w:val="decimal"/>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5" w15:restartNumberingAfterBreak="0">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799955772">
    <w:abstractNumId w:val="0"/>
  </w:num>
  <w:num w:numId="2" w16cid:durableId="1347906299">
    <w:abstractNumId w:val="5"/>
  </w:num>
  <w:num w:numId="3" w16cid:durableId="239143895">
    <w:abstractNumId w:val="4"/>
  </w:num>
  <w:num w:numId="4" w16cid:durableId="1036663780">
    <w:abstractNumId w:val="2"/>
  </w:num>
  <w:num w:numId="5" w16cid:durableId="2076318226">
    <w:abstractNumId w:val="1"/>
  </w:num>
  <w:num w:numId="6" w16cid:durableId="102991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IyMWNjNTRkNDRjNzU3ZGQ0MjMzYmU0YWFjZTkwNDAifQ=="/>
  </w:docVars>
  <w:rsids>
    <w:rsidRoot w:val="001D4D34"/>
    <w:rsid w:val="000029C5"/>
    <w:rsid w:val="00016764"/>
    <w:rsid w:val="000307A1"/>
    <w:rsid w:val="00050379"/>
    <w:rsid w:val="000B475C"/>
    <w:rsid w:val="000B6578"/>
    <w:rsid w:val="00106B59"/>
    <w:rsid w:val="0010708C"/>
    <w:rsid w:val="00186747"/>
    <w:rsid w:val="001A46C5"/>
    <w:rsid w:val="001A4BB7"/>
    <w:rsid w:val="001B4E51"/>
    <w:rsid w:val="001D4D34"/>
    <w:rsid w:val="001F0C68"/>
    <w:rsid w:val="001F553B"/>
    <w:rsid w:val="0021442C"/>
    <w:rsid w:val="002268DF"/>
    <w:rsid w:val="0023126C"/>
    <w:rsid w:val="002400D2"/>
    <w:rsid w:val="00247103"/>
    <w:rsid w:val="00264C77"/>
    <w:rsid w:val="00293F72"/>
    <w:rsid w:val="00294E81"/>
    <w:rsid w:val="002A3477"/>
    <w:rsid w:val="002A5543"/>
    <w:rsid w:val="002E1E3C"/>
    <w:rsid w:val="00305D44"/>
    <w:rsid w:val="00320884"/>
    <w:rsid w:val="003830BE"/>
    <w:rsid w:val="00390EE5"/>
    <w:rsid w:val="003F683B"/>
    <w:rsid w:val="003F728B"/>
    <w:rsid w:val="0042684C"/>
    <w:rsid w:val="00430581"/>
    <w:rsid w:val="004503D6"/>
    <w:rsid w:val="004B00B2"/>
    <w:rsid w:val="004C2053"/>
    <w:rsid w:val="004D422C"/>
    <w:rsid w:val="004E0198"/>
    <w:rsid w:val="0051052B"/>
    <w:rsid w:val="005109DE"/>
    <w:rsid w:val="0051191E"/>
    <w:rsid w:val="00514B31"/>
    <w:rsid w:val="005354E3"/>
    <w:rsid w:val="00536D89"/>
    <w:rsid w:val="00547422"/>
    <w:rsid w:val="00560051"/>
    <w:rsid w:val="0056196D"/>
    <w:rsid w:val="0056528C"/>
    <w:rsid w:val="00567C1C"/>
    <w:rsid w:val="0057765D"/>
    <w:rsid w:val="005A10F9"/>
    <w:rsid w:val="005A4C3F"/>
    <w:rsid w:val="005F736F"/>
    <w:rsid w:val="00607828"/>
    <w:rsid w:val="006112DA"/>
    <w:rsid w:val="00644088"/>
    <w:rsid w:val="00656DF6"/>
    <w:rsid w:val="00656E23"/>
    <w:rsid w:val="00663AB9"/>
    <w:rsid w:val="00676940"/>
    <w:rsid w:val="00681C85"/>
    <w:rsid w:val="006D50BD"/>
    <w:rsid w:val="006E4C3B"/>
    <w:rsid w:val="00752C39"/>
    <w:rsid w:val="007832CF"/>
    <w:rsid w:val="007A77E3"/>
    <w:rsid w:val="007E3428"/>
    <w:rsid w:val="007F30CA"/>
    <w:rsid w:val="00801778"/>
    <w:rsid w:val="008050C3"/>
    <w:rsid w:val="00806B9E"/>
    <w:rsid w:val="00817DC3"/>
    <w:rsid w:val="00855A7D"/>
    <w:rsid w:val="0086068B"/>
    <w:rsid w:val="00870975"/>
    <w:rsid w:val="00890058"/>
    <w:rsid w:val="008B6E1A"/>
    <w:rsid w:val="008D4D71"/>
    <w:rsid w:val="008E64BB"/>
    <w:rsid w:val="008F287C"/>
    <w:rsid w:val="008F49AF"/>
    <w:rsid w:val="008F60F3"/>
    <w:rsid w:val="009269CC"/>
    <w:rsid w:val="009375BB"/>
    <w:rsid w:val="00964128"/>
    <w:rsid w:val="00984794"/>
    <w:rsid w:val="009A3DC7"/>
    <w:rsid w:val="009F6BFC"/>
    <w:rsid w:val="00A129F4"/>
    <w:rsid w:val="00A53DF5"/>
    <w:rsid w:val="00A80431"/>
    <w:rsid w:val="00AA1EC4"/>
    <w:rsid w:val="00AD321C"/>
    <w:rsid w:val="00AF1819"/>
    <w:rsid w:val="00B1457B"/>
    <w:rsid w:val="00B2672D"/>
    <w:rsid w:val="00B52607"/>
    <w:rsid w:val="00B9701B"/>
    <w:rsid w:val="00BB7B87"/>
    <w:rsid w:val="00BC337C"/>
    <w:rsid w:val="00BD256D"/>
    <w:rsid w:val="00BD3DA7"/>
    <w:rsid w:val="00BD4BB1"/>
    <w:rsid w:val="00BD7943"/>
    <w:rsid w:val="00BF3DA3"/>
    <w:rsid w:val="00C36E76"/>
    <w:rsid w:val="00C43C7A"/>
    <w:rsid w:val="00CA03D6"/>
    <w:rsid w:val="00CA67D7"/>
    <w:rsid w:val="00CE04D1"/>
    <w:rsid w:val="00CF40C3"/>
    <w:rsid w:val="00D51130"/>
    <w:rsid w:val="00D93860"/>
    <w:rsid w:val="00DC114C"/>
    <w:rsid w:val="00E020A8"/>
    <w:rsid w:val="00E11A6E"/>
    <w:rsid w:val="00E163E4"/>
    <w:rsid w:val="00E62369"/>
    <w:rsid w:val="00E62ECF"/>
    <w:rsid w:val="00E7646D"/>
    <w:rsid w:val="00E9607F"/>
    <w:rsid w:val="00EA4457"/>
    <w:rsid w:val="00EA4720"/>
    <w:rsid w:val="00EC20B7"/>
    <w:rsid w:val="00ED173C"/>
    <w:rsid w:val="00EE1AFE"/>
    <w:rsid w:val="00EE52F8"/>
    <w:rsid w:val="00F041AA"/>
    <w:rsid w:val="00F11837"/>
    <w:rsid w:val="00F2013C"/>
    <w:rsid w:val="00F33585"/>
    <w:rsid w:val="00F52815"/>
    <w:rsid w:val="00FE3FF1"/>
    <w:rsid w:val="00FE4173"/>
    <w:rsid w:val="00FF6C28"/>
    <w:rsid w:val="10245F02"/>
    <w:rsid w:val="12EA1DE5"/>
    <w:rsid w:val="12EF7EDF"/>
    <w:rsid w:val="131C1B91"/>
    <w:rsid w:val="13586884"/>
    <w:rsid w:val="14EF46DF"/>
    <w:rsid w:val="151417DA"/>
    <w:rsid w:val="18343536"/>
    <w:rsid w:val="23CB6EE2"/>
    <w:rsid w:val="250A35F8"/>
    <w:rsid w:val="26B92668"/>
    <w:rsid w:val="26EB3904"/>
    <w:rsid w:val="2A4751E2"/>
    <w:rsid w:val="2BEF1858"/>
    <w:rsid w:val="2DF0478A"/>
    <w:rsid w:val="308C2661"/>
    <w:rsid w:val="3EE319C4"/>
    <w:rsid w:val="43244B6C"/>
    <w:rsid w:val="43BA29DA"/>
    <w:rsid w:val="47B74924"/>
    <w:rsid w:val="4A617BB2"/>
    <w:rsid w:val="594B5E19"/>
    <w:rsid w:val="5B1C7CE6"/>
    <w:rsid w:val="5B814BED"/>
    <w:rsid w:val="5EC34DD2"/>
    <w:rsid w:val="619E72E2"/>
    <w:rsid w:val="6FB3769C"/>
    <w:rsid w:val="72E47108"/>
    <w:rsid w:val="735105F2"/>
    <w:rsid w:val="78B33DB1"/>
    <w:rsid w:val="7ABA21C5"/>
    <w:rsid w:val="7BF85F7F"/>
    <w:rsid w:val="7C2B47A6"/>
    <w:rsid w:val="7DDF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42BC"/>
  <w15:docId w15:val="{1F01D5A9-C644-4491-BA00-E329A266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817DC3"/>
    <w:pPr>
      <w:widowControl w:val="0"/>
      <w:jc w:val="both"/>
    </w:pPr>
    <w:rPr>
      <w:rFonts w:ascii="Calibri" w:hAnsi="Calibri"/>
      <w:kern w:val="2"/>
      <w:sz w:val="21"/>
      <w:szCs w:val="22"/>
    </w:rPr>
  </w:style>
  <w:style w:type="paragraph" w:styleId="1">
    <w:name w:val="heading 1"/>
    <w:basedOn w:val="a7"/>
    <w:next w:val="a7"/>
    <w:link w:val="10"/>
    <w:uiPriority w:val="9"/>
    <w:qFormat/>
    <w:locked/>
    <w:pPr>
      <w:keepNext/>
      <w:keepLines/>
      <w:spacing w:before="340" w:after="330" w:line="578" w:lineRule="auto"/>
      <w:outlineLvl w:val="0"/>
    </w:pPr>
    <w:rPr>
      <w:rFonts w:ascii="Times New Roman" w:hAnsi="Times New Roman"/>
      <w:b/>
      <w:bCs/>
      <w:kern w:val="44"/>
      <w:sz w:val="44"/>
      <w:szCs w:val="4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annotation text"/>
    <w:basedOn w:val="a7"/>
    <w:link w:val="ac"/>
    <w:uiPriority w:val="99"/>
    <w:unhideWhenUsed/>
    <w:qFormat/>
    <w:pPr>
      <w:jc w:val="left"/>
    </w:pPr>
  </w:style>
  <w:style w:type="paragraph" w:styleId="ad">
    <w:name w:val="Body Text"/>
    <w:basedOn w:val="a7"/>
    <w:link w:val="ae"/>
    <w:uiPriority w:val="99"/>
    <w:unhideWhenUsed/>
    <w:qFormat/>
    <w:pPr>
      <w:spacing w:after="120"/>
    </w:pPr>
    <w:rPr>
      <w:rFonts w:ascii="Times New Roman" w:hAnsi="Times New Roman"/>
      <w:szCs w:val="20"/>
    </w:rPr>
  </w:style>
  <w:style w:type="paragraph" w:styleId="TOC3">
    <w:name w:val="toc 3"/>
    <w:basedOn w:val="TOC2"/>
    <w:next w:val="a7"/>
    <w:uiPriority w:val="39"/>
    <w:qFormat/>
    <w:locked/>
    <w:pPr>
      <w:ind w:leftChars="100" w:left="100"/>
    </w:pPr>
  </w:style>
  <w:style w:type="paragraph" w:styleId="TOC2">
    <w:name w:val="toc 2"/>
    <w:basedOn w:val="TOC1"/>
    <w:next w:val="a7"/>
    <w:uiPriority w:val="39"/>
    <w:qFormat/>
    <w:locked/>
  </w:style>
  <w:style w:type="paragraph" w:styleId="TOC1">
    <w:name w:val="toc 1"/>
    <w:basedOn w:val="a7"/>
    <w:next w:val="a7"/>
    <w:uiPriority w:val="39"/>
    <w:qFormat/>
    <w:locked/>
    <w:pPr>
      <w:tabs>
        <w:tab w:val="right" w:leader="dot" w:pos="9241"/>
      </w:tabs>
      <w:spacing w:beforeLines="25" w:before="25" w:afterLines="25" w:after="25"/>
      <w:jc w:val="left"/>
    </w:pPr>
    <w:rPr>
      <w:rFonts w:ascii="宋体" w:hAnsi="Times New Roman"/>
      <w:szCs w:val="21"/>
    </w:rPr>
  </w:style>
  <w:style w:type="paragraph" w:styleId="af">
    <w:name w:val="Balloon Text"/>
    <w:basedOn w:val="a7"/>
    <w:link w:val="af0"/>
    <w:uiPriority w:val="99"/>
    <w:qFormat/>
    <w:rPr>
      <w:kern w:val="0"/>
      <w:sz w:val="18"/>
      <w:szCs w:val="18"/>
    </w:rPr>
  </w:style>
  <w:style w:type="paragraph" w:styleId="af1">
    <w:name w:val="footer"/>
    <w:basedOn w:val="a7"/>
    <w:link w:val="af2"/>
    <w:uiPriority w:val="99"/>
    <w:qFormat/>
    <w:pPr>
      <w:tabs>
        <w:tab w:val="center" w:pos="4153"/>
        <w:tab w:val="right" w:pos="8306"/>
      </w:tabs>
      <w:snapToGrid w:val="0"/>
      <w:jc w:val="left"/>
    </w:pPr>
    <w:rPr>
      <w:kern w:val="0"/>
      <w:sz w:val="18"/>
      <w:szCs w:val="18"/>
    </w:rPr>
  </w:style>
  <w:style w:type="paragraph" w:styleId="af3">
    <w:name w:val="header"/>
    <w:basedOn w:val="a7"/>
    <w:link w:val="af4"/>
    <w:uiPriority w:val="99"/>
    <w:qFormat/>
    <w:pPr>
      <w:pBdr>
        <w:bottom w:val="single" w:sz="6" w:space="1" w:color="auto"/>
      </w:pBdr>
      <w:tabs>
        <w:tab w:val="center" w:pos="4153"/>
        <w:tab w:val="right" w:pos="8306"/>
      </w:tabs>
      <w:snapToGrid w:val="0"/>
      <w:jc w:val="center"/>
    </w:pPr>
    <w:rPr>
      <w:kern w:val="0"/>
      <w:sz w:val="18"/>
      <w:szCs w:val="18"/>
    </w:rPr>
  </w:style>
  <w:style w:type="paragraph" w:styleId="af5">
    <w:name w:val="Normal (Web)"/>
    <w:basedOn w:val="a7"/>
    <w:uiPriority w:val="99"/>
    <w:qFormat/>
    <w:pPr>
      <w:widowControl/>
      <w:spacing w:before="100" w:beforeAutospacing="1" w:after="100" w:afterAutospacing="1"/>
      <w:jc w:val="left"/>
    </w:pPr>
    <w:rPr>
      <w:rFonts w:ascii="宋体" w:hAnsi="宋体" w:cs="宋体"/>
      <w:kern w:val="0"/>
      <w:sz w:val="24"/>
      <w:szCs w:val="24"/>
    </w:rPr>
  </w:style>
  <w:style w:type="paragraph" w:styleId="af6">
    <w:name w:val="Title"/>
    <w:basedOn w:val="a7"/>
    <w:next w:val="a7"/>
    <w:link w:val="af7"/>
    <w:qFormat/>
    <w:locked/>
    <w:pPr>
      <w:spacing w:before="240" w:after="60"/>
      <w:jc w:val="center"/>
      <w:outlineLvl w:val="0"/>
    </w:pPr>
    <w:rPr>
      <w:rFonts w:ascii="Cambria" w:hAnsi="Cambria"/>
      <w:b/>
      <w:bCs/>
      <w:sz w:val="32"/>
      <w:szCs w:val="32"/>
    </w:rPr>
  </w:style>
  <w:style w:type="paragraph" w:styleId="af8">
    <w:name w:val="annotation subject"/>
    <w:basedOn w:val="ab"/>
    <w:next w:val="ab"/>
    <w:link w:val="af9"/>
    <w:uiPriority w:val="99"/>
    <w:unhideWhenUsed/>
    <w:rPr>
      <w:b/>
      <w:bCs/>
    </w:rPr>
  </w:style>
  <w:style w:type="character" w:styleId="afa">
    <w:name w:val="page number"/>
    <w:qFormat/>
    <w:rPr>
      <w:rFonts w:ascii="Times New Roman" w:eastAsia="宋体" w:hAnsi="Times New Roman"/>
      <w:sz w:val="18"/>
    </w:rPr>
  </w:style>
  <w:style w:type="character" w:styleId="afb">
    <w:name w:val="Hyperlink"/>
    <w:uiPriority w:val="99"/>
    <w:qFormat/>
    <w:rPr>
      <w:rFonts w:cs="Times New Roman"/>
      <w:color w:val="0563C1"/>
      <w:u w:val="single"/>
    </w:rPr>
  </w:style>
  <w:style w:type="character" w:styleId="afc">
    <w:name w:val="annotation reference"/>
    <w:uiPriority w:val="99"/>
    <w:unhideWhenUsed/>
    <w:qFormat/>
    <w:rPr>
      <w:sz w:val="21"/>
      <w:szCs w:val="21"/>
    </w:rPr>
  </w:style>
  <w:style w:type="character" w:customStyle="1" w:styleId="10">
    <w:name w:val="标题 1 字符"/>
    <w:basedOn w:val="a8"/>
    <w:link w:val="1"/>
    <w:uiPriority w:val="9"/>
    <w:qFormat/>
    <w:rPr>
      <w:rFonts w:ascii="Times New Roman" w:hAnsi="Times New Roman" w:cs="Times New Roman"/>
      <w:b/>
      <w:bCs/>
      <w:kern w:val="44"/>
      <w:sz w:val="44"/>
      <w:szCs w:val="44"/>
    </w:rPr>
  </w:style>
  <w:style w:type="character" w:customStyle="1" w:styleId="ac">
    <w:name w:val="批注文字 字符"/>
    <w:link w:val="ab"/>
    <w:uiPriority w:val="99"/>
    <w:qFormat/>
    <w:rPr>
      <w:kern w:val="2"/>
      <w:sz w:val="21"/>
      <w:szCs w:val="22"/>
    </w:rPr>
  </w:style>
  <w:style w:type="character" w:customStyle="1" w:styleId="af9">
    <w:name w:val="批注主题 字符"/>
    <w:link w:val="af8"/>
    <w:uiPriority w:val="99"/>
    <w:semiHidden/>
    <w:qFormat/>
    <w:rPr>
      <w:b/>
      <w:bCs/>
      <w:kern w:val="2"/>
      <w:sz w:val="21"/>
      <w:szCs w:val="22"/>
    </w:rPr>
  </w:style>
  <w:style w:type="character" w:customStyle="1" w:styleId="af0">
    <w:name w:val="批注框文本 字符"/>
    <w:link w:val="af"/>
    <w:uiPriority w:val="99"/>
    <w:semiHidden/>
    <w:qFormat/>
    <w:locked/>
    <w:rPr>
      <w:rFonts w:cs="Times New Roman"/>
      <w:sz w:val="18"/>
      <w:szCs w:val="18"/>
    </w:rPr>
  </w:style>
  <w:style w:type="character" w:customStyle="1" w:styleId="af2">
    <w:name w:val="页脚 字符"/>
    <w:link w:val="af1"/>
    <w:uiPriority w:val="99"/>
    <w:qFormat/>
    <w:locked/>
    <w:rPr>
      <w:rFonts w:ascii="Calibri" w:eastAsia="宋体" w:hAnsi="Calibri" w:cs="Times New Roman"/>
      <w:kern w:val="0"/>
      <w:sz w:val="18"/>
      <w:szCs w:val="18"/>
    </w:rPr>
  </w:style>
  <w:style w:type="character" w:customStyle="1" w:styleId="af4">
    <w:name w:val="页眉 字符"/>
    <w:link w:val="af3"/>
    <w:uiPriority w:val="99"/>
    <w:qFormat/>
    <w:locked/>
    <w:rPr>
      <w:rFonts w:ascii="Calibri" w:eastAsia="宋体" w:hAnsi="Calibri" w:cs="Times New Roman"/>
      <w:kern w:val="0"/>
      <w:sz w:val="18"/>
      <w:szCs w:val="18"/>
    </w:rPr>
  </w:style>
  <w:style w:type="character" w:customStyle="1" w:styleId="af7">
    <w:name w:val="标题 字符"/>
    <w:link w:val="af6"/>
    <w:qFormat/>
    <w:rPr>
      <w:rFonts w:ascii="Cambria" w:hAnsi="Cambria" w:cs="Times New Roman"/>
      <w:b/>
      <w:bCs/>
      <w:kern w:val="2"/>
      <w:sz w:val="32"/>
      <w:szCs w:val="32"/>
    </w:rPr>
  </w:style>
  <w:style w:type="paragraph" w:customStyle="1" w:styleId="11">
    <w:name w:val="列出段落1"/>
    <w:basedOn w:val="a7"/>
    <w:uiPriority w:val="99"/>
    <w:qFormat/>
    <w:pPr>
      <w:widowControl/>
      <w:ind w:firstLineChars="200" w:firstLine="420"/>
      <w:jc w:val="left"/>
    </w:pPr>
    <w:rPr>
      <w:rFonts w:ascii="宋体" w:hAnsi="宋体" w:cs="宋体"/>
      <w:kern w:val="0"/>
      <w:sz w:val="24"/>
      <w:szCs w:val="24"/>
    </w:rPr>
  </w:style>
  <w:style w:type="paragraph" w:customStyle="1" w:styleId="12">
    <w:name w:val="修订1"/>
    <w:hidden/>
    <w:uiPriority w:val="99"/>
    <w:unhideWhenUsed/>
    <w:qFormat/>
    <w:rPr>
      <w:rFonts w:ascii="Calibri" w:hAnsi="Calibri" w:cs="Calibri"/>
      <w:kern w:val="2"/>
      <w:sz w:val="21"/>
      <w:szCs w:val="22"/>
    </w:rPr>
  </w:style>
  <w:style w:type="character" w:customStyle="1" w:styleId="ae">
    <w:name w:val="正文文本 字符"/>
    <w:basedOn w:val="a8"/>
    <w:link w:val="ad"/>
    <w:uiPriority w:val="99"/>
    <w:qFormat/>
    <w:rPr>
      <w:rFonts w:ascii="Times New Roman" w:hAnsi="Times New Roman" w:cs="Times New Roman"/>
      <w:kern w:val="2"/>
      <w:sz w:val="21"/>
    </w:rPr>
  </w:style>
  <w:style w:type="paragraph" w:customStyle="1" w:styleId="afd">
    <w:name w:val="封面一致性程度标识"/>
    <w:qFormat/>
    <w:pPr>
      <w:spacing w:before="680" w:line="400" w:lineRule="exact"/>
      <w:jc w:val="center"/>
    </w:pPr>
    <w:rPr>
      <w:rFonts w:ascii="黑体" w:eastAsia="黑体" w:hAnsi="黑体"/>
      <w:sz w:val="28"/>
    </w:rPr>
  </w:style>
  <w:style w:type="paragraph" w:customStyle="1" w:styleId="afe">
    <w:name w:val="封面标准名称"/>
    <w:qFormat/>
    <w:pPr>
      <w:widowControl w:val="0"/>
      <w:spacing w:line="680" w:lineRule="exact"/>
      <w:jc w:val="center"/>
      <w:textAlignment w:val="center"/>
    </w:pPr>
    <w:rPr>
      <w:rFonts w:ascii="黑体" w:eastAsia="黑体"/>
      <w:sz w:val="52"/>
    </w:rPr>
  </w:style>
  <w:style w:type="paragraph" w:customStyle="1" w:styleId="GB">
    <w:name w:val="发布GB"/>
    <w:basedOn w:val="ad"/>
    <w:qFormat/>
    <w:pPr>
      <w:spacing w:after="0" w:line="280" w:lineRule="exact"/>
      <w:ind w:left="284"/>
    </w:pPr>
    <w:rPr>
      <w:rFonts w:ascii="黑体" w:eastAsia="黑体"/>
      <w:kern w:val="3"/>
      <w:sz w:val="28"/>
    </w:rPr>
  </w:style>
  <w:style w:type="paragraph" w:customStyle="1" w:styleId="aff">
    <w:name w:val="二级无标题条"/>
    <w:basedOn w:val="aff0"/>
    <w:qFormat/>
    <w:pPr>
      <w:spacing w:beforeLines="0" w:before="0" w:afterLines="0" w:after="0"/>
    </w:pPr>
    <w:rPr>
      <w:rFonts w:eastAsia="宋体"/>
    </w:rPr>
  </w:style>
  <w:style w:type="paragraph" w:customStyle="1" w:styleId="aff0">
    <w:name w:val="二级条标题"/>
    <w:basedOn w:val="a0"/>
    <w:next w:val="aff1"/>
    <w:qFormat/>
    <w:pPr>
      <w:numPr>
        <w:ilvl w:val="0"/>
        <w:numId w:val="0"/>
      </w:numPr>
      <w:spacing w:before="50" w:after="50"/>
      <w:ind w:left="568"/>
      <w:outlineLvl w:val="9"/>
    </w:pPr>
  </w:style>
  <w:style w:type="paragraph" w:customStyle="1" w:styleId="a0">
    <w:name w:val="一级条标题"/>
    <w:next w:val="aff1"/>
    <w:qFormat/>
    <w:pPr>
      <w:numPr>
        <w:ilvl w:val="1"/>
        <w:numId w:val="1"/>
      </w:numPr>
      <w:spacing w:beforeLines="50" w:before="156" w:afterLines="50" w:after="156"/>
      <w:outlineLvl w:val="2"/>
    </w:pPr>
    <w:rPr>
      <w:rFonts w:ascii="黑体" w:eastAsia="黑体"/>
      <w:sz w:val="21"/>
      <w:szCs w:val="21"/>
    </w:rPr>
  </w:style>
  <w:style w:type="paragraph" w:customStyle="1" w:styleId="aff1">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f2">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
    <w:name w:val="章标题"/>
    <w:next w:val="aff1"/>
    <w:qFormat/>
    <w:pPr>
      <w:numPr>
        <w:numId w:val="1"/>
      </w:numPr>
      <w:spacing w:beforeLines="100" w:before="312" w:afterLines="100" w:after="312"/>
      <w:jc w:val="both"/>
      <w:outlineLvl w:val="1"/>
    </w:pPr>
    <w:rPr>
      <w:rFonts w:ascii="黑体" w:eastAsia="黑体"/>
      <w:sz w:val="21"/>
    </w:rPr>
  </w:style>
  <w:style w:type="paragraph" w:customStyle="1" w:styleId="aff3">
    <w:name w:val="标准书眉一"/>
    <w:qFormat/>
    <w:pPr>
      <w:jc w:val="both"/>
    </w:pPr>
  </w:style>
  <w:style w:type="paragraph" w:customStyle="1" w:styleId="aff4">
    <w:name w:val="封面标准代替信息"/>
    <w:basedOn w:val="2"/>
    <w:qFormat/>
    <w:pPr>
      <w:spacing w:before="0" w:line="360" w:lineRule="exact"/>
    </w:pPr>
    <w:rPr>
      <w:rFonts w:hAnsi="黑体"/>
      <w:sz w:val="21"/>
    </w:rPr>
  </w:style>
  <w:style w:type="paragraph" w:customStyle="1" w:styleId="2">
    <w:name w:val="封面标准号2"/>
    <w:basedOn w:val="13"/>
    <w:qFormat/>
    <w:pPr>
      <w:adjustRightInd w:val="0"/>
      <w:spacing w:before="357" w:line="280" w:lineRule="exact"/>
    </w:pPr>
  </w:style>
  <w:style w:type="paragraph" w:customStyle="1" w:styleId="13">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aff5">
    <w:name w:val="名称"/>
    <w:basedOn w:val="aff6"/>
    <w:next w:val="aff1"/>
    <w:qFormat/>
    <w:pPr>
      <w:spacing w:line="460" w:lineRule="exact"/>
      <w:outlineLvl w:val="9"/>
    </w:pPr>
  </w:style>
  <w:style w:type="paragraph" w:customStyle="1" w:styleId="aff6">
    <w:name w:val="前言、引言标题"/>
    <w:next w:val="a7"/>
    <w:qFormat/>
    <w:pPr>
      <w:shd w:val="clear" w:color="FFFFFF" w:fill="FFFFFF"/>
      <w:spacing w:before="640" w:after="560"/>
      <w:jc w:val="center"/>
      <w:outlineLvl w:val="0"/>
    </w:pPr>
    <w:rPr>
      <w:rFonts w:ascii="黑体" w:eastAsia="黑体"/>
      <w:sz w:val="32"/>
    </w:rPr>
  </w:style>
  <w:style w:type="paragraph" w:customStyle="1" w:styleId="a5">
    <w:name w:val="附录标识"/>
    <w:basedOn w:val="a7"/>
    <w:next w:val="a7"/>
    <w:qFormat/>
    <w:pPr>
      <w:keepNext/>
      <w:widowControl/>
      <w:numPr>
        <w:numId w:val="2"/>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ff7">
    <w:name w:val="一级无标题条"/>
    <w:basedOn w:val="a0"/>
    <w:qFormat/>
    <w:pPr>
      <w:spacing w:beforeLines="0" w:before="0" w:afterLines="0" w:after="0"/>
      <w:outlineLvl w:val="9"/>
    </w:pPr>
    <w:rPr>
      <w:rFonts w:eastAsia="宋体"/>
    </w:rPr>
  </w:style>
  <w:style w:type="paragraph" w:customStyle="1" w:styleId="aff8">
    <w:name w:val="标准书眉_偶数页"/>
    <w:basedOn w:val="aff2"/>
    <w:next w:val="a7"/>
    <w:qFormat/>
    <w:pPr>
      <w:jc w:val="left"/>
    </w:pPr>
  </w:style>
  <w:style w:type="paragraph" w:customStyle="1" w:styleId="aff9">
    <w:name w:val="封面标准英文名称"/>
    <w:qFormat/>
    <w:pPr>
      <w:widowControl w:val="0"/>
      <w:spacing w:before="330" w:line="400" w:lineRule="exact"/>
      <w:jc w:val="center"/>
    </w:pPr>
    <w:rPr>
      <w:rFonts w:ascii="黑体" w:eastAsia="黑体"/>
      <w:sz w:val="28"/>
    </w:rPr>
  </w:style>
  <w:style w:type="paragraph" w:customStyle="1" w:styleId="affa">
    <w:name w:val="实施日期"/>
    <w:basedOn w:val="affb"/>
    <w:qFormat/>
    <w:pPr>
      <w:jc w:val="right"/>
    </w:pPr>
  </w:style>
  <w:style w:type="paragraph" w:customStyle="1" w:styleId="affb">
    <w:name w:val="发布日期"/>
    <w:qFormat/>
    <w:rPr>
      <w:rFonts w:ascii="黑体" w:eastAsia="黑体" w:hAnsi="黑体"/>
      <w:sz w:val="28"/>
    </w:rPr>
  </w:style>
  <w:style w:type="paragraph" w:customStyle="1" w:styleId="a4">
    <w:name w:val="附录表标号"/>
    <w:basedOn w:val="a7"/>
    <w:next w:val="aff1"/>
    <w:qFormat/>
    <w:pPr>
      <w:numPr>
        <w:numId w:val="3"/>
      </w:numPr>
      <w:snapToGrid w:val="0"/>
      <w:spacing w:line="14" w:lineRule="exact"/>
      <w:jc w:val="center"/>
    </w:pPr>
    <w:rPr>
      <w:rFonts w:ascii="Times New Roman" w:hAnsi="Times New Roman"/>
      <w:color w:val="FFFFFF"/>
      <w:szCs w:val="20"/>
    </w:rPr>
  </w:style>
  <w:style w:type="paragraph" w:customStyle="1" w:styleId="14">
    <w:name w:val="样式 标题 1 + 非加粗"/>
    <w:basedOn w:val="1"/>
    <w:qFormat/>
    <w:pPr>
      <w:spacing w:beforeLines="100" w:before="100" w:afterLines="100" w:after="100" w:line="240" w:lineRule="auto"/>
    </w:pPr>
    <w:rPr>
      <w:rFonts w:eastAsia="黑体"/>
      <w:b w:val="0"/>
      <w:bCs w:val="0"/>
      <w:sz w:val="21"/>
    </w:rPr>
  </w:style>
  <w:style w:type="paragraph" w:customStyle="1" w:styleId="affc">
    <w:name w:val="目次、标准名称标题"/>
    <w:basedOn w:val="aff6"/>
    <w:next w:val="aff1"/>
    <w:qFormat/>
    <w:pPr>
      <w:keepNext/>
      <w:pageBreakBefore/>
      <w:spacing w:line="460" w:lineRule="exact"/>
    </w:pPr>
  </w:style>
  <w:style w:type="paragraph" w:customStyle="1" w:styleId="TB">
    <w:name w:val="发布TB"/>
    <w:basedOn w:val="GB"/>
    <w:qFormat/>
    <w:pPr>
      <w:ind w:left="567"/>
    </w:pPr>
  </w:style>
  <w:style w:type="paragraph" w:styleId="affd">
    <w:name w:val="List Paragraph"/>
    <w:basedOn w:val="a7"/>
    <w:uiPriority w:val="34"/>
    <w:qFormat/>
    <w:pPr>
      <w:ind w:firstLineChars="200" w:firstLine="420"/>
    </w:pPr>
  </w:style>
  <w:style w:type="paragraph" w:customStyle="1" w:styleId="a6">
    <w:name w:val="附录章标题"/>
    <w:next w:val="aff1"/>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TB0">
    <w:name w:val="发布部门TB"/>
    <w:basedOn w:val="a7"/>
    <w:qFormat/>
    <w:pPr>
      <w:widowControl/>
      <w:spacing w:line="360" w:lineRule="exact"/>
      <w:jc w:val="center"/>
    </w:pPr>
    <w:rPr>
      <w:rFonts w:ascii="黑体" w:eastAsia="黑体" w:hAnsi="黑体"/>
      <w:spacing w:val="20"/>
      <w:w w:val="135"/>
      <w:kern w:val="0"/>
      <w:sz w:val="36"/>
      <w:szCs w:val="20"/>
    </w:rPr>
  </w:style>
  <w:style w:type="paragraph" w:customStyle="1" w:styleId="Char">
    <w:name w:val="Char"/>
    <w:basedOn w:val="a7"/>
    <w:rPr>
      <w:rFonts w:ascii="Times New Roman" w:hAnsi="Times New Roman"/>
      <w:szCs w:val="24"/>
    </w:rPr>
  </w:style>
  <w:style w:type="paragraph" w:customStyle="1" w:styleId="affe">
    <w:name w:val="封面正文"/>
    <w:qFormat/>
    <w:pPr>
      <w:jc w:val="both"/>
    </w:pPr>
  </w:style>
  <w:style w:type="paragraph" w:customStyle="1" w:styleId="a2">
    <w:name w:val="列项——（一级）"/>
    <w:qFormat/>
    <w:pPr>
      <w:widowControl w:val="0"/>
      <w:numPr>
        <w:numId w:val="4"/>
      </w:numPr>
      <w:jc w:val="both"/>
    </w:pPr>
    <w:rPr>
      <w:rFonts w:ascii="宋体"/>
      <w:sz w:val="21"/>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脚_偶数页"/>
    <w:qFormat/>
    <w:pPr>
      <w:spacing w:before="120"/>
    </w:pPr>
    <w:rPr>
      <w:sz w:val="18"/>
    </w:rPr>
  </w:style>
  <w:style w:type="paragraph" w:customStyle="1" w:styleId="ICS">
    <w:name w:val="ICS"/>
    <w:basedOn w:val="affe"/>
    <w:qFormat/>
    <w:pPr>
      <w:jc w:val="left"/>
    </w:pPr>
    <w:rPr>
      <w:rFonts w:ascii="黑体" w:eastAsia="黑体"/>
      <w:sz w:val="21"/>
    </w:rPr>
  </w:style>
  <w:style w:type="paragraph" w:customStyle="1" w:styleId="a1">
    <w:name w:val="附录图标号"/>
    <w:basedOn w:val="a7"/>
    <w:next w:val="aff1"/>
    <w:qFormat/>
    <w:pPr>
      <w:numPr>
        <w:numId w:val="5"/>
      </w:numPr>
      <w:snapToGrid w:val="0"/>
      <w:spacing w:line="14" w:lineRule="exact"/>
      <w:jc w:val="center"/>
    </w:pPr>
    <w:rPr>
      <w:rFonts w:ascii="Times New Roman" w:hAnsi="Times New Roman"/>
      <w:color w:val="FFFFFF"/>
      <w:szCs w:val="20"/>
    </w:rPr>
  </w:style>
  <w:style w:type="paragraph" w:customStyle="1" w:styleId="afff1">
    <w:name w:val="术语定义一级条标题"/>
    <w:basedOn w:val="a0"/>
    <w:next w:val="aff1"/>
    <w:qFormat/>
    <w:pPr>
      <w:spacing w:beforeLines="0" w:before="0" w:afterLines="0" w:after="0"/>
      <w:outlineLvl w:val="9"/>
    </w:pPr>
  </w:style>
  <w:style w:type="paragraph" w:customStyle="1" w:styleId="a3">
    <w:name w:val="字母编号列项（一级）"/>
    <w:qFormat/>
    <w:pPr>
      <w:numPr>
        <w:numId w:val="6"/>
      </w:numPr>
      <w:jc w:val="both"/>
    </w:pPr>
    <w:rPr>
      <w:rFonts w:ascii="宋体"/>
      <w:sz w:val="21"/>
    </w:rPr>
  </w:style>
  <w:style w:type="paragraph" w:customStyle="1" w:styleId="Style134">
    <w:name w:val="_Style 134"/>
    <w:basedOn w:val="a7"/>
    <w:next w:val="affd"/>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中国电机工程学会标准</dc:title>
  <dc:creator>MYQ</dc:creator>
  <cp:lastModifiedBy>Keteng Jiang</cp:lastModifiedBy>
  <cp:revision>29</cp:revision>
  <cp:lastPrinted>2018-05-10T03:48:00Z</cp:lastPrinted>
  <dcterms:created xsi:type="dcterms:W3CDTF">2024-12-10T06:48:00Z</dcterms:created>
  <dcterms:modified xsi:type="dcterms:W3CDTF">2024-12-10T07:59:00Z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69BC2E6792E34AFBA0841EF9A884850D</vt:lpwstr>
  </property>
</Properties>
</file>