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3570" w14:textId="77777777" w:rsidR="00DC3EA5" w:rsidRDefault="00000000">
      <w:pPr>
        <w:pStyle w:val="affffffffd"/>
      </w:pPr>
      <w:bookmarkStart w:id="0" w:name="标准封面"/>
      <w:bookmarkEnd w:id="0"/>
      <w:r>
        <w:rPr>
          <w:rFonts w:ascii="Times New Roman"/>
          <w:noProof/>
        </w:rPr>
        <mc:AlternateContent>
          <mc:Choice Requires="wps">
            <w:drawing>
              <wp:anchor distT="0" distB="0" distL="114300" distR="114300" simplePos="0" relativeHeight="251668480" behindDoc="0" locked="0" layoutInCell="1" allowOverlap="1" wp14:anchorId="1514A77D" wp14:editId="546A2D1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Content>
                              <w:p w14:paraId="5E1CEB27" w14:textId="77777777" w:rsidR="00DC3EA5" w:rsidRDefault="00000000">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w14:anchorId="1514A77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5E1CEB27" w14:textId="77777777" w:rsidR="00DC3EA5" w:rsidRDefault="00000000">
                          <w:pPr>
                            <w:jc w:val="distribute"/>
                            <w:rPr>
                              <w:rFonts w:ascii="黑体" w:eastAsia="黑体" w:hAnsi="黑体" w:hint="eastAsia"/>
                              <w:sz w:val="84"/>
                              <w:szCs w:val="84"/>
                            </w:rPr>
                          </w:pPr>
                          <w:r>
                            <w:rPr>
                              <w:rFonts w:ascii="黑体" w:eastAsia="黑体" w:hAnsi="黑体" w:hint="eastAsia"/>
                              <w:sz w:val="84"/>
                              <w:szCs w:val="84"/>
                            </w:rPr>
                            <w:t>团体标准</w:t>
                          </w:r>
                        </w:p>
                      </w:sdtContent>
                    </w:sdt>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84FCA08" wp14:editId="78065B1C">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4ABF282A" w14:textId="77777777" w:rsidR="00DC3EA5"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84FCA08"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" filled="f" stroked="f" strokeweight=".5pt">
                <v:textbox inset="0,0,0,0">
                  <w:txbxContent>
                    <w:p w14:paraId="4ABF282A" w14:textId="77777777" w:rsidR="00DC3EA5" w:rsidRDefault="00000000">
                      <w:pPr>
                        <w:pStyle w:val="TB1"/>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6E248F2" wp14:editId="5215247C">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25026" id="首页自画框图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6.95pt" to="481.9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&#1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0258836" wp14:editId="0AE726F5">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CEB0D" id="首页自画框图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2.9pt" to="481.95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&#1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0CE4657" wp14:editId="646D606E">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72DEF5B5" w14:textId="77777777" w:rsidR="00DC3EA5" w:rsidRDefault="00000000">
                            <w:pPr>
                              <w:pStyle w:val="TB2"/>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0CE4657"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" filled="f" stroked="f" strokeweight=".5pt">
                <v:textbox inset="0,0,0,0">
                  <w:txbxContent>
                    <w:p w14:paraId="72DEF5B5" w14:textId="77777777" w:rsidR="00DC3EA5" w:rsidRDefault="00000000">
                      <w:pPr>
                        <w:pStyle w:val="TB2"/>
                        <w:rPr>
                          <w:rFonts w:hint="eastAsia"/>
                        </w:rPr>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3193A38" wp14:editId="09DB6385">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007FB485" w14:textId="77777777" w:rsidR="00DC3EA5" w:rsidRDefault="00000000">
                            <w:pPr>
                              <w:pStyle w:val="afffffffff1"/>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3193A38" id="首页自画框图9" o:spid="_x0000_s1029"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" filled="f" stroked="f" strokeweight=".5pt">
                <v:textbox style="mso-fit-shape-to-text:t" inset="0,0,,0">
                  <w:txbxContent>
                    <w:p w14:paraId="007FB485" w14:textId="77777777" w:rsidR="00DC3EA5" w:rsidRDefault="00000000">
                      <w:pPr>
                        <w:pStyle w:val="afffffffff1"/>
                        <w:rPr>
                          <w:rFonts w:hint="eastAsia"/>
                        </w:rPr>
                      </w:pPr>
                      <w:r>
                        <w:t>20XX—XX—XX实施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858B61" wp14:editId="5E40EC9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4869F385" w14:textId="77777777" w:rsidR="00DC3EA5" w:rsidRDefault="00000000">
                            <w:pPr>
                              <w:pStyle w:val="affffffff3"/>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0858B61" id="首页自画框图8" o:spid="_x0000_s1030"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" filled="f" stroked="f" strokeweight=".5pt">
                <v:textbox style="mso-fit-shape-to-text:t" inset="0,0,,0">
                  <w:txbxContent>
                    <w:p w14:paraId="4869F385" w14:textId="77777777" w:rsidR="00DC3EA5" w:rsidRDefault="00000000">
                      <w:pPr>
                        <w:pStyle w:val="affffffff3"/>
                        <w:rPr>
                          <w:rFonts w:hint="eastAsia"/>
                        </w:rPr>
                      </w:pPr>
                      <w:r>
                        <w:t>20XX—XX—XX发布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C058D4" wp14:editId="1D1CBB46">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33EEE6F4" w14:textId="77777777" w:rsidR="00DC3EA5" w:rsidRDefault="00000000">
                            <w:pPr>
                              <w:pStyle w:val="affffffff5"/>
                            </w:pPr>
                            <w:r>
                              <w:fldChar w:fldCharType="begin">
                                <w:ffData>
                                  <w:name w:val="StdName"/>
                                  <w:enabled/>
                                  <w:calcOnExit w:val="0"/>
                                  <w:textInput>
                                    <w:default w:val="柔性低频交流输电系统高压电气设备 第7部分：低频电气设备交接试验规程"/>
                                  </w:textInput>
                                </w:ffData>
                              </w:fldChar>
                            </w:r>
                            <w:bookmarkStart w:id="1" w:name="StdName"/>
                            <w:r>
                              <w:instrText xml:space="preserve"> FORMTEXT </w:instrText>
                            </w:r>
                            <w:r>
                              <w:fldChar w:fldCharType="separate"/>
                            </w:r>
                            <w:r>
                              <w:rPr>
                                <w:rFonts w:hint="eastAsia"/>
                              </w:rPr>
                              <w:t>柔性低频交流输电系统高压电气设备 第7部分：低频电气设备交接试验规程</w:t>
                            </w:r>
                            <w:r>
                              <w:fldChar w:fldCharType="end"/>
                            </w:r>
                            <w:bookmarkEnd w:id="1"/>
                          </w:p>
                          <w:p w14:paraId="6F1EFC73" w14:textId="77777777" w:rsidR="00DC3EA5" w:rsidRDefault="00000000">
                            <w:pPr>
                              <w:pStyle w:val="affffffff9"/>
                              <w:rPr>
                                <w:rFonts w:hint="eastAsia"/>
                              </w:rPr>
                            </w:pPr>
                            <w:r>
                              <w:rPr>
                                <w:rFonts w:hint="eastAsia"/>
                              </w:rPr>
                              <w:t>High voltage electric equipment for flexible low-frequency AC transmission system Part7: Handover test code of practice for low-frequency electric equipment</w:t>
                            </w:r>
                          </w:p>
                          <w:p w14:paraId="12C7B181" w14:textId="77777777" w:rsidR="00DC3EA5" w:rsidRDefault="00000000">
                            <w:pPr>
                              <w:pStyle w:val="affffffff9"/>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BC058D4" id="首页自画框图7" o:spid="_x0000_s1031"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" filled="f" stroked="f" strokeweight=".5pt">
                <v:textbox style="mso-fit-shape-to-text:t" inset="0,0,,0">
                  <w:txbxContent>
                    <w:p w14:paraId="33EEE6F4" w14:textId="77777777" w:rsidR="00DC3EA5" w:rsidRDefault="00000000">
                      <w:pPr>
                        <w:pStyle w:val="affffffff5"/>
                      </w:pPr>
                      <w:r>
                        <w:fldChar w:fldCharType="begin">
                          <w:ffData>
                            <w:name w:val="StdName"/>
                            <w:enabled/>
                            <w:calcOnExit w:val="0"/>
                            <w:textInput>
                              <w:default w:val="柔性低频交流输电系统高压电气设备 第7部分：低频电气设备交接试验规程"/>
                            </w:textInput>
                          </w:ffData>
                        </w:fldChar>
                      </w:r>
                      <w:bookmarkStart w:id="2" w:name="StdName"/>
                      <w:r>
                        <w:instrText xml:space="preserve"> FORMTEXT </w:instrText>
                      </w:r>
                      <w:r>
                        <w:fldChar w:fldCharType="separate"/>
                      </w:r>
                      <w:r>
                        <w:rPr>
                          <w:rFonts w:hint="eastAsia"/>
                        </w:rPr>
                        <w:t>柔性低频交流输电系统高压电气设备 第7部分：低频电气设备交接试验规程</w:t>
                      </w:r>
                      <w:r>
                        <w:fldChar w:fldCharType="end"/>
                      </w:r>
                      <w:bookmarkEnd w:id="2"/>
                    </w:p>
                    <w:p w14:paraId="6F1EFC73" w14:textId="77777777" w:rsidR="00DC3EA5" w:rsidRDefault="00000000">
                      <w:pPr>
                        <w:pStyle w:val="affffffff9"/>
                        <w:rPr>
                          <w:rFonts w:hint="eastAsia"/>
                        </w:rPr>
                      </w:pPr>
                      <w:r>
                        <w:rPr>
                          <w:rFonts w:hint="eastAsia"/>
                        </w:rPr>
                        <w:t>High voltage electric equipment for flexible low-frequency AC transmission system Part7: Handover test code of practice for low-frequency electric equipment</w:t>
                      </w:r>
                    </w:p>
                    <w:p w14:paraId="12C7B181" w14:textId="77777777" w:rsidR="00DC3EA5" w:rsidRDefault="00000000">
                      <w:pPr>
                        <w:pStyle w:val="affffffff9"/>
                        <w:rPr>
                          <w:rFonts w:hint="eastAsia"/>
                        </w:rPr>
                      </w:pPr>
                      <w:r>
                        <w:t>（</w:t>
                      </w:r>
                      <w:r>
                        <w:rPr>
                          <w:rFonts w:hint="eastAsia"/>
                        </w:rPr>
                        <w:t>征求意见</w:t>
                      </w:r>
                      <w:r>
                        <w:t>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492273" wp14:editId="7ABB948E">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7418A89E" w14:textId="77777777" w:rsidR="00DC3EA5" w:rsidRDefault="00000000">
                            <w:pPr>
                              <w:pStyle w:val="1e"/>
                              <w:wordWrap w:val="0"/>
                            </w:pPr>
                            <w:r>
                              <w:t>T/CSEE XXXX</w:t>
                            </w:r>
                            <w:r>
                              <w:rPr>
                                <w:color w:val="FF0000"/>
                              </w:rPr>
                              <w:t>—</w:t>
                            </w:r>
                            <w:r>
                              <w:t>YYYY</w:t>
                            </w:r>
                          </w:p>
                          <w:p w14:paraId="7109A890" w14:textId="77777777" w:rsidR="00DC3EA5" w:rsidRDefault="00000000">
                            <w:pPr>
                              <w:pStyle w:val="affffffff4"/>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2492273" id="首页自画框图5" o:spid="_x0000_s1032" type="#_x0000_t202" style="position:absolute;left:0;text-align:left;margin-left:127.6pt;margin-top:141.6pt;width:340.2pt;height:5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" filled="f" stroked="f" strokeweight=".5pt">
                <v:textbox style="mso-fit-shape-to-text:t" inset="0,0,,0">
                  <w:txbxContent>
                    <w:p w14:paraId="7418A89E" w14:textId="77777777" w:rsidR="00DC3EA5" w:rsidRDefault="00000000">
                      <w:pPr>
                        <w:pStyle w:val="1e"/>
                        <w:wordWrap w:val="0"/>
                      </w:pPr>
                      <w:r>
                        <w:t>T/CSEE XXXX</w:t>
                      </w:r>
                      <w:r>
                        <w:rPr>
                          <w:color w:val="FF0000"/>
                        </w:rPr>
                        <w:t>—</w:t>
                      </w:r>
                      <w:r>
                        <w:t>YYYY</w:t>
                      </w:r>
                    </w:p>
                    <w:p w14:paraId="7109A890" w14:textId="77777777" w:rsidR="00DC3EA5" w:rsidRDefault="00000000">
                      <w:pPr>
                        <w:pStyle w:val="affffffff4"/>
                        <w:rPr>
                          <w:rFonts w:hint="eastAsia"/>
                        </w:rPr>
                      </w:pPr>
                      <w:r>
                        <w:rPr>
                          <w:rFonts w:hint="eastAsia"/>
                        </w:rPr>
                        <w:t>代替 T/X</w:t>
                      </w:r>
                      <w:r>
                        <w:t>X</w:t>
                      </w:r>
                      <w:r>
                        <w:rPr>
                          <w:rFonts w:hint="eastAsia"/>
                        </w:rPr>
                        <w:t>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3EF251" wp14:editId="4EE2C21A">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4D93BBC2" w14:textId="77777777" w:rsidR="00DC3EA5" w:rsidRDefault="00000000">
                            <w:pPr>
                              <w:pStyle w:val="ICS"/>
                            </w:pPr>
                            <w:r>
                              <w:rPr>
                                <w:rFonts w:hint="eastAsia"/>
                              </w:rPr>
                              <w:t>I</w:t>
                            </w:r>
                            <w:r>
                              <w:t xml:space="preserve">CS </w:t>
                            </w:r>
                            <w:r>
                              <w:rPr>
                                <w:rFonts w:hint="eastAsia"/>
                              </w:rPr>
                              <w:t>2</w:t>
                            </w:r>
                            <w:r>
                              <w:t>9.020</w:t>
                            </w:r>
                          </w:p>
                          <w:p w14:paraId="3796DE17" w14:textId="77777777" w:rsidR="00DC3EA5" w:rsidRDefault="00000000">
                            <w:pPr>
                              <w:pStyle w:val="ICS"/>
                            </w:pPr>
                            <w:r>
                              <w:rPr>
                                <w:rFonts w:hint="eastAsia"/>
                              </w:rPr>
                              <w:t>C</w:t>
                            </w:r>
                            <w:r>
                              <w:t xml:space="preserve">CS </w:t>
                            </w:r>
                            <w:r>
                              <w:rPr>
                                <w:rFonts w:hint="eastAsia"/>
                              </w:rPr>
                              <w:t>F 22</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93EF251" id="首页自画框图2" o:spid="_x0000_s1033" type="#_x0000_t202" style="position:absolute;left:0;text-align:left;margin-left:0;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" filled="f" stroked="f" strokeweight=".5pt">
                <v:textbox style="mso-fit-shape-to-text:t" inset="0,0,,0">
                  <w:txbxContent>
                    <w:p w14:paraId="4D93BBC2" w14:textId="77777777" w:rsidR="00DC3EA5" w:rsidRDefault="00000000">
                      <w:pPr>
                        <w:pStyle w:val="ICS"/>
                      </w:pPr>
                      <w:r>
                        <w:rPr>
                          <w:rFonts w:hint="eastAsia"/>
                        </w:rPr>
                        <w:t>I</w:t>
                      </w:r>
                      <w:r>
                        <w:t xml:space="preserve">CS </w:t>
                      </w:r>
                      <w:r>
                        <w:rPr>
                          <w:rFonts w:hint="eastAsia"/>
                        </w:rPr>
                        <w:t>2</w:t>
                      </w:r>
                      <w:r>
                        <w:t>9.020</w:t>
                      </w:r>
                    </w:p>
                    <w:p w14:paraId="3796DE17" w14:textId="77777777" w:rsidR="00DC3EA5" w:rsidRDefault="00000000">
                      <w:pPr>
                        <w:pStyle w:val="ICS"/>
                      </w:pPr>
                      <w:r>
                        <w:rPr>
                          <w:rFonts w:hint="eastAsia"/>
                        </w:rPr>
                        <w:t>C</w:t>
                      </w:r>
                      <w:r>
                        <w:t xml:space="preserve">CS </w:t>
                      </w:r>
                      <w:r>
                        <w:rPr>
                          <w:rFonts w:hint="eastAsia"/>
                        </w:rPr>
                        <w:t>F 22</w:t>
                      </w:r>
                    </w:p>
                  </w:txbxContent>
                </v:textbox>
              </v:shape>
            </w:pict>
          </mc:Fallback>
        </mc:AlternateContent>
      </w:r>
    </w:p>
    <w:p w14:paraId="7684E2B3" w14:textId="77777777" w:rsidR="00DC3EA5" w:rsidRDefault="00DC3EA5">
      <w:pPr>
        <w:pStyle w:val="affffffff2"/>
        <w:ind w:firstLine="420"/>
      </w:pPr>
    </w:p>
    <w:p w14:paraId="62F9F386" w14:textId="77777777" w:rsidR="00DC3EA5" w:rsidRDefault="00DC3EA5">
      <w:pPr>
        <w:pStyle w:val="affffffff2"/>
        <w:ind w:firstLine="420"/>
      </w:pPr>
    </w:p>
    <w:p w14:paraId="2A003752" w14:textId="77777777" w:rsidR="00DC3EA5" w:rsidRDefault="00DC3EA5">
      <w:pPr>
        <w:pStyle w:val="affffffff2"/>
        <w:ind w:firstLine="420"/>
      </w:pPr>
    </w:p>
    <w:p w14:paraId="6556FDE2" w14:textId="77777777" w:rsidR="00DC3EA5" w:rsidRDefault="00DC3EA5">
      <w:pPr>
        <w:pStyle w:val="affffffff2"/>
        <w:ind w:firstLine="420"/>
      </w:pPr>
    </w:p>
    <w:p w14:paraId="5556B0AD" w14:textId="77777777" w:rsidR="00DC3EA5" w:rsidRDefault="00DC3EA5">
      <w:pPr>
        <w:pStyle w:val="affffffff2"/>
        <w:ind w:firstLine="420"/>
      </w:pPr>
    </w:p>
    <w:p w14:paraId="79C4B410" w14:textId="77777777" w:rsidR="00DC3EA5" w:rsidRDefault="00DC3EA5">
      <w:pPr>
        <w:pStyle w:val="affffffff2"/>
        <w:ind w:firstLine="420"/>
        <w:sectPr w:rsidR="00DC3EA5">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14:paraId="0A3CB424" w14:textId="77777777" w:rsidR="00DC3EA5" w:rsidRDefault="00000000">
      <w:pPr>
        <w:pStyle w:val="affffffffd"/>
      </w:pPr>
      <w:bookmarkStart w:id="3" w:name="标准内容"/>
      <w:bookmarkStart w:id="4" w:name="_Toc62027346"/>
      <w:bookmarkStart w:id="5" w:name="_Toc55228493"/>
      <w:bookmarkStart w:id="6" w:name="_Toc63642871"/>
      <w:bookmarkEnd w:id="3"/>
      <w:r>
        <w:rPr>
          <w:rFonts w:hint="eastAsia"/>
        </w:rPr>
        <w:lastRenderedPageBreak/>
        <w:t>目    次</w:t>
      </w:r>
    </w:p>
    <w:p w14:paraId="55D772F6" w14:textId="77777777" w:rsidR="00DC3EA5" w:rsidRDefault="00000000">
      <w:pPr>
        <w:pStyle w:val="TOC1"/>
        <w:tabs>
          <w:tab w:val="right" w:leader="dot" w:pos="9356"/>
        </w:tabs>
        <w:spacing w:before="78" w:after="78"/>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16560" w:history="1">
        <w:r w:rsidR="00DC3EA5">
          <w:rPr>
            <w:rFonts w:ascii="Times New Roman"/>
          </w:rPr>
          <w:t>前</w:t>
        </w:r>
        <w:r w:rsidR="00DC3EA5">
          <w:rPr>
            <w:rFonts w:ascii="Times New Roman"/>
          </w:rPr>
          <w:t xml:space="preserve">    </w:t>
        </w:r>
        <w:r w:rsidR="00DC3EA5">
          <w:rPr>
            <w:rFonts w:ascii="Times New Roman"/>
          </w:rPr>
          <w:t>言</w:t>
        </w:r>
        <w:r w:rsidR="00DC3EA5">
          <w:tab/>
        </w:r>
        <w:r w:rsidR="00DC3EA5">
          <w:fldChar w:fldCharType="begin"/>
        </w:r>
        <w:r w:rsidR="00DC3EA5">
          <w:instrText xml:space="preserve"> PAGEREF _Toc16560 \h </w:instrText>
        </w:r>
        <w:r w:rsidR="00DC3EA5">
          <w:fldChar w:fldCharType="separate"/>
        </w:r>
        <w:r w:rsidR="00DC3EA5">
          <w:t>8</w:t>
        </w:r>
        <w:r w:rsidR="00DC3EA5">
          <w:fldChar w:fldCharType="end"/>
        </w:r>
      </w:hyperlink>
    </w:p>
    <w:p w14:paraId="456235D0" w14:textId="77777777" w:rsidR="00DC3EA5" w:rsidRDefault="00DC3EA5">
      <w:pPr>
        <w:pStyle w:val="TOC2"/>
        <w:tabs>
          <w:tab w:val="right" w:leader="dot" w:pos="9356"/>
        </w:tabs>
        <w:spacing w:before="78" w:after="78"/>
      </w:pPr>
      <w:hyperlink w:anchor="_Toc25229" w:history="1">
        <w:r>
          <w:rPr>
            <w:rFonts w:ascii="黑体" w:eastAsia="黑体" w:hint="eastAsia"/>
            <w:szCs w:val="21"/>
          </w:rPr>
          <w:t xml:space="preserve">1 </w:t>
        </w:r>
        <w:r>
          <w:rPr>
            <w:rFonts w:ascii="Times New Roman"/>
            <w:szCs w:val="21"/>
          </w:rPr>
          <w:t>范围</w:t>
        </w:r>
        <w:r>
          <w:tab/>
        </w:r>
        <w:r>
          <w:fldChar w:fldCharType="begin"/>
        </w:r>
        <w:r>
          <w:instrText xml:space="preserve"> PAGEREF _Toc25229 \h </w:instrText>
        </w:r>
        <w:r>
          <w:fldChar w:fldCharType="separate"/>
        </w:r>
        <w:r>
          <w:t>9</w:t>
        </w:r>
        <w:r>
          <w:fldChar w:fldCharType="end"/>
        </w:r>
      </w:hyperlink>
    </w:p>
    <w:p w14:paraId="63B73C5C" w14:textId="77777777" w:rsidR="00DC3EA5" w:rsidRDefault="00DC3EA5">
      <w:pPr>
        <w:pStyle w:val="TOC2"/>
        <w:tabs>
          <w:tab w:val="right" w:leader="dot" w:pos="9356"/>
        </w:tabs>
        <w:spacing w:before="78" w:after="78"/>
      </w:pPr>
      <w:hyperlink w:anchor="_Toc17645" w:history="1">
        <w:r>
          <w:rPr>
            <w:rFonts w:ascii="黑体" w:eastAsia="黑体" w:hint="eastAsia"/>
            <w:szCs w:val="21"/>
          </w:rPr>
          <w:t xml:space="preserve">2 </w:t>
        </w:r>
        <w:r>
          <w:rPr>
            <w:rFonts w:ascii="Times New Roman"/>
            <w:szCs w:val="21"/>
          </w:rPr>
          <w:t>规范性引用文件</w:t>
        </w:r>
        <w:r>
          <w:tab/>
        </w:r>
        <w:r>
          <w:fldChar w:fldCharType="begin"/>
        </w:r>
        <w:r>
          <w:instrText xml:space="preserve"> PAGEREF _Toc17645 \h </w:instrText>
        </w:r>
        <w:r>
          <w:fldChar w:fldCharType="separate"/>
        </w:r>
        <w:r>
          <w:t>9</w:t>
        </w:r>
        <w:r>
          <w:fldChar w:fldCharType="end"/>
        </w:r>
      </w:hyperlink>
    </w:p>
    <w:p w14:paraId="0793806C" w14:textId="77777777" w:rsidR="00DC3EA5" w:rsidRDefault="00DC3EA5">
      <w:pPr>
        <w:pStyle w:val="TOC2"/>
        <w:tabs>
          <w:tab w:val="right" w:leader="dot" w:pos="9356"/>
        </w:tabs>
        <w:spacing w:before="78" w:after="78"/>
      </w:pPr>
      <w:hyperlink w:anchor="_Toc17045" w:history="1">
        <w:r>
          <w:rPr>
            <w:rFonts w:ascii="黑体" w:eastAsia="黑体" w:hint="eastAsia"/>
            <w:szCs w:val="21"/>
          </w:rPr>
          <w:t xml:space="preserve">3 </w:t>
        </w:r>
        <w:r>
          <w:rPr>
            <w:rFonts w:ascii="Times New Roman"/>
            <w:szCs w:val="21"/>
          </w:rPr>
          <w:t>术语和定义</w:t>
        </w:r>
        <w:r>
          <w:tab/>
        </w:r>
        <w:r>
          <w:fldChar w:fldCharType="begin"/>
        </w:r>
        <w:r>
          <w:instrText xml:space="preserve"> PAGEREF _Toc17045 \h </w:instrText>
        </w:r>
        <w:r>
          <w:fldChar w:fldCharType="separate"/>
        </w:r>
        <w:r>
          <w:t>9</w:t>
        </w:r>
        <w:r>
          <w:fldChar w:fldCharType="end"/>
        </w:r>
      </w:hyperlink>
    </w:p>
    <w:p w14:paraId="40B27165" w14:textId="77777777" w:rsidR="00DC3EA5" w:rsidRDefault="00DC3EA5">
      <w:pPr>
        <w:pStyle w:val="TOC2"/>
        <w:tabs>
          <w:tab w:val="right" w:leader="dot" w:pos="9356"/>
        </w:tabs>
        <w:spacing w:before="78" w:after="78"/>
      </w:pPr>
      <w:hyperlink w:anchor="_Toc19667" w:history="1">
        <w:r>
          <w:rPr>
            <w:rFonts w:ascii="黑体" w:eastAsia="黑体" w:hint="eastAsia"/>
            <w:szCs w:val="21"/>
          </w:rPr>
          <w:t xml:space="preserve">4 </w:t>
        </w:r>
        <w:r>
          <w:rPr>
            <w:rFonts w:ascii="Times New Roman" w:hint="eastAsia"/>
            <w:szCs w:val="21"/>
          </w:rPr>
          <w:t>基本规定</w:t>
        </w:r>
        <w:r>
          <w:tab/>
        </w:r>
        <w:r>
          <w:fldChar w:fldCharType="begin"/>
        </w:r>
        <w:r>
          <w:instrText xml:space="preserve"> PAGEREF _Toc19667 \h </w:instrText>
        </w:r>
        <w:r>
          <w:fldChar w:fldCharType="separate"/>
        </w:r>
        <w:r>
          <w:t>10</w:t>
        </w:r>
        <w:r>
          <w:fldChar w:fldCharType="end"/>
        </w:r>
      </w:hyperlink>
    </w:p>
    <w:p w14:paraId="18B51872" w14:textId="77777777" w:rsidR="00DC3EA5" w:rsidRDefault="00DC3EA5">
      <w:pPr>
        <w:pStyle w:val="TOC2"/>
        <w:tabs>
          <w:tab w:val="right" w:leader="dot" w:pos="9356"/>
        </w:tabs>
        <w:spacing w:before="78" w:after="78"/>
      </w:pPr>
      <w:hyperlink w:anchor="_Toc13308" w:history="1">
        <w:r>
          <w:rPr>
            <w:rFonts w:ascii="黑体" w:eastAsia="黑体" w:hint="eastAsia"/>
            <w:szCs w:val="21"/>
          </w:rPr>
          <w:t xml:space="preserve">5 </w:t>
        </w:r>
        <w:r>
          <w:rPr>
            <w:rFonts w:ascii="Times New Roman"/>
          </w:rPr>
          <w:t>变压器</w:t>
        </w:r>
        <w:r>
          <w:tab/>
        </w:r>
        <w:r>
          <w:fldChar w:fldCharType="begin"/>
        </w:r>
        <w:r>
          <w:instrText xml:space="preserve"> PAGEREF _Toc13308 \h </w:instrText>
        </w:r>
        <w:r>
          <w:fldChar w:fldCharType="separate"/>
        </w:r>
        <w:r>
          <w:t>11</w:t>
        </w:r>
        <w:r>
          <w:fldChar w:fldCharType="end"/>
        </w:r>
      </w:hyperlink>
    </w:p>
    <w:p w14:paraId="76777E57" w14:textId="77777777" w:rsidR="00DC3EA5" w:rsidRDefault="00DC3EA5">
      <w:pPr>
        <w:pStyle w:val="TOC2"/>
        <w:tabs>
          <w:tab w:val="right" w:leader="dot" w:pos="9356"/>
        </w:tabs>
        <w:spacing w:before="78" w:after="78"/>
      </w:pPr>
      <w:hyperlink w:anchor="_Toc2383" w:history="1">
        <w:r>
          <w:rPr>
            <w:rFonts w:ascii="黑体" w:eastAsia="黑体" w:hint="eastAsia"/>
            <w:szCs w:val="21"/>
          </w:rPr>
          <w:t xml:space="preserve">6 </w:t>
        </w:r>
        <w:r>
          <w:rPr>
            <w:rFonts w:ascii="Times New Roman"/>
          </w:rPr>
          <w:t>桥臂电抗器</w:t>
        </w:r>
        <w:r>
          <w:tab/>
        </w:r>
        <w:r>
          <w:fldChar w:fldCharType="begin"/>
        </w:r>
        <w:r>
          <w:instrText xml:space="preserve"> PAGEREF _Toc2383 \h </w:instrText>
        </w:r>
        <w:r>
          <w:fldChar w:fldCharType="separate"/>
        </w:r>
        <w:r>
          <w:t>15</w:t>
        </w:r>
        <w:r>
          <w:fldChar w:fldCharType="end"/>
        </w:r>
      </w:hyperlink>
    </w:p>
    <w:p w14:paraId="6136C0E5" w14:textId="77777777" w:rsidR="00DC3EA5" w:rsidRDefault="00DC3EA5">
      <w:pPr>
        <w:pStyle w:val="TOC2"/>
        <w:tabs>
          <w:tab w:val="right" w:leader="dot" w:pos="9356"/>
        </w:tabs>
        <w:spacing w:before="78" w:after="78"/>
      </w:pPr>
      <w:hyperlink w:anchor="_Toc28716" w:history="1">
        <w:r>
          <w:rPr>
            <w:rFonts w:ascii="黑体" w:eastAsia="黑体" w:hint="eastAsia"/>
            <w:szCs w:val="21"/>
          </w:rPr>
          <w:t xml:space="preserve">7 </w:t>
        </w:r>
        <w:r>
          <w:rPr>
            <w:rFonts w:ascii="Times New Roman"/>
          </w:rPr>
          <w:t>电压互感器</w:t>
        </w:r>
        <w:r>
          <w:tab/>
        </w:r>
        <w:r>
          <w:fldChar w:fldCharType="begin"/>
        </w:r>
        <w:r>
          <w:instrText xml:space="preserve"> PAGEREF _Toc28716 \h </w:instrText>
        </w:r>
        <w:r>
          <w:fldChar w:fldCharType="separate"/>
        </w:r>
        <w:r>
          <w:t>15</w:t>
        </w:r>
        <w:r>
          <w:fldChar w:fldCharType="end"/>
        </w:r>
      </w:hyperlink>
    </w:p>
    <w:p w14:paraId="0C93039C" w14:textId="77777777" w:rsidR="00DC3EA5" w:rsidRDefault="00DC3EA5">
      <w:pPr>
        <w:pStyle w:val="TOC2"/>
        <w:tabs>
          <w:tab w:val="right" w:leader="dot" w:pos="9356"/>
        </w:tabs>
        <w:spacing w:before="78" w:after="78"/>
      </w:pPr>
      <w:hyperlink w:anchor="_Toc17614" w:history="1">
        <w:r>
          <w:rPr>
            <w:rFonts w:ascii="黑体" w:eastAsia="黑体" w:hint="eastAsia"/>
            <w:szCs w:val="21"/>
          </w:rPr>
          <w:t xml:space="preserve">8 </w:t>
        </w:r>
        <w:r>
          <w:rPr>
            <w:rFonts w:ascii="Times New Roman"/>
          </w:rPr>
          <w:t>电流互感器</w:t>
        </w:r>
        <w:r>
          <w:tab/>
        </w:r>
        <w:r>
          <w:fldChar w:fldCharType="begin"/>
        </w:r>
        <w:r>
          <w:instrText xml:space="preserve"> PAGEREF _Toc17614 \h </w:instrText>
        </w:r>
        <w:r>
          <w:fldChar w:fldCharType="separate"/>
        </w:r>
        <w:r>
          <w:t>17</w:t>
        </w:r>
        <w:r>
          <w:fldChar w:fldCharType="end"/>
        </w:r>
      </w:hyperlink>
    </w:p>
    <w:p w14:paraId="7EFE3928" w14:textId="77777777" w:rsidR="00DC3EA5" w:rsidRDefault="00DC3EA5">
      <w:pPr>
        <w:pStyle w:val="TOC2"/>
        <w:tabs>
          <w:tab w:val="right" w:leader="dot" w:pos="9356"/>
        </w:tabs>
        <w:spacing w:before="78" w:after="78"/>
      </w:pPr>
      <w:hyperlink w:anchor="_Toc1986" w:history="1">
        <w:r>
          <w:rPr>
            <w:rFonts w:ascii="黑体" w:eastAsia="黑体" w:hint="eastAsia"/>
            <w:szCs w:val="21"/>
          </w:rPr>
          <w:t xml:space="preserve">9 </w:t>
        </w:r>
        <w:r>
          <w:rPr>
            <w:rFonts w:ascii="Times New Roman"/>
          </w:rPr>
          <w:t>真空断路器</w:t>
        </w:r>
        <w:r>
          <w:tab/>
        </w:r>
        <w:r>
          <w:fldChar w:fldCharType="begin"/>
        </w:r>
        <w:r>
          <w:instrText xml:space="preserve"> PAGEREF _Toc1986 \h </w:instrText>
        </w:r>
        <w:r>
          <w:fldChar w:fldCharType="separate"/>
        </w:r>
        <w:r>
          <w:t>19</w:t>
        </w:r>
        <w:r>
          <w:fldChar w:fldCharType="end"/>
        </w:r>
      </w:hyperlink>
    </w:p>
    <w:p w14:paraId="79E3AA4A" w14:textId="77777777" w:rsidR="00DC3EA5" w:rsidRDefault="00DC3EA5">
      <w:pPr>
        <w:pStyle w:val="TOC2"/>
        <w:tabs>
          <w:tab w:val="right" w:leader="dot" w:pos="9356"/>
        </w:tabs>
        <w:spacing w:before="78" w:after="78"/>
      </w:pPr>
      <w:hyperlink w:anchor="_Toc20884" w:history="1">
        <w:r>
          <w:rPr>
            <w:rFonts w:ascii="黑体" w:eastAsia="黑体" w:hint="eastAsia"/>
            <w:szCs w:val="21"/>
          </w:rPr>
          <w:t xml:space="preserve">10 </w:t>
        </w:r>
        <w:r>
          <w:rPr>
            <w:rFonts w:ascii="Times New Roman"/>
          </w:rPr>
          <w:t>SF</w:t>
        </w:r>
        <w:r>
          <w:rPr>
            <w:rFonts w:ascii="Times New Roman"/>
            <w:vertAlign w:val="subscript"/>
          </w:rPr>
          <w:t>6</w:t>
        </w:r>
        <w:r>
          <w:rPr>
            <w:rFonts w:ascii="Times New Roman"/>
          </w:rPr>
          <w:t>断路器</w:t>
        </w:r>
        <w:r>
          <w:tab/>
        </w:r>
        <w:r>
          <w:fldChar w:fldCharType="begin"/>
        </w:r>
        <w:r>
          <w:instrText xml:space="preserve"> PAGEREF _Toc20884 \h </w:instrText>
        </w:r>
        <w:r>
          <w:fldChar w:fldCharType="separate"/>
        </w:r>
        <w:r>
          <w:t>21</w:t>
        </w:r>
        <w:r>
          <w:fldChar w:fldCharType="end"/>
        </w:r>
      </w:hyperlink>
    </w:p>
    <w:p w14:paraId="2E08D557" w14:textId="77777777" w:rsidR="00DC3EA5" w:rsidRDefault="00DC3EA5">
      <w:pPr>
        <w:pStyle w:val="TOC2"/>
        <w:tabs>
          <w:tab w:val="right" w:leader="dot" w:pos="9356"/>
        </w:tabs>
        <w:spacing w:before="78" w:after="78"/>
      </w:pPr>
      <w:hyperlink w:anchor="_Toc30571" w:history="1">
        <w:r>
          <w:rPr>
            <w:rFonts w:ascii="黑体" w:eastAsia="黑体" w:hint="eastAsia"/>
            <w:szCs w:val="21"/>
          </w:rPr>
          <w:t xml:space="preserve">11 </w:t>
        </w:r>
        <w:r>
          <w:rPr>
            <w:rFonts w:ascii="Times New Roman"/>
          </w:rPr>
          <w:t>高压开关柜</w:t>
        </w:r>
        <w:r>
          <w:tab/>
        </w:r>
        <w:r>
          <w:fldChar w:fldCharType="begin"/>
        </w:r>
        <w:r>
          <w:instrText xml:space="preserve"> PAGEREF _Toc30571 \h </w:instrText>
        </w:r>
        <w:r>
          <w:fldChar w:fldCharType="separate"/>
        </w:r>
        <w:r>
          <w:t>23</w:t>
        </w:r>
        <w:r>
          <w:fldChar w:fldCharType="end"/>
        </w:r>
      </w:hyperlink>
    </w:p>
    <w:p w14:paraId="23ED3935" w14:textId="77777777" w:rsidR="00DC3EA5" w:rsidRDefault="00DC3EA5">
      <w:pPr>
        <w:pStyle w:val="TOC2"/>
        <w:tabs>
          <w:tab w:val="right" w:leader="dot" w:pos="9356"/>
        </w:tabs>
        <w:spacing w:before="78" w:after="78"/>
      </w:pPr>
      <w:hyperlink w:anchor="_Toc19966" w:history="1">
        <w:r>
          <w:rPr>
            <w:rFonts w:ascii="黑体" w:eastAsia="黑体" w:hint="eastAsia"/>
            <w:szCs w:val="21"/>
          </w:rPr>
          <w:t xml:space="preserve">12 </w:t>
        </w:r>
        <w:r>
          <w:rPr>
            <w:rFonts w:ascii="Times New Roman"/>
          </w:rPr>
          <w:t>气体绝缘金属封闭开关设备</w:t>
        </w:r>
        <w:r>
          <w:tab/>
        </w:r>
        <w:r>
          <w:fldChar w:fldCharType="begin"/>
        </w:r>
        <w:r>
          <w:instrText xml:space="preserve"> PAGEREF _Toc19966 \h </w:instrText>
        </w:r>
        <w:r>
          <w:fldChar w:fldCharType="separate"/>
        </w:r>
        <w:r>
          <w:t>24</w:t>
        </w:r>
        <w:r>
          <w:fldChar w:fldCharType="end"/>
        </w:r>
      </w:hyperlink>
    </w:p>
    <w:p w14:paraId="5EB86E7C" w14:textId="77777777" w:rsidR="00DC3EA5" w:rsidRDefault="00DC3EA5">
      <w:pPr>
        <w:pStyle w:val="TOC2"/>
        <w:tabs>
          <w:tab w:val="right" w:leader="dot" w:pos="9356"/>
        </w:tabs>
        <w:spacing w:before="78" w:after="78"/>
      </w:pPr>
      <w:hyperlink w:anchor="_Toc6078" w:history="1">
        <w:r>
          <w:rPr>
            <w:rFonts w:ascii="黑体" w:eastAsia="黑体" w:hint="eastAsia"/>
            <w:szCs w:val="21"/>
          </w:rPr>
          <w:t xml:space="preserve">13 </w:t>
        </w:r>
        <w:r>
          <w:rPr>
            <w:rFonts w:ascii="Times New Roman"/>
          </w:rPr>
          <w:t>套管</w:t>
        </w:r>
        <w:r>
          <w:tab/>
        </w:r>
        <w:r>
          <w:fldChar w:fldCharType="begin"/>
        </w:r>
        <w:r>
          <w:instrText xml:space="preserve"> PAGEREF _Toc6078 \h </w:instrText>
        </w:r>
        <w:r>
          <w:fldChar w:fldCharType="separate"/>
        </w:r>
        <w:r>
          <w:t>25</w:t>
        </w:r>
        <w:r>
          <w:fldChar w:fldCharType="end"/>
        </w:r>
      </w:hyperlink>
    </w:p>
    <w:p w14:paraId="647368C8" w14:textId="77777777" w:rsidR="00DC3EA5" w:rsidRDefault="00DC3EA5">
      <w:pPr>
        <w:pStyle w:val="TOC2"/>
        <w:tabs>
          <w:tab w:val="right" w:leader="dot" w:pos="9356"/>
        </w:tabs>
        <w:spacing w:before="78" w:after="78"/>
      </w:pPr>
      <w:hyperlink w:anchor="_Toc9837" w:history="1">
        <w:r>
          <w:rPr>
            <w:rFonts w:ascii="黑体" w:eastAsia="黑体" w:hint="eastAsia"/>
            <w:szCs w:val="21"/>
          </w:rPr>
          <w:t xml:space="preserve">14 </w:t>
        </w:r>
        <w:r>
          <w:rPr>
            <w:rFonts w:ascii="Times New Roman"/>
          </w:rPr>
          <w:t>避雷器</w:t>
        </w:r>
        <w:r>
          <w:tab/>
        </w:r>
        <w:r>
          <w:fldChar w:fldCharType="begin"/>
        </w:r>
        <w:r>
          <w:instrText xml:space="preserve"> PAGEREF _Toc9837 \h </w:instrText>
        </w:r>
        <w:r>
          <w:fldChar w:fldCharType="separate"/>
        </w:r>
        <w:r>
          <w:t>26</w:t>
        </w:r>
        <w:r>
          <w:fldChar w:fldCharType="end"/>
        </w:r>
      </w:hyperlink>
    </w:p>
    <w:p w14:paraId="3A87A36A" w14:textId="77777777" w:rsidR="00DC3EA5" w:rsidRDefault="00DC3EA5">
      <w:pPr>
        <w:pStyle w:val="TOC2"/>
        <w:tabs>
          <w:tab w:val="right" w:leader="dot" w:pos="9356"/>
        </w:tabs>
        <w:spacing w:before="78" w:after="78"/>
      </w:pPr>
      <w:hyperlink w:anchor="_Toc6392" w:history="1">
        <w:r>
          <w:rPr>
            <w:rFonts w:ascii="黑体" w:eastAsia="黑体" w:hint="eastAsia"/>
            <w:szCs w:val="21"/>
          </w:rPr>
          <w:t xml:space="preserve">15 </w:t>
        </w:r>
        <w:r>
          <w:rPr>
            <w:rFonts w:ascii="Times New Roman"/>
          </w:rPr>
          <w:t>交流交联聚乙烯海底电缆</w:t>
        </w:r>
        <w:r>
          <w:tab/>
        </w:r>
        <w:r>
          <w:fldChar w:fldCharType="begin"/>
        </w:r>
        <w:r>
          <w:instrText xml:space="preserve"> PAGEREF _Toc6392 \h </w:instrText>
        </w:r>
        <w:r>
          <w:fldChar w:fldCharType="separate"/>
        </w:r>
        <w:r>
          <w:t>27</w:t>
        </w:r>
        <w:r>
          <w:fldChar w:fldCharType="end"/>
        </w:r>
      </w:hyperlink>
    </w:p>
    <w:p w14:paraId="0094DC6C" w14:textId="77777777" w:rsidR="00DC3EA5" w:rsidRDefault="00DC3EA5">
      <w:pPr>
        <w:pStyle w:val="TOC2"/>
        <w:tabs>
          <w:tab w:val="right" w:leader="dot" w:pos="9356"/>
        </w:tabs>
        <w:spacing w:before="78" w:after="78"/>
      </w:pPr>
      <w:hyperlink w:anchor="_Toc28395" w:history="1">
        <w:r>
          <w:rPr>
            <w:rFonts w:ascii="黑体" w:eastAsia="黑体" w:hint="eastAsia"/>
            <w:szCs w:val="21"/>
          </w:rPr>
          <w:t xml:space="preserve">16 </w:t>
        </w:r>
        <w:r>
          <w:rPr>
            <w:rFonts w:ascii="Times New Roman"/>
          </w:rPr>
          <w:t>绝缘油和</w:t>
        </w:r>
        <w:r>
          <w:rPr>
            <w:rFonts w:ascii="Times New Roman"/>
          </w:rPr>
          <w:t>SF</w:t>
        </w:r>
        <w:r>
          <w:rPr>
            <w:rFonts w:ascii="Times New Roman"/>
            <w:vertAlign w:val="subscript"/>
          </w:rPr>
          <w:t>6</w:t>
        </w:r>
        <w:r>
          <w:rPr>
            <w:rFonts w:ascii="Times New Roman"/>
          </w:rPr>
          <w:t>气体</w:t>
        </w:r>
        <w:r>
          <w:tab/>
        </w:r>
        <w:r>
          <w:fldChar w:fldCharType="begin"/>
        </w:r>
        <w:r>
          <w:instrText xml:space="preserve"> PAGEREF _Toc28395 \h </w:instrText>
        </w:r>
        <w:r>
          <w:fldChar w:fldCharType="separate"/>
        </w:r>
        <w:r>
          <w:t>28</w:t>
        </w:r>
        <w:r>
          <w:fldChar w:fldCharType="end"/>
        </w:r>
      </w:hyperlink>
    </w:p>
    <w:p w14:paraId="69D8D693" w14:textId="77777777" w:rsidR="00DC3EA5" w:rsidRDefault="00DC3EA5">
      <w:pPr>
        <w:pStyle w:val="TOC2"/>
        <w:tabs>
          <w:tab w:val="right" w:leader="dot" w:pos="9356"/>
        </w:tabs>
        <w:spacing w:before="78" w:after="78"/>
      </w:pPr>
      <w:hyperlink w:anchor="_Toc22535" w:history="1">
        <w:r>
          <w:rPr>
            <w:rFonts w:ascii="黑体" w:eastAsia="黑体" w:hint="eastAsia"/>
            <w:szCs w:val="21"/>
          </w:rPr>
          <w:t xml:space="preserve">17 </w:t>
        </w:r>
        <w:r>
          <w:rPr>
            <w:rFonts w:ascii="Times New Roman"/>
          </w:rPr>
          <w:t>接地装置</w:t>
        </w:r>
        <w:r>
          <w:tab/>
        </w:r>
        <w:r>
          <w:fldChar w:fldCharType="begin"/>
        </w:r>
        <w:r>
          <w:instrText xml:space="preserve"> PAGEREF _Toc22535 \h </w:instrText>
        </w:r>
        <w:r>
          <w:fldChar w:fldCharType="separate"/>
        </w:r>
        <w:r>
          <w:t>29</w:t>
        </w:r>
        <w:r>
          <w:fldChar w:fldCharType="end"/>
        </w:r>
      </w:hyperlink>
    </w:p>
    <w:p w14:paraId="3EACC036" w14:textId="77777777" w:rsidR="00DC3EA5" w:rsidRDefault="00000000">
      <w:pPr>
        <w:pStyle w:val="affffffff2"/>
        <w:ind w:firstLineChars="0" w:firstLine="0"/>
        <w:rPr>
          <w:rFonts w:eastAsia="黑体"/>
          <w:sz w:val="32"/>
        </w:rPr>
      </w:pPr>
      <w:r>
        <w:rPr>
          <w:rFonts w:hAnsi="宋体"/>
        </w:rPr>
        <w:fldChar w:fldCharType="end"/>
      </w:r>
    </w:p>
    <w:p w14:paraId="0456B1C3" w14:textId="77777777" w:rsidR="00DC3EA5" w:rsidRDefault="00000000">
      <w:pPr>
        <w:widowControl/>
        <w:jc w:val="left"/>
        <w:rPr>
          <w:rFonts w:eastAsia="黑体"/>
          <w:kern w:val="0"/>
          <w:sz w:val="32"/>
          <w:szCs w:val="20"/>
        </w:rPr>
      </w:pPr>
      <w:r>
        <w:br w:type="page"/>
      </w:r>
    </w:p>
    <w:p w14:paraId="0CEE26A9" w14:textId="77777777" w:rsidR="00DC3EA5" w:rsidRDefault="00000000">
      <w:pPr>
        <w:pStyle w:val="affffffff0"/>
        <w:rPr>
          <w:rFonts w:ascii="Times New Roman"/>
        </w:rPr>
      </w:pPr>
      <w:bookmarkStart w:id="7" w:name="_Toc16560"/>
      <w:r>
        <w:rPr>
          <w:rFonts w:ascii="Times New Roman"/>
        </w:rPr>
        <w:lastRenderedPageBreak/>
        <w:t>前</w:t>
      </w:r>
      <w:r>
        <w:rPr>
          <w:rFonts w:ascii="Times New Roman"/>
        </w:rPr>
        <w:t xml:space="preserve">    </w:t>
      </w:r>
      <w:r>
        <w:rPr>
          <w:rFonts w:ascii="Times New Roman"/>
        </w:rPr>
        <w:t>言</w:t>
      </w:r>
      <w:bookmarkEnd w:id="4"/>
      <w:bookmarkEnd w:id="5"/>
      <w:bookmarkEnd w:id="6"/>
      <w:bookmarkEnd w:id="7"/>
    </w:p>
    <w:p w14:paraId="274DEA4D" w14:textId="77777777" w:rsidR="00DC3EA5" w:rsidRDefault="00000000">
      <w:pPr>
        <w:ind w:firstLineChars="200" w:firstLine="420"/>
        <w:rPr>
          <w:rFonts w:ascii="宋体" w:hAnsi="宋体" w:hint="eastAsia"/>
          <w:b/>
        </w:rPr>
      </w:pPr>
      <w:r>
        <w:t>本文件</w:t>
      </w:r>
      <w:r>
        <w:rPr>
          <w:rFonts w:ascii="宋体" w:hAnsi="宋体" w:hint="eastAsia"/>
        </w:rPr>
        <w:t>按照</w:t>
      </w:r>
      <w:r>
        <w:rPr>
          <w:rFonts w:ascii="宋体" w:hAnsi="宋体"/>
        </w:rPr>
        <w:t>《中国电机工程学会标准化管理办法》、《中国电机工程学会标准化管理办法实施细则》</w:t>
      </w:r>
      <w:r>
        <w:rPr>
          <w:rFonts w:ascii="宋体" w:hAnsi="宋体" w:hint="eastAsia"/>
        </w:rPr>
        <w:t>的要求，依据</w:t>
      </w:r>
      <w:r>
        <w:t>GB/T 1.1—2020</w:t>
      </w:r>
      <w:r>
        <w:t>《标准化工作导则</w:t>
      </w:r>
      <w:r>
        <w:t xml:space="preserve"> </w:t>
      </w:r>
      <w:r>
        <w:t>第</w:t>
      </w:r>
      <w:r>
        <w:t>1</w:t>
      </w:r>
      <w:r>
        <w:t>部分：标准化文件的结构和起草规则》的规定起草。</w:t>
      </w:r>
    </w:p>
    <w:p w14:paraId="73225BB2" w14:textId="77777777" w:rsidR="00DC3EA5" w:rsidRDefault="00000000">
      <w:pPr>
        <w:pStyle w:val="affffffff2"/>
        <w:ind w:firstLine="420"/>
      </w:pPr>
      <w:r>
        <w:rPr>
          <w:rFonts w:hint="eastAsia"/>
        </w:rPr>
        <w:t>本文件是</w:t>
      </w:r>
      <w:r>
        <w:t>T/CSEE XXXX</w:t>
      </w:r>
      <w:r>
        <w:rPr>
          <w:rFonts w:hint="eastAsia"/>
        </w:rPr>
        <w:t>《</w:t>
      </w:r>
      <w:r>
        <w:rPr>
          <w:rFonts w:ascii="Times New Roman" w:hint="eastAsia"/>
        </w:rPr>
        <w:t>柔性低频交流输电系统高压电气设备</w:t>
      </w:r>
      <w:r>
        <w:rPr>
          <w:rFonts w:hint="eastAsia"/>
        </w:rPr>
        <w:t>》的第7部分。</w:t>
      </w:r>
      <w:r>
        <w:t>T/CSEE XXXX</w:t>
      </w:r>
      <w:r>
        <w:rPr>
          <w:rFonts w:hint="eastAsia"/>
        </w:rPr>
        <w:t xml:space="preserve">已经发布了以下部分： </w:t>
      </w:r>
    </w:p>
    <w:p w14:paraId="08249FB2" w14:textId="77777777" w:rsidR="00DC3EA5" w:rsidRDefault="00000000">
      <w:pPr>
        <w:pStyle w:val="affffffff2"/>
        <w:ind w:firstLine="420"/>
      </w:pPr>
      <w:r>
        <w:rPr>
          <w:rFonts w:hint="eastAsia"/>
        </w:rPr>
        <w:t>——第1部分：×××××；</w:t>
      </w:r>
      <w:r>
        <w:t xml:space="preserve"> </w:t>
      </w:r>
    </w:p>
    <w:p w14:paraId="000F3607" w14:textId="77777777" w:rsidR="00DC3EA5" w:rsidRDefault="00000000">
      <w:pPr>
        <w:pStyle w:val="affffffff2"/>
        <w:ind w:firstLine="420"/>
      </w:pPr>
      <w:r>
        <w:rPr>
          <w:rFonts w:hint="eastAsia"/>
        </w:rPr>
        <w:t>——第2部分：×××××；</w:t>
      </w:r>
      <w:r>
        <w:t xml:space="preserve"> </w:t>
      </w:r>
    </w:p>
    <w:p w14:paraId="62984D28" w14:textId="77777777" w:rsidR="00DC3EA5" w:rsidRDefault="00000000">
      <w:pPr>
        <w:pStyle w:val="affffffff2"/>
        <w:ind w:firstLine="420"/>
      </w:pPr>
      <w:r>
        <w:rPr>
          <w:rFonts w:hint="eastAsia"/>
        </w:rPr>
        <w:t>……</w:t>
      </w:r>
    </w:p>
    <w:p w14:paraId="07D4F497" w14:textId="77777777" w:rsidR="00DC3EA5" w:rsidRDefault="00000000">
      <w:pPr>
        <w:pStyle w:val="affffffff2"/>
        <w:ind w:firstLine="420"/>
      </w:pPr>
      <w:r>
        <w:rPr>
          <w:rFonts w:hint="eastAsia"/>
        </w:rPr>
        <w:t>——第×部分：×××××。</w:t>
      </w:r>
    </w:p>
    <w:p w14:paraId="0FB80C0A" w14:textId="77777777" w:rsidR="00DC3EA5" w:rsidRDefault="00000000">
      <w:pPr>
        <w:ind w:firstLineChars="200" w:firstLine="420"/>
      </w:pPr>
      <w:r>
        <w:t>请注意本文件的某些内容可能涉及专利。本文件的发布机构不承担识别专利的责任。</w:t>
      </w:r>
    </w:p>
    <w:p w14:paraId="22B2A48A" w14:textId="77777777" w:rsidR="00DC3EA5" w:rsidRDefault="00000000">
      <w:pPr>
        <w:autoSpaceDE w:val="0"/>
        <w:autoSpaceDN w:val="0"/>
        <w:adjustRightInd w:val="0"/>
        <w:ind w:firstLineChars="200" w:firstLine="420"/>
        <w:jc w:val="left"/>
        <w:rPr>
          <w:rFonts w:ascii="宋体" w:cs="宋体"/>
          <w:kern w:val="0"/>
          <w:szCs w:val="21"/>
        </w:rPr>
      </w:pPr>
      <w:r>
        <w:t>本文件</w:t>
      </w:r>
      <w:r>
        <w:rPr>
          <w:rFonts w:ascii="宋体" w:cs="宋体" w:hint="eastAsia"/>
          <w:kern w:val="0"/>
          <w:szCs w:val="21"/>
        </w:rPr>
        <w:t>由中国电机工程学会提出。</w:t>
      </w:r>
    </w:p>
    <w:p w14:paraId="3A5F11DB" w14:textId="77777777" w:rsidR="00DC3EA5" w:rsidRDefault="00000000">
      <w:pPr>
        <w:ind w:firstLineChars="200" w:firstLine="420"/>
      </w:pPr>
      <w:r>
        <w:rPr>
          <w:rFonts w:ascii="宋体" w:hAnsi="宋体" w:hint="eastAsia"/>
        </w:rPr>
        <w:t>本文件由中国电机工程学会X</w:t>
      </w:r>
      <w:r>
        <w:rPr>
          <w:rFonts w:ascii="宋体" w:hAnsi="宋体"/>
        </w:rPr>
        <w:t>XXXXXXXXX</w:t>
      </w:r>
      <w:r>
        <w:rPr>
          <w:rFonts w:ascii="宋体" w:hAnsi="宋体" w:hint="eastAsia"/>
        </w:rPr>
        <w:t>标准专业委员会技术归口和解释。</w:t>
      </w:r>
    </w:p>
    <w:p w14:paraId="6C3CE296" w14:textId="77777777" w:rsidR="00DC3EA5" w:rsidRDefault="00000000">
      <w:pPr>
        <w:ind w:firstLineChars="200" w:firstLine="420"/>
      </w:pPr>
      <w:r>
        <w:t>本文件起草单位：</w:t>
      </w:r>
      <w:r>
        <w:rPr>
          <w:rFonts w:hint="eastAsia"/>
        </w:rPr>
        <w:t>、、、</w:t>
      </w:r>
      <w:r>
        <w:t>。</w:t>
      </w:r>
    </w:p>
    <w:p w14:paraId="76CD8123" w14:textId="77777777" w:rsidR="00DC3EA5" w:rsidRDefault="00000000">
      <w:pPr>
        <w:ind w:firstLineChars="200" w:firstLine="420"/>
      </w:pPr>
      <w:r>
        <w:t>本文件主要起草人：</w:t>
      </w:r>
      <w:r>
        <w:rPr>
          <w:rFonts w:hint="eastAsia"/>
        </w:rPr>
        <w:t>、、、。</w:t>
      </w:r>
    </w:p>
    <w:p w14:paraId="44E0043D" w14:textId="77777777" w:rsidR="00DC3EA5" w:rsidRDefault="00000000">
      <w:pPr>
        <w:ind w:firstLineChars="200" w:firstLine="420"/>
      </w:pPr>
      <w:r>
        <w:t>本文件首次发布。</w:t>
      </w:r>
    </w:p>
    <w:p w14:paraId="610F80FC" w14:textId="77777777" w:rsidR="00DC3EA5" w:rsidRDefault="00000000">
      <w:pPr>
        <w:ind w:firstLineChars="200" w:firstLine="420"/>
        <w:rPr>
          <w:rFonts w:ascii="宋体" w:hAnsi="宋体" w:hint="eastAsia"/>
        </w:rPr>
      </w:pPr>
      <w:r>
        <w:rPr>
          <w:rFonts w:ascii="宋体" w:hAnsi="宋体" w:hint="eastAsia"/>
        </w:rPr>
        <w:t>本文件在执行过程中的意见或建议反馈至中国电机工程学会标准执行办公室（地址：北京市西城区白广路二条1 号，100761，网址：http：//www.csee.org.cn，邮箱：</w:t>
      </w:r>
      <w:hyperlink r:id="rId15" w:history="1">
        <w:r w:rsidR="00DC3EA5">
          <w:rPr>
            <w:rStyle w:val="afffffff8"/>
            <w:rFonts w:ascii="宋体" w:hAnsi="宋体" w:hint="eastAsia"/>
          </w:rPr>
          <w:t>cseebz@csee.org.cn</w:t>
        </w:r>
      </w:hyperlink>
      <w:r>
        <w:rPr>
          <w:rFonts w:ascii="宋体" w:hAnsi="宋体" w:hint="eastAsia"/>
        </w:rPr>
        <w:t>）。</w:t>
      </w:r>
    </w:p>
    <w:p w14:paraId="2AD421CF" w14:textId="77777777" w:rsidR="00DC3EA5" w:rsidRDefault="00DC3EA5">
      <w:pPr>
        <w:rPr>
          <w:rFonts w:ascii="宋体" w:hAnsi="宋体" w:hint="eastAsia"/>
        </w:rPr>
      </w:pPr>
    </w:p>
    <w:p w14:paraId="2721C902" w14:textId="77777777" w:rsidR="00DC3EA5" w:rsidRDefault="00000000">
      <w:pPr>
        <w:widowControl/>
        <w:jc w:val="left"/>
      </w:pPr>
      <w:bookmarkStart w:id="8" w:name="标准引言"/>
      <w:bookmarkStart w:id="9" w:name="标准目次"/>
      <w:bookmarkEnd w:id="8"/>
      <w:bookmarkEnd w:id="9"/>
      <w:r>
        <w:br w:type="page"/>
      </w:r>
    </w:p>
    <w:p w14:paraId="56291E27" w14:textId="77777777" w:rsidR="00DC3EA5" w:rsidRDefault="00000000">
      <w:pPr>
        <w:pStyle w:val="affffffff0"/>
        <w:rPr>
          <w:rFonts w:ascii="Times New Roman"/>
        </w:rPr>
      </w:pPr>
      <w:bookmarkStart w:id="10" w:name="_Toc180401464"/>
      <w:bookmarkStart w:id="11" w:name="_Toc7797"/>
      <w:r>
        <w:rPr>
          <w:rFonts w:ascii="Times New Roman"/>
        </w:rPr>
        <w:lastRenderedPageBreak/>
        <w:t>引</w:t>
      </w:r>
      <w:r>
        <w:rPr>
          <w:rFonts w:ascii="Times New Roman"/>
        </w:rPr>
        <w:t>  </w:t>
      </w:r>
      <w:r>
        <w:rPr>
          <w:rFonts w:ascii="Times New Roman"/>
        </w:rPr>
        <w:t>言</w:t>
      </w:r>
      <w:bookmarkEnd w:id="10"/>
      <w:bookmarkEnd w:id="11"/>
    </w:p>
    <w:p w14:paraId="0276A280" w14:textId="77777777" w:rsidR="00DC3EA5" w:rsidRDefault="00000000">
      <w:pPr>
        <w:spacing w:line="400" w:lineRule="exact"/>
        <w:ind w:firstLineChars="200" w:firstLine="420"/>
        <w:rPr>
          <w:szCs w:val="20"/>
        </w:rPr>
      </w:pPr>
      <w:r>
        <w:rPr>
          <w:rFonts w:hint="eastAsia"/>
          <w:szCs w:val="20"/>
        </w:rPr>
        <w:t>柔性低频交流输电系统频率低于工频</w:t>
      </w:r>
      <w:r>
        <w:rPr>
          <w:rFonts w:hint="eastAsia"/>
          <w:szCs w:val="20"/>
        </w:rPr>
        <w:t>50Hz</w:t>
      </w:r>
      <w:r>
        <w:rPr>
          <w:rFonts w:hint="eastAsia"/>
          <w:szCs w:val="20"/>
        </w:rPr>
        <w:t>，线路充电无功小、输送能力强，较直流输电，电流可过零开断，易组网，在中远距离海上风电等场景独具优势。</w:t>
      </w:r>
      <w:r>
        <w:rPr>
          <w:szCs w:val="20"/>
        </w:rPr>
        <w:t>低频高压电气设备是柔性低频交流输电系统关键</w:t>
      </w:r>
      <w:r>
        <w:rPr>
          <w:rFonts w:hint="eastAsia"/>
          <w:szCs w:val="20"/>
        </w:rPr>
        <w:t>组成部分</w:t>
      </w:r>
      <w:r>
        <w:rPr>
          <w:szCs w:val="20"/>
        </w:rPr>
        <w:t>，主要包括变压器、开关设备、互感器、避雷器、变压器套管、电缆</w:t>
      </w:r>
      <w:r>
        <w:rPr>
          <w:rFonts w:hint="eastAsia"/>
          <w:szCs w:val="20"/>
        </w:rPr>
        <w:t>等。国内已建成</w:t>
      </w:r>
      <w:r>
        <w:rPr>
          <w:szCs w:val="20"/>
        </w:rPr>
        <w:t>多个柔性低频</w:t>
      </w:r>
      <w:r>
        <w:rPr>
          <w:rFonts w:hint="eastAsia"/>
          <w:szCs w:val="20"/>
        </w:rPr>
        <w:t>交流</w:t>
      </w:r>
      <w:r>
        <w:rPr>
          <w:szCs w:val="20"/>
        </w:rPr>
        <w:t>输电示范工程</w:t>
      </w:r>
      <w:r>
        <w:rPr>
          <w:rFonts w:hint="eastAsia"/>
          <w:szCs w:val="20"/>
        </w:rPr>
        <w:t>。</w:t>
      </w:r>
      <w:r>
        <w:rPr>
          <w:rFonts w:hint="eastAsia"/>
          <w:szCs w:val="20"/>
        </w:rPr>
        <w:t>T/CSEE ****</w:t>
      </w:r>
      <w:r>
        <w:rPr>
          <w:rFonts w:hint="eastAsia"/>
          <w:szCs w:val="20"/>
        </w:rPr>
        <w:t>《柔性低频交流输电系统高压电气设备》旨在确立系列低频高压电气设备的产品规范、试验规范和规程及运维规程，拟由九</w:t>
      </w:r>
      <w:r>
        <w:rPr>
          <w:szCs w:val="20"/>
        </w:rPr>
        <w:t>个部分构成</w:t>
      </w:r>
      <w:r>
        <w:rPr>
          <w:rFonts w:hint="eastAsia"/>
          <w:szCs w:val="20"/>
        </w:rPr>
        <w:t>。</w:t>
      </w:r>
    </w:p>
    <w:p w14:paraId="1C44C44C" w14:textId="77777777" w:rsidR="00DC3EA5" w:rsidRDefault="00000000">
      <w:pPr>
        <w:spacing w:line="400" w:lineRule="exact"/>
        <w:ind w:firstLineChars="200" w:firstLine="420"/>
        <w:rPr>
          <w:szCs w:val="20"/>
        </w:rPr>
      </w:pPr>
      <w:r>
        <w:rPr>
          <w:rFonts w:hint="eastAsia"/>
          <w:szCs w:val="20"/>
        </w:rPr>
        <w:t>—第</w:t>
      </w:r>
      <w:r>
        <w:rPr>
          <w:rFonts w:hint="eastAsia"/>
          <w:szCs w:val="20"/>
        </w:rPr>
        <w:t>1</w:t>
      </w:r>
      <w:r>
        <w:rPr>
          <w:rFonts w:hint="eastAsia"/>
          <w:szCs w:val="20"/>
        </w:rPr>
        <w:t>部分：低频变压器。目的在于确立低频变压器的技术要求和试验方法。</w:t>
      </w:r>
    </w:p>
    <w:p w14:paraId="152B4924" w14:textId="77777777" w:rsidR="00DC3EA5" w:rsidRDefault="00000000">
      <w:pPr>
        <w:spacing w:line="400" w:lineRule="exact"/>
        <w:ind w:firstLineChars="200" w:firstLine="420"/>
        <w:rPr>
          <w:szCs w:val="20"/>
        </w:rPr>
      </w:pPr>
      <w:r>
        <w:rPr>
          <w:rFonts w:hint="eastAsia"/>
          <w:szCs w:val="20"/>
        </w:rPr>
        <w:t>—第</w:t>
      </w:r>
      <w:r>
        <w:rPr>
          <w:rFonts w:hint="eastAsia"/>
          <w:szCs w:val="20"/>
        </w:rPr>
        <w:t>2.1</w:t>
      </w:r>
      <w:r>
        <w:rPr>
          <w:rFonts w:hint="eastAsia"/>
          <w:szCs w:val="20"/>
        </w:rPr>
        <w:t>部分：低频交流断路器。目的在于确立低频交流断路器的技术要求和试验方法。</w:t>
      </w:r>
    </w:p>
    <w:p w14:paraId="38A1B708" w14:textId="77777777" w:rsidR="00DC3EA5" w:rsidRDefault="00000000">
      <w:pPr>
        <w:spacing w:line="400" w:lineRule="exact"/>
        <w:ind w:firstLineChars="200" w:firstLine="420"/>
        <w:rPr>
          <w:szCs w:val="20"/>
        </w:rPr>
      </w:pPr>
      <w:r>
        <w:rPr>
          <w:rFonts w:hint="eastAsia"/>
          <w:szCs w:val="20"/>
        </w:rPr>
        <w:t>—第</w:t>
      </w:r>
      <w:r>
        <w:rPr>
          <w:rFonts w:hint="eastAsia"/>
          <w:szCs w:val="20"/>
        </w:rPr>
        <w:t>2.2</w:t>
      </w:r>
      <w:r>
        <w:rPr>
          <w:rFonts w:hint="eastAsia"/>
          <w:szCs w:val="20"/>
        </w:rPr>
        <w:t>部分：具有预定极间不同期操作低频交流断路器。目的在于确立具有预定极间不同期操作低频交流断路器的技术要求和试验方法。</w:t>
      </w:r>
    </w:p>
    <w:p w14:paraId="2EF7764A" w14:textId="77777777" w:rsidR="00DC3EA5" w:rsidRDefault="00000000">
      <w:pPr>
        <w:spacing w:line="400" w:lineRule="exact"/>
        <w:ind w:firstLineChars="200" w:firstLine="420"/>
        <w:rPr>
          <w:szCs w:val="20"/>
        </w:rPr>
      </w:pPr>
      <w:r>
        <w:rPr>
          <w:rFonts w:hint="eastAsia"/>
          <w:szCs w:val="20"/>
        </w:rPr>
        <w:t>—第</w:t>
      </w:r>
      <w:r>
        <w:rPr>
          <w:rFonts w:hint="eastAsia"/>
          <w:szCs w:val="20"/>
        </w:rPr>
        <w:t>3.1</w:t>
      </w:r>
      <w:r>
        <w:rPr>
          <w:rFonts w:hint="eastAsia"/>
          <w:szCs w:val="20"/>
        </w:rPr>
        <w:t>部分：低频电压互感器。目的在于确立低频电压互感器的技术要求和试验方法。</w:t>
      </w:r>
    </w:p>
    <w:p w14:paraId="6681BA31" w14:textId="77777777" w:rsidR="00DC3EA5" w:rsidRDefault="00000000">
      <w:pPr>
        <w:spacing w:line="400" w:lineRule="exact"/>
        <w:ind w:firstLineChars="200" w:firstLine="420"/>
        <w:rPr>
          <w:szCs w:val="20"/>
        </w:rPr>
      </w:pPr>
      <w:r>
        <w:rPr>
          <w:rFonts w:hint="eastAsia"/>
          <w:szCs w:val="20"/>
        </w:rPr>
        <w:t>—第</w:t>
      </w:r>
      <w:r>
        <w:rPr>
          <w:rFonts w:hint="eastAsia"/>
          <w:szCs w:val="20"/>
        </w:rPr>
        <w:t>3.2</w:t>
      </w:r>
      <w:r>
        <w:rPr>
          <w:rFonts w:hint="eastAsia"/>
          <w:szCs w:val="20"/>
        </w:rPr>
        <w:t>部分：低频电流互感器。目的在于确立低频电流互感器的技术要求和试验方法。</w:t>
      </w:r>
    </w:p>
    <w:p w14:paraId="19D0C451" w14:textId="77777777" w:rsidR="00DC3EA5" w:rsidRDefault="00000000">
      <w:pPr>
        <w:spacing w:line="400" w:lineRule="exact"/>
        <w:ind w:firstLineChars="200" w:firstLine="420"/>
        <w:rPr>
          <w:szCs w:val="20"/>
        </w:rPr>
      </w:pPr>
      <w:r>
        <w:rPr>
          <w:rFonts w:hint="eastAsia"/>
          <w:szCs w:val="20"/>
        </w:rPr>
        <w:t>—第</w:t>
      </w:r>
      <w:r>
        <w:rPr>
          <w:rFonts w:hint="eastAsia"/>
          <w:szCs w:val="20"/>
        </w:rPr>
        <w:t>4</w:t>
      </w:r>
      <w:r>
        <w:rPr>
          <w:rFonts w:hint="eastAsia"/>
          <w:szCs w:val="20"/>
        </w:rPr>
        <w:t>部分：低频避雷器。目的在于确立低频</w:t>
      </w:r>
      <w:r>
        <w:rPr>
          <w:rFonts w:hint="eastAsia"/>
          <w:szCs w:val="20"/>
        </w:rPr>
        <w:t>GIS</w:t>
      </w:r>
      <w:r>
        <w:rPr>
          <w:rFonts w:hint="eastAsia"/>
          <w:szCs w:val="20"/>
        </w:rPr>
        <w:t>避雷器的技术要求和试验方法。</w:t>
      </w:r>
    </w:p>
    <w:p w14:paraId="79081B15" w14:textId="77777777" w:rsidR="00DC3EA5" w:rsidRDefault="00000000">
      <w:pPr>
        <w:spacing w:line="400" w:lineRule="exact"/>
        <w:ind w:firstLineChars="200" w:firstLine="420"/>
        <w:rPr>
          <w:szCs w:val="20"/>
        </w:rPr>
      </w:pPr>
      <w:r>
        <w:rPr>
          <w:rFonts w:hint="eastAsia"/>
          <w:szCs w:val="20"/>
        </w:rPr>
        <w:t>—第</w:t>
      </w:r>
      <w:r>
        <w:rPr>
          <w:rFonts w:hint="eastAsia"/>
          <w:szCs w:val="20"/>
        </w:rPr>
        <w:t>5</w:t>
      </w:r>
      <w:r>
        <w:rPr>
          <w:rFonts w:hint="eastAsia"/>
          <w:szCs w:val="20"/>
        </w:rPr>
        <w:t>部分：低频变压器套管。目的在于确立低频变压器套管的技术要求和试验方法。</w:t>
      </w:r>
    </w:p>
    <w:p w14:paraId="4703F5A8" w14:textId="77777777" w:rsidR="00DC3EA5" w:rsidRDefault="00000000">
      <w:pPr>
        <w:spacing w:line="400" w:lineRule="exact"/>
        <w:ind w:firstLineChars="200" w:firstLine="420"/>
        <w:rPr>
          <w:szCs w:val="20"/>
        </w:rPr>
      </w:pPr>
      <w:r>
        <w:rPr>
          <w:rFonts w:hint="eastAsia"/>
          <w:szCs w:val="20"/>
        </w:rPr>
        <w:t>—第</w:t>
      </w:r>
      <w:r>
        <w:rPr>
          <w:rFonts w:hint="eastAsia"/>
          <w:szCs w:val="20"/>
        </w:rPr>
        <w:t>6</w:t>
      </w:r>
      <w:r>
        <w:rPr>
          <w:rFonts w:hint="eastAsia"/>
          <w:szCs w:val="20"/>
        </w:rPr>
        <w:t>部分：低频交流交联聚乙烯海底电缆试验规范。目的在于确立低频交流交联聚乙烯海底电缆的技术要求和试验方法。</w:t>
      </w:r>
    </w:p>
    <w:p w14:paraId="7DF3FFC6" w14:textId="77777777" w:rsidR="00DC3EA5" w:rsidRDefault="00000000">
      <w:pPr>
        <w:spacing w:line="400" w:lineRule="exact"/>
        <w:ind w:firstLineChars="200" w:firstLine="420"/>
        <w:rPr>
          <w:szCs w:val="20"/>
        </w:rPr>
      </w:pPr>
      <w:r>
        <w:rPr>
          <w:rFonts w:hint="eastAsia"/>
          <w:szCs w:val="20"/>
        </w:rPr>
        <w:t>—第</w:t>
      </w:r>
      <w:r>
        <w:rPr>
          <w:rFonts w:hint="eastAsia"/>
          <w:szCs w:val="20"/>
        </w:rPr>
        <w:t>7</w:t>
      </w:r>
      <w:r>
        <w:rPr>
          <w:rFonts w:hint="eastAsia"/>
          <w:szCs w:val="20"/>
        </w:rPr>
        <w:t>部分：低频电气设备交接试验规程。目的在于确立低频电气设备的交接试验技术要求和试验方法。</w:t>
      </w:r>
    </w:p>
    <w:p w14:paraId="14A855A7" w14:textId="77777777" w:rsidR="00DC3EA5" w:rsidRDefault="00000000">
      <w:pPr>
        <w:spacing w:line="400" w:lineRule="exact"/>
        <w:ind w:firstLineChars="200" w:firstLine="420"/>
        <w:rPr>
          <w:szCs w:val="20"/>
        </w:rPr>
      </w:pPr>
      <w:r>
        <w:rPr>
          <w:rFonts w:hint="eastAsia"/>
          <w:szCs w:val="20"/>
        </w:rPr>
        <w:t>—第</w:t>
      </w:r>
      <w:r>
        <w:rPr>
          <w:rFonts w:hint="eastAsia"/>
          <w:szCs w:val="20"/>
        </w:rPr>
        <w:t>8</w:t>
      </w:r>
      <w:r>
        <w:rPr>
          <w:rFonts w:hint="eastAsia"/>
          <w:szCs w:val="20"/>
        </w:rPr>
        <w:t>部分：低频电气设备预防性试验规程。目的在于确立低频电气设备的预防性试验技术要求和试验方法。</w:t>
      </w:r>
    </w:p>
    <w:p w14:paraId="18EAB1ED" w14:textId="35116F23" w:rsidR="00DC3EA5" w:rsidRDefault="00000000">
      <w:pPr>
        <w:spacing w:line="400" w:lineRule="exact"/>
        <w:ind w:firstLineChars="200" w:firstLine="420"/>
        <w:rPr>
          <w:szCs w:val="20"/>
        </w:rPr>
      </w:pPr>
      <w:r>
        <w:rPr>
          <w:rFonts w:hint="eastAsia"/>
          <w:szCs w:val="20"/>
        </w:rPr>
        <w:t>—第</w:t>
      </w:r>
      <w:r>
        <w:rPr>
          <w:rFonts w:hint="eastAsia"/>
          <w:szCs w:val="20"/>
        </w:rPr>
        <w:t>9</w:t>
      </w:r>
      <w:r>
        <w:rPr>
          <w:rFonts w:hint="eastAsia"/>
          <w:szCs w:val="20"/>
        </w:rPr>
        <w:t>部分：低频电气设备运维规程。目的在于确立低频电气设备的运维技术要求和检验规则</w:t>
      </w:r>
      <w:r w:rsidR="003A08EC">
        <w:rPr>
          <w:rFonts w:hint="eastAsia"/>
          <w:szCs w:val="20"/>
        </w:rPr>
        <w:t>。</w:t>
      </w:r>
    </w:p>
    <w:p w14:paraId="7EB884CB" w14:textId="77777777" w:rsidR="00DC3EA5" w:rsidRDefault="00000000">
      <w:pPr>
        <w:widowControl/>
        <w:jc w:val="left"/>
      </w:pPr>
      <w:r>
        <w:br w:type="page"/>
      </w:r>
    </w:p>
    <w:p w14:paraId="07CB6CB1" w14:textId="77777777" w:rsidR="00DC3EA5" w:rsidRDefault="00000000">
      <w:pPr>
        <w:pStyle w:val="affffffffd"/>
      </w:pPr>
      <w:bookmarkStart w:id="12" w:name="_Toc151477142"/>
      <w:bookmarkStart w:id="13" w:name="_Toc62027348"/>
      <w:bookmarkStart w:id="14" w:name="_Toc63642873"/>
      <w:bookmarkStart w:id="15" w:name="_Toc55228494"/>
      <w:r>
        <w:rPr>
          <w:rFonts w:hint="eastAsia"/>
        </w:rPr>
        <w:lastRenderedPageBreak/>
        <w:t>柔性</w:t>
      </w:r>
      <w:bookmarkStart w:id="16" w:name="OLE_LINK4"/>
      <w:r>
        <w:rPr>
          <w:rFonts w:hint="eastAsia"/>
        </w:rPr>
        <w:t>低频交流输电系统高压电气设备</w:t>
      </w:r>
      <w:bookmarkEnd w:id="16"/>
      <w:r>
        <w:rPr>
          <w:rFonts w:hint="eastAsia"/>
        </w:rPr>
        <w:t xml:space="preserve"> 第7部分：低频电气设备交接试验规程</w:t>
      </w:r>
      <w:bookmarkEnd w:id="12"/>
    </w:p>
    <w:p w14:paraId="2215690A" w14:textId="77777777" w:rsidR="00DC3EA5" w:rsidRDefault="00000000">
      <w:pPr>
        <w:pStyle w:val="a6"/>
        <w:outlineLvl w:val="0"/>
        <w:rPr>
          <w:rFonts w:ascii="Times New Roman"/>
          <w:szCs w:val="21"/>
        </w:rPr>
      </w:pPr>
      <w:bookmarkStart w:id="17" w:name="_Toc25229"/>
      <w:r>
        <w:rPr>
          <w:rFonts w:ascii="Times New Roman"/>
          <w:szCs w:val="21"/>
        </w:rPr>
        <w:t>范围</w:t>
      </w:r>
      <w:bookmarkEnd w:id="13"/>
      <w:bookmarkEnd w:id="14"/>
      <w:bookmarkEnd w:id="15"/>
      <w:bookmarkEnd w:id="17"/>
    </w:p>
    <w:p w14:paraId="2A6B7AF4" w14:textId="77777777" w:rsidR="00DC3EA5" w:rsidRDefault="00000000">
      <w:pPr>
        <w:pStyle w:val="affffffff2"/>
        <w:tabs>
          <w:tab w:val="center" w:pos="4201"/>
          <w:tab w:val="right" w:leader="dot" w:pos="9298"/>
        </w:tabs>
        <w:ind w:firstLine="420"/>
        <w:rPr>
          <w:rFonts w:ascii="Times New Roman"/>
          <w:kern w:val="2"/>
          <w:szCs w:val="24"/>
          <w:lang w:bidi="ar"/>
        </w:rPr>
      </w:pPr>
      <w:bookmarkStart w:id="18" w:name="_Toc55228495"/>
      <w:bookmarkStart w:id="19" w:name="_Toc62027349"/>
      <w:bookmarkStart w:id="20" w:name="_Toc63642874"/>
      <w:r>
        <w:rPr>
          <w:rFonts w:ascii="Times New Roman"/>
          <w:kern w:val="2"/>
          <w:szCs w:val="24"/>
          <w:lang w:bidi="ar"/>
        </w:rPr>
        <w:t>本文件规定了柔性低频交流输电高压电气设备交接试验的试验项目和要求。</w:t>
      </w:r>
    </w:p>
    <w:p w14:paraId="78589FB4" w14:textId="77777777" w:rsidR="00DC3EA5" w:rsidRDefault="00000000">
      <w:pPr>
        <w:pStyle w:val="affffffff2"/>
        <w:tabs>
          <w:tab w:val="center" w:pos="4201"/>
          <w:tab w:val="right" w:leader="dot" w:pos="9298"/>
        </w:tabs>
        <w:ind w:firstLine="420"/>
        <w:rPr>
          <w:rFonts w:ascii="Times New Roman"/>
          <w:kern w:val="2"/>
          <w:szCs w:val="24"/>
          <w:lang w:bidi="ar"/>
        </w:rPr>
      </w:pPr>
      <w:r>
        <w:rPr>
          <w:rFonts w:ascii="Times New Roman"/>
          <w:kern w:val="2"/>
          <w:szCs w:val="24"/>
          <w:lang w:bidi="ar"/>
        </w:rPr>
        <w:t>本文件适用于电压等级</w:t>
      </w:r>
      <w:r>
        <w:rPr>
          <w:rFonts w:ascii="Times New Roman"/>
          <w:kern w:val="2"/>
          <w:szCs w:val="24"/>
          <w:lang w:bidi="ar"/>
        </w:rPr>
        <w:t>10kV~220kV</w:t>
      </w:r>
      <w:r>
        <w:rPr>
          <w:rFonts w:ascii="Times New Roman"/>
          <w:kern w:val="2"/>
          <w:szCs w:val="24"/>
          <w:lang w:bidi="ar"/>
        </w:rPr>
        <w:t>、额定频率</w:t>
      </w:r>
      <w:r>
        <w:rPr>
          <w:rFonts w:ascii="Times New Roman"/>
          <w:kern w:val="2"/>
          <w:szCs w:val="24"/>
          <w:lang w:bidi="ar"/>
        </w:rPr>
        <w:t>10Hz~30Hz</w:t>
      </w:r>
      <w:r>
        <w:rPr>
          <w:rFonts w:ascii="Times New Roman"/>
          <w:kern w:val="2"/>
          <w:szCs w:val="24"/>
          <w:lang w:bidi="ar"/>
        </w:rPr>
        <w:t>柔性低频交流输电系统新安装的高压电气设备交接试验。</w:t>
      </w:r>
    </w:p>
    <w:p w14:paraId="7AF3BE03" w14:textId="77777777" w:rsidR="00DC3EA5" w:rsidRDefault="00000000">
      <w:pPr>
        <w:pStyle w:val="a6"/>
        <w:outlineLvl w:val="0"/>
        <w:rPr>
          <w:rFonts w:ascii="Times New Roman"/>
          <w:szCs w:val="21"/>
        </w:rPr>
      </w:pPr>
      <w:bookmarkStart w:id="21" w:name="_Toc17645"/>
      <w:r>
        <w:rPr>
          <w:rFonts w:ascii="Times New Roman"/>
          <w:szCs w:val="21"/>
        </w:rPr>
        <w:t>规范性引用文</w:t>
      </w:r>
      <w:bookmarkEnd w:id="18"/>
      <w:r>
        <w:rPr>
          <w:rFonts w:ascii="Times New Roman"/>
          <w:szCs w:val="21"/>
        </w:rPr>
        <w:t>件</w:t>
      </w:r>
      <w:bookmarkEnd w:id="19"/>
      <w:bookmarkEnd w:id="20"/>
      <w:bookmarkEnd w:id="21"/>
    </w:p>
    <w:p w14:paraId="73CD8295" w14:textId="77777777" w:rsidR="00DC3EA5" w:rsidRDefault="00000000">
      <w:pPr>
        <w:pStyle w:val="affffffff2"/>
        <w:tabs>
          <w:tab w:val="center" w:pos="4201"/>
          <w:tab w:val="right" w:leader="dot" w:pos="9298"/>
        </w:tabs>
        <w:ind w:firstLine="420"/>
        <w:rPr>
          <w:rFonts w:ascii="Times New Roman"/>
          <w:kern w:val="2"/>
          <w:szCs w:val="24"/>
          <w:lang w:bidi="ar"/>
        </w:rPr>
      </w:pPr>
      <w:bookmarkStart w:id="22" w:name="_Toc63642875"/>
      <w:bookmarkStart w:id="23" w:name="_Toc55228496"/>
      <w:bookmarkStart w:id="24" w:name="_Toc62027350"/>
      <w:r>
        <w:rPr>
          <w:rFonts w:ascii="Times New Roman"/>
          <w:kern w:val="2"/>
          <w:szCs w:val="24"/>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1773F5"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1094.3  </w:t>
      </w:r>
      <w:r>
        <w:rPr>
          <w:rFonts w:ascii="Times New Roman"/>
        </w:rPr>
        <w:t>电力变压器</w:t>
      </w:r>
      <w:r>
        <w:rPr>
          <w:rFonts w:ascii="Times New Roman"/>
        </w:rPr>
        <w:t xml:space="preserve">  </w:t>
      </w:r>
      <w:r>
        <w:rPr>
          <w:rFonts w:ascii="Times New Roman"/>
        </w:rPr>
        <w:t>第</w:t>
      </w:r>
      <w:r>
        <w:rPr>
          <w:rFonts w:ascii="Times New Roman"/>
        </w:rPr>
        <w:t>3</w:t>
      </w:r>
      <w:r>
        <w:rPr>
          <w:rFonts w:ascii="Times New Roman"/>
        </w:rPr>
        <w:t>部分：绝缘水平、绝缘试验和外绝缘空气间隙</w:t>
      </w:r>
    </w:p>
    <w:p w14:paraId="54C85226"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1094.10  </w:t>
      </w:r>
      <w:r>
        <w:rPr>
          <w:rFonts w:ascii="Times New Roman"/>
        </w:rPr>
        <w:t>电力变压器</w:t>
      </w:r>
      <w:r>
        <w:rPr>
          <w:rFonts w:ascii="Times New Roman"/>
        </w:rPr>
        <w:t xml:space="preserve">  </w:t>
      </w:r>
      <w:r>
        <w:rPr>
          <w:rFonts w:ascii="Times New Roman"/>
        </w:rPr>
        <w:t>第</w:t>
      </w:r>
      <w:r>
        <w:rPr>
          <w:rFonts w:ascii="Times New Roman"/>
        </w:rPr>
        <w:t>10</w:t>
      </w:r>
      <w:r>
        <w:rPr>
          <w:rFonts w:ascii="Times New Roman"/>
        </w:rPr>
        <w:t>部分：声级测定</w:t>
      </w:r>
    </w:p>
    <w:p w14:paraId="240454F9"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7252  </w:t>
      </w:r>
      <w:r>
        <w:rPr>
          <w:rFonts w:ascii="Times New Roman"/>
        </w:rPr>
        <w:t>变压器油中溶解气体分析和判断导则</w:t>
      </w:r>
    </w:p>
    <w:p w14:paraId="553C8DC7"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7674  </w:t>
      </w:r>
      <w:r>
        <w:rPr>
          <w:rFonts w:ascii="Times New Roman"/>
        </w:rPr>
        <w:t>额定电压</w:t>
      </w:r>
      <w:r>
        <w:rPr>
          <w:rFonts w:ascii="Times New Roman"/>
        </w:rPr>
        <w:t>72.5 kV</w:t>
      </w:r>
      <w:r>
        <w:rPr>
          <w:rFonts w:ascii="Times New Roman"/>
        </w:rPr>
        <w:t>及以上气体绝缘金属封闭开关设备</w:t>
      </w:r>
    </w:p>
    <w:p w14:paraId="0F17E369"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8905  </w:t>
      </w:r>
      <w:r>
        <w:rPr>
          <w:rFonts w:ascii="Times New Roman"/>
        </w:rPr>
        <w:t>六氟化硫电气设备中气体管理和检测导则</w:t>
      </w:r>
    </w:p>
    <w:p w14:paraId="227BFE00"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11023  </w:t>
      </w:r>
      <w:r>
        <w:rPr>
          <w:rFonts w:ascii="Times New Roman"/>
        </w:rPr>
        <w:t>高压开关设备六氟化硫气体密封试验方法</w:t>
      </w:r>
    </w:p>
    <w:p w14:paraId="09CC0B16"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11032  </w:t>
      </w:r>
      <w:r>
        <w:rPr>
          <w:rFonts w:ascii="Times New Roman"/>
        </w:rPr>
        <w:t>交流无间隙金属氧化物避雷器</w:t>
      </w:r>
    </w:p>
    <w:p w14:paraId="73D21099"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 12022  </w:t>
      </w:r>
      <w:r>
        <w:rPr>
          <w:rFonts w:ascii="Times New Roman"/>
        </w:rPr>
        <w:t>工业六氟化硫</w:t>
      </w:r>
    </w:p>
    <w:p w14:paraId="5CD3B3F8"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14542  </w:t>
      </w:r>
      <w:r>
        <w:rPr>
          <w:rFonts w:ascii="Times New Roman"/>
        </w:rPr>
        <w:t>运行变压器油维护管理导则</w:t>
      </w:r>
    </w:p>
    <w:p w14:paraId="40AC0AA2"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16927.1  </w:t>
      </w:r>
      <w:r>
        <w:rPr>
          <w:rFonts w:ascii="Times New Roman"/>
        </w:rPr>
        <w:t>高电压试验技术</w:t>
      </w:r>
      <w:r>
        <w:rPr>
          <w:rFonts w:ascii="Times New Roman"/>
        </w:rPr>
        <w:t xml:space="preserve">  </w:t>
      </w:r>
      <w:r>
        <w:rPr>
          <w:rFonts w:ascii="Times New Roman"/>
        </w:rPr>
        <w:t>第</w:t>
      </w:r>
      <w:r>
        <w:rPr>
          <w:rFonts w:ascii="Times New Roman"/>
        </w:rPr>
        <w:t>1</w:t>
      </w:r>
      <w:r>
        <w:rPr>
          <w:rFonts w:ascii="Times New Roman"/>
        </w:rPr>
        <w:t>部分：一般定义及试验要求</w:t>
      </w:r>
    </w:p>
    <w:p w14:paraId="2320C504"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GB/T 16927.2  </w:t>
      </w:r>
      <w:r>
        <w:rPr>
          <w:rFonts w:ascii="Times New Roman"/>
        </w:rPr>
        <w:t>高电压试验技术</w:t>
      </w:r>
      <w:r>
        <w:rPr>
          <w:rFonts w:ascii="Times New Roman"/>
        </w:rPr>
        <w:t xml:space="preserve">  </w:t>
      </w:r>
      <w:r>
        <w:rPr>
          <w:rFonts w:ascii="Times New Roman"/>
        </w:rPr>
        <w:t>第</w:t>
      </w:r>
      <w:r>
        <w:rPr>
          <w:rFonts w:ascii="Times New Roman"/>
        </w:rPr>
        <w:t>2</w:t>
      </w:r>
      <w:r>
        <w:rPr>
          <w:rFonts w:ascii="Times New Roman"/>
        </w:rPr>
        <w:t>部分：测量系统</w:t>
      </w:r>
    </w:p>
    <w:p w14:paraId="3B32EDF7" w14:textId="77777777" w:rsidR="00DC3EA5" w:rsidRDefault="00000000">
      <w:pPr>
        <w:pStyle w:val="affffffff2"/>
        <w:tabs>
          <w:tab w:val="center" w:pos="4201"/>
          <w:tab w:val="right" w:leader="dot" w:pos="9298"/>
        </w:tabs>
        <w:ind w:firstLine="420"/>
        <w:rPr>
          <w:rFonts w:ascii="Times New Roman"/>
        </w:rPr>
      </w:pPr>
      <w:r>
        <w:rPr>
          <w:rFonts w:ascii="Times New Roman" w:hint="eastAsia"/>
        </w:rPr>
        <w:t xml:space="preserve">GB/T 16927.3  </w:t>
      </w:r>
      <w:r>
        <w:rPr>
          <w:rFonts w:ascii="Times New Roman" w:hint="eastAsia"/>
        </w:rPr>
        <w:t>高电压试验技术</w:t>
      </w:r>
      <w:r>
        <w:rPr>
          <w:rFonts w:ascii="Times New Roman" w:hint="eastAsia"/>
        </w:rPr>
        <w:t xml:space="preserve">  </w:t>
      </w:r>
      <w:r>
        <w:rPr>
          <w:rFonts w:ascii="Times New Roman" w:hint="eastAsia"/>
        </w:rPr>
        <w:t>第</w:t>
      </w:r>
      <w:r>
        <w:rPr>
          <w:rFonts w:ascii="Times New Roman" w:hint="eastAsia"/>
        </w:rPr>
        <w:t>3</w:t>
      </w:r>
      <w:r>
        <w:rPr>
          <w:rFonts w:ascii="Times New Roman" w:hint="eastAsia"/>
        </w:rPr>
        <w:t>部分：现场试验的定义及要求标准</w:t>
      </w:r>
    </w:p>
    <w:p w14:paraId="2BDFE975"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GB 50150—2016  </w:t>
      </w:r>
      <w:r>
        <w:rPr>
          <w:rFonts w:ascii="Times New Roman"/>
        </w:rPr>
        <w:t>电气装置安装工程电气设备交接试验标准</w:t>
      </w:r>
    </w:p>
    <w:p w14:paraId="480C0758"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474.1  </w:t>
      </w:r>
      <w:r>
        <w:rPr>
          <w:rFonts w:ascii="Times New Roman"/>
        </w:rPr>
        <w:t>现场绝缘试验实施导则</w:t>
      </w:r>
      <w:r>
        <w:rPr>
          <w:rFonts w:ascii="Times New Roman"/>
        </w:rPr>
        <w:t xml:space="preserve">  </w:t>
      </w:r>
      <w:r>
        <w:rPr>
          <w:rFonts w:ascii="Times New Roman"/>
        </w:rPr>
        <w:t>绝缘电阻、吸收比和极化指数试验</w:t>
      </w:r>
    </w:p>
    <w:p w14:paraId="10828CA5"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474.2  </w:t>
      </w:r>
      <w:r>
        <w:rPr>
          <w:rFonts w:ascii="Times New Roman"/>
        </w:rPr>
        <w:t>现场绝缘试验实施导则</w:t>
      </w:r>
      <w:r>
        <w:rPr>
          <w:rFonts w:ascii="Times New Roman"/>
        </w:rPr>
        <w:t xml:space="preserve">  </w:t>
      </w:r>
      <w:r>
        <w:rPr>
          <w:rFonts w:ascii="Times New Roman"/>
        </w:rPr>
        <w:t>直流高电压试验</w:t>
      </w:r>
    </w:p>
    <w:p w14:paraId="7B5A48F7"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474.3  </w:t>
      </w:r>
      <w:r>
        <w:rPr>
          <w:rFonts w:ascii="Times New Roman"/>
        </w:rPr>
        <w:t>现场绝缘试验实施导则</w:t>
      </w:r>
      <w:r>
        <w:rPr>
          <w:rFonts w:ascii="Times New Roman"/>
        </w:rPr>
        <w:t xml:space="preserve">  </w:t>
      </w:r>
      <w:r>
        <w:rPr>
          <w:rFonts w:ascii="Times New Roman"/>
        </w:rPr>
        <w:t>介质损耗因数</w:t>
      </w:r>
      <w:r>
        <w:rPr>
          <w:rFonts w:ascii="Times New Roman"/>
        </w:rPr>
        <w:t>tanδ</w:t>
      </w:r>
      <w:r>
        <w:rPr>
          <w:rFonts w:ascii="Times New Roman"/>
        </w:rPr>
        <w:t>试验</w:t>
      </w:r>
    </w:p>
    <w:p w14:paraId="51AE2051"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474.4  </w:t>
      </w:r>
      <w:r>
        <w:rPr>
          <w:rFonts w:ascii="Times New Roman"/>
        </w:rPr>
        <w:t>现场绝缘试验实施导则</w:t>
      </w:r>
      <w:r>
        <w:rPr>
          <w:rFonts w:ascii="Times New Roman"/>
        </w:rPr>
        <w:t xml:space="preserve">  </w:t>
      </w:r>
      <w:r>
        <w:rPr>
          <w:rFonts w:ascii="Times New Roman"/>
        </w:rPr>
        <w:t>交流耐压试验</w:t>
      </w:r>
    </w:p>
    <w:p w14:paraId="201AB58B"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475  </w:t>
      </w:r>
      <w:r>
        <w:rPr>
          <w:rFonts w:ascii="Times New Roman"/>
        </w:rPr>
        <w:t>接地装置特性参数测量导则</w:t>
      </w:r>
    </w:p>
    <w:p w14:paraId="3BB36179" w14:textId="77777777" w:rsidR="00DC3EA5" w:rsidRDefault="00000000">
      <w:pPr>
        <w:pStyle w:val="affffffff2"/>
        <w:tabs>
          <w:tab w:val="center" w:pos="4201"/>
          <w:tab w:val="right" w:leader="dot" w:pos="9298"/>
        </w:tabs>
        <w:ind w:firstLine="420"/>
        <w:rPr>
          <w:rFonts w:ascii="Times New Roman"/>
        </w:rPr>
      </w:pPr>
      <w:r>
        <w:rPr>
          <w:rFonts w:ascii="Times New Roman"/>
        </w:rPr>
        <w:t xml:space="preserve">DL/T 555  </w:t>
      </w:r>
      <w:r>
        <w:rPr>
          <w:rFonts w:ascii="Times New Roman"/>
        </w:rPr>
        <w:t>气体绝缘封闭开关设备现场耐压及绝缘试验导则</w:t>
      </w:r>
    </w:p>
    <w:p w14:paraId="6BAF3FD6" w14:textId="77777777" w:rsidR="00DC3EA5" w:rsidRDefault="00000000">
      <w:pPr>
        <w:pStyle w:val="a6"/>
        <w:outlineLvl w:val="0"/>
        <w:rPr>
          <w:rFonts w:ascii="Times New Roman"/>
          <w:szCs w:val="21"/>
        </w:rPr>
      </w:pPr>
      <w:bookmarkStart w:id="25" w:name="_Toc17045"/>
      <w:r>
        <w:rPr>
          <w:rFonts w:ascii="Times New Roman"/>
          <w:szCs w:val="21"/>
        </w:rPr>
        <w:t>术语</w:t>
      </w:r>
      <w:r w:rsidRPr="00EB18EE">
        <w:rPr>
          <w:rFonts w:ascii="Times New Roman"/>
          <w:szCs w:val="21"/>
        </w:rPr>
        <w:t>和定义</w:t>
      </w:r>
      <w:bookmarkEnd w:id="22"/>
      <w:bookmarkEnd w:id="23"/>
      <w:bookmarkEnd w:id="24"/>
      <w:bookmarkEnd w:id="25"/>
    </w:p>
    <w:p w14:paraId="3D30EFA0" w14:textId="77777777" w:rsidR="00DC3EA5" w:rsidRDefault="00000000">
      <w:pPr>
        <w:pStyle w:val="affffffff2"/>
        <w:ind w:firstLine="420"/>
        <w:rPr>
          <w:rFonts w:ascii="Times New Roman"/>
          <w:szCs w:val="21"/>
        </w:rPr>
      </w:pPr>
      <w:r>
        <w:rPr>
          <w:rFonts w:ascii="Times New Roman"/>
          <w:szCs w:val="21"/>
        </w:rPr>
        <w:t>下列术语和定义适用于本文件。</w:t>
      </w:r>
    </w:p>
    <w:p w14:paraId="1965A2C5" w14:textId="77777777" w:rsidR="00DC3EA5" w:rsidRDefault="00DC3EA5">
      <w:pPr>
        <w:pStyle w:val="afffffffffc"/>
        <w:ind w:left="0"/>
        <w:outlineLvl w:val="1"/>
        <w:rPr>
          <w:rFonts w:ascii="Times New Roman"/>
          <w:color w:val="FF0000"/>
        </w:rPr>
      </w:pPr>
    </w:p>
    <w:p w14:paraId="6B222AA4" w14:textId="77777777" w:rsidR="00DC3EA5" w:rsidRDefault="00000000">
      <w:pPr>
        <w:pStyle w:val="afffffffffff3"/>
        <w:numPr>
          <w:ilvl w:val="1"/>
          <w:numId w:val="0"/>
        </w:numPr>
        <w:ind w:firstLineChars="200" w:firstLine="420"/>
        <w:outlineLvl w:val="9"/>
        <w:rPr>
          <w:rFonts w:ascii="Times New Roman"/>
        </w:rPr>
      </w:pPr>
      <w:bookmarkStart w:id="26" w:name="_Toc9522"/>
      <w:r>
        <w:rPr>
          <w:rFonts w:ascii="黑体" w:eastAsia="黑体" w:hAnsi="黑体" w:cs="黑体" w:hint="eastAsia"/>
        </w:rPr>
        <w:t>柔性低频交流输电系统</w:t>
      </w:r>
      <w:r>
        <w:rPr>
          <w:rFonts w:ascii="Times New Roman"/>
        </w:rPr>
        <w:t xml:space="preserve"> Flexible Low-frequency Alternating Current Power Transmission</w:t>
      </w:r>
      <w:r>
        <w:rPr>
          <w:rFonts w:ascii="Times New Roman"/>
        </w:rPr>
        <w:t>（</w:t>
      </w:r>
      <w:r>
        <w:rPr>
          <w:rFonts w:ascii="Times New Roman"/>
        </w:rPr>
        <w:t>FLACPT</w:t>
      </w:r>
      <w:r>
        <w:rPr>
          <w:rFonts w:ascii="Times New Roman"/>
        </w:rPr>
        <w:t>）</w:t>
      </w:r>
      <w:bookmarkEnd w:id="26"/>
    </w:p>
    <w:p w14:paraId="18CAD5EF" w14:textId="77777777" w:rsidR="00DC3EA5" w:rsidRDefault="00000000">
      <w:pPr>
        <w:ind w:firstLineChars="200" w:firstLine="420"/>
      </w:pPr>
      <w:r>
        <w:t>基于电压源换流器的低频交流输电系统，其中低频是指频率低于</w:t>
      </w:r>
      <w:r>
        <w:rPr>
          <w:rFonts w:hint="eastAsia"/>
        </w:rPr>
        <w:t>50 Hz</w:t>
      </w:r>
      <w:r>
        <w:t>。</w:t>
      </w:r>
    </w:p>
    <w:p w14:paraId="387DEB25" w14:textId="77777777" w:rsidR="00DC3EA5" w:rsidRDefault="00000000">
      <w:pPr>
        <w:pStyle w:val="affffffff2"/>
        <w:ind w:firstLine="420"/>
        <w:rPr>
          <w:rFonts w:ascii="Times New Roman"/>
        </w:rPr>
      </w:pPr>
      <w:r>
        <w:rPr>
          <w:rFonts w:ascii="Times New Roman"/>
        </w:rPr>
        <w:t>注：示范工程目前选用</w:t>
      </w:r>
      <w:r>
        <w:rPr>
          <w:rFonts w:ascii="Times New Roman"/>
        </w:rPr>
        <w:t>20</w:t>
      </w:r>
      <w:r>
        <w:rPr>
          <w:rFonts w:ascii="Times New Roman" w:hint="eastAsia"/>
        </w:rPr>
        <w:t xml:space="preserve"> </w:t>
      </w:r>
      <w:r>
        <w:rPr>
          <w:rFonts w:ascii="Times New Roman"/>
        </w:rPr>
        <w:t>Hz</w:t>
      </w:r>
      <w:r>
        <w:rPr>
          <w:rFonts w:ascii="Times New Roman"/>
        </w:rPr>
        <w:t>、</w:t>
      </w:r>
      <w:r>
        <w:rPr>
          <w:rFonts w:ascii="Times New Roman"/>
        </w:rPr>
        <w:t>16.7</w:t>
      </w:r>
      <w:r>
        <w:rPr>
          <w:rFonts w:ascii="Times New Roman" w:hint="eastAsia"/>
        </w:rPr>
        <w:t xml:space="preserve"> </w:t>
      </w:r>
      <w:r>
        <w:rPr>
          <w:rFonts w:ascii="Times New Roman"/>
        </w:rPr>
        <w:t>Hz</w:t>
      </w:r>
      <w:r>
        <w:rPr>
          <w:rFonts w:ascii="Times New Roman"/>
        </w:rPr>
        <w:t>。</w:t>
      </w:r>
    </w:p>
    <w:p w14:paraId="51B2C28E" w14:textId="77777777" w:rsidR="00DC3EA5" w:rsidRDefault="00DC3EA5">
      <w:pPr>
        <w:pStyle w:val="afffffffffc"/>
        <w:ind w:left="0"/>
        <w:outlineLvl w:val="1"/>
        <w:rPr>
          <w:rFonts w:ascii="Times New Roman"/>
          <w:color w:val="FF0000"/>
        </w:rPr>
      </w:pPr>
    </w:p>
    <w:p w14:paraId="51DEB2CD" w14:textId="77777777" w:rsidR="00DC3EA5" w:rsidRDefault="00000000">
      <w:pPr>
        <w:ind w:firstLineChars="200" w:firstLine="420"/>
      </w:pPr>
      <w:r>
        <w:rPr>
          <w:rFonts w:ascii="黑体" w:eastAsia="黑体" w:hAnsi="黑体" w:cs="黑体" w:hint="eastAsia"/>
        </w:rPr>
        <w:t>低频交流输电系统高压电气设备</w:t>
      </w:r>
      <w:r>
        <w:t xml:space="preserve"> </w:t>
      </w:r>
      <w:r>
        <w:rPr>
          <w:kern w:val="0"/>
          <w:szCs w:val="21"/>
        </w:rPr>
        <w:t>high voltage electric equipment for flexible low-frequency AC power transmission system</w:t>
      </w:r>
    </w:p>
    <w:p w14:paraId="677E4DEB" w14:textId="77777777" w:rsidR="00DC3EA5" w:rsidRDefault="00000000">
      <w:pPr>
        <w:ind w:firstLineChars="200" w:firstLine="420"/>
      </w:pPr>
      <w:r>
        <w:t>柔性低频交流输电系统</w:t>
      </w:r>
      <w:r>
        <w:rPr>
          <w:rFonts w:hint="eastAsia"/>
        </w:rPr>
        <w:t>关键组成部分，主要包括变压器、开关设备、互感器、避雷器、变压器套管、电缆等。</w:t>
      </w:r>
    </w:p>
    <w:p w14:paraId="73801C57" w14:textId="77777777" w:rsidR="00DC3EA5" w:rsidRDefault="00000000">
      <w:pPr>
        <w:pStyle w:val="a6"/>
        <w:outlineLvl w:val="0"/>
        <w:rPr>
          <w:rFonts w:ascii="Times New Roman"/>
          <w:szCs w:val="21"/>
        </w:rPr>
      </w:pPr>
      <w:bookmarkStart w:id="27" w:name="_Toc19667"/>
      <w:r>
        <w:rPr>
          <w:rFonts w:ascii="Times New Roman" w:hint="eastAsia"/>
          <w:szCs w:val="21"/>
        </w:rPr>
        <w:t>基本规定</w:t>
      </w:r>
      <w:bookmarkEnd w:id="27"/>
    </w:p>
    <w:p w14:paraId="14CC2BFF" w14:textId="77777777" w:rsidR="00DC3EA5" w:rsidRDefault="00000000">
      <w:pPr>
        <w:pStyle w:val="a7"/>
        <w:ind w:left="0"/>
        <w:outlineLvl w:val="1"/>
        <w:rPr>
          <w:rFonts w:ascii="Times New Roman" w:eastAsia="宋体"/>
        </w:rPr>
      </w:pPr>
      <w:bookmarkStart w:id="28" w:name="_Toc249"/>
      <w:r>
        <w:rPr>
          <w:rFonts w:ascii="Times New Roman" w:eastAsia="宋体"/>
        </w:rPr>
        <w:t>电气设备应按照本文件进行交流耐压试验，但对</w:t>
      </w:r>
      <w:r>
        <w:rPr>
          <w:rFonts w:ascii="Times New Roman" w:eastAsia="宋体"/>
        </w:rPr>
        <w:t>110 kV</w:t>
      </w:r>
      <w:r>
        <w:rPr>
          <w:rFonts w:ascii="Times New Roman" w:eastAsia="宋体"/>
        </w:rPr>
        <w:t>及以上电压等级的电气设备，当本文件条款没有规定时，可不进行交流耐压试验。交流耐压试验时加至试验标准电压后的持续时间，无特殊说明时，应为</w:t>
      </w:r>
      <w:r>
        <w:rPr>
          <w:rFonts w:ascii="Times New Roman" w:eastAsia="宋体"/>
        </w:rPr>
        <w:t>1 min</w:t>
      </w:r>
      <w:r>
        <w:rPr>
          <w:rFonts w:ascii="Times New Roman" w:eastAsia="宋体"/>
        </w:rPr>
        <w:t>。非标准电压等级的电气设备，其交流耐压试验电压值，当没有规定时，可根据本文件规定的相邻电压等级按比例采用插入法计算。</w:t>
      </w:r>
      <w:bookmarkEnd w:id="28"/>
    </w:p>
    <w:p w14:paraId="77C088CF" w14:textId="77777777" w:rsidR="00DC3EA5" w:rsidRDefault="00000000">
      <w:pPr>
        <w:pStyle w:val="a7"/>
        <w:ind w:left="0"/>
        <w:outlineLvl w:val="1"/>
        <w:rPr>
          <w:rFonts w:ascii="Times New Roman" w:eastAsia="宋体"/>
        </w:rPr>
      </w:pPr>
      <w:bookmarkStart w:id="29" w:name="标准附录"/>
      <w:bookmarkStart w:id="30" w:name="_Toc22299"/>
      <w:bookmarkEnd w:id="29"/>
      <w:r>
        <w:rPr>
          <w:rFonts w:ascii="Times New Roman" w:eastAsia="宋体"/>
        </w:rPr>
        <w:t>无特殊说明时，外施交流电压试验电压的频率应为</w:t>
      </w:r>
      <w:r>
        <w:rPr>
          <w:rFonts w:ascii="Times New Roman" w:eastAsia="宋体"/>
        </w:rPr>
        <w:t>15 Hz</w:t>
      </w:r>
      <w:r>
        <w:rPr>
          <w:rFonts w:ascii="Times New Roman" w:eastAsia="宋体"/>
        </w:rPr>
        <w:t>～</w:t>
      </w:r>
      <w:r>
        <w:rPr>
          <w:rFonts w:ascii="Times New Roman" w:eastAsia="宋体"/>
        </w:rPr>
        <w:t>65 Hz</w:t>
      </w:r>
      <w:r>
        <w:rPr>
          <w:rFonts w:ascii="Times New Roman" w:eastAsia="宋体"/>
        </w:rPr>
        <w:t>，全电压下耐受时间为</w:t>
      </w:r>
      <w:r>
        <w:rPr>
          <w:rFonts w:ascii="Times New Roman" w:eastAsia="宋体"/>
        </w:rPr>
        <w:t>60 s</w:t>
      </w:r>
      <w:r>
        <w:rPr>
          <w:rFonts w:ascii="Times New Roman" w:eastAsia="宋体"/>
        </w:rPr>
        <w:t>；感应电压试验时，当试验电压频率等于或小于</w:t>
      </w:r>
      <w:r>
        <w:rPr>
          <w:rFonts w:ascii="Times New Roman" w:eastAsia="宋体"/>
        </w:rPr>
        <w:t>2</w:t>
      </w:r>
      <w:r>
        <w:rPr>
          <w:rFonts w:ascii="Times New Roman" w:eastAsia="宋体"/>
        </w:rPr>
        <w:t>倍额定频率时，全电压下试验时间为</w:t>
      </w:r>
      <w:r>
        <w:rPr>
          <w:rFonts w:ascii="Times New Roman" w:eastAsia="宋体"/>
        </w:rPr>
        <w:t>60 s</w:t>
      </w:r>
      <w:r>
        <w:rPr>
          <w:rFonts w:ascii="Times New Roman" w:eastAsia="宋体"/>
        </w:rPr>
        <w:t>；当试验电压频率大于</w:t>
      </w:r>
      <w:r>
        <w:rPr>
          <w:rFonts w:ascii="Times New Roman" w:eastAsia="宋体"/>
        </w:rPr>
        <w:t>2</w:t>
      </w:r>
      <w:r>
        <w:rPr>
          <w:rFonts w:ascii="Times New Roman" w:eastAsia="宋体"/>
        </w:rPr>
        <w:t>倍额定频率时，全电压下试验时间为：</w:t>
      </w:r>
      <w:r>
        <w:rPr>
          <w:rFonts w:ascii="Times New Roman" w:eastAsia="宋体"/>
        </w:rPr>
        <w:t>120×</w:t>
      </w:r>
      <w:r>
        <w:rPr>
          <w:rFonts w:ascii="Times New Roman" w:eastAsia="宋体"/>
        </w:rPr>
        <w:t>额定频率／试验频率（</w:t>
      </w:r>
      <w:r>
        <w:rPr>
          <w:rFonts w:ascii="Times New Roman" w:eastAsia="宋体"/>
        </w:rPr>
        <w:t>s</w:t>
      </w:r>
      <w:r>
        <w:rPr>
          <w:rFonts w:ascii="Times New Roman" w:eastAsia="宋体"/>
        </w:rPr>
        <w:t>），但不少于</w:t>
      </w:r>
      <w:r>
        <w:rPr>
          <w:rFonts w:ascii="Times New Roman" w:eastAsia="宋体"/>
        </w:rPr>
        <w:t>15 s</w:t>
      </w:r>
      <w:r>
        <w:rPr>
          <w:rFonts w:ascii="Times New Roman" w:eastAsia="宋体"/>
        </w:rPr>
        <w:t>。</w:t>
      </w:r>
      <w:bookmarkEnd w:id="30"/>
    </w:p>
    <w:p w14:paraId="304D6FBA" w14:textId="77777777" w:rsidR="00DC3EA5" w:rsidRDefault="00000000">
      <w:pPr>
        <w:pStyle w:val="a7"/>
        <w:ind w:left="0"/>
        <w:outlineLvl w:val="1"/>
        <w:rPr>
          <w:rFonts w:ascii="Times New Roman" w:eastAsia="宋体"/>
        </w:rPr>
      </w:pPr>
      <w:bookmarkStart w:id="31" w:name="_Toc25064"/>
      <w:bookmarkStart w:id="32" w:name="_Toc151477149"/>
      <w:r>
        <w:rPr>
          <w:rFonts w:ascii="Times New Roman" w:eastAsia="宋体"/>
        </w:rPr>
        <w:t>进行绝缘耐压试验时，除制造厂装配的成套设备外，宜将连接在一起的各种设备分离开来单独试验。同一试验标准的设备可以连在一起试验。为便于现场试验工作，已有出厂试验记录的同一电压等级不同试验标准的电气设备，在单独试验有困难时，也可以连在一起进行试验，试验标准应采用连接的各种设备中的最低试验标准。</w:t>
      </w:r>
      <w:bookmarkEnd w:id="31"/>
      <w:bookmarkEnd w:id="32"/>
    </w:p>
    <w:p w14:paraId="25C3F63C" w14:textId="77777777" w:rsidR="00DC3EA5" w:rsidRDefault="00000000">
      <w:pPr>
        <w:pStyle w:val="a7"/>
        <w:ind w:left="0"/>
        <w:outlineLvl w:val="1"/>
        <w:rPr>
          <w:rFonts w:ascii="Times New Roman" w:eastAsia="宋体"/>
        </w:rPr>
      </w:pPr>
      <w:bookmarkStart w:id="33" w:name="_Toc11032"/>
      <w:bookmarkStart w:id="34" w:name="_Toc11515"/>
      <w:bookmarkStart w:id="35" w:name="_Toc151477150"/>
      <w:r>
        <w:rPr>
          <w:rFonts w:ascii="Times New Roman" w:eastAsia="宋体"/>
        </w:rPr>
        <w:t>当断路器断口的绝缘水平比对地绝缘水平高一等级时，进行断口交流耐压时应采取有效措施，保证断口交流耐压试验时对地不会发生击穿方可进行，否则断口只能按对地的耐压水平进行检查性耐压试验。</w:t>
      </w:r>
      <w:bookmarkEnd w:id="33"/>
      <w:bookmarkEnd w:id="34"/>
      <w:bookmarkEnd w:id="35"/>
    </w:p>
    <w:p w14:paraId="69CA1018" w14:textId="77777777" w:rsidR="00DC3EA5" w:rsidRDefault="00000000">
      <w:pPr>
        <w:pStyle w:val="a7"/>
        <w:ind w:left="0"/>
        <w:outlineLvl w:val="1"/>
        <w:rPr>
          <w:rFonts w:ascii="Times New Roman" w:eastAsia="宋体"/>
        </w:rPr>
      </w:pPr>
      <w:bookmarkStart w:id="36" w:name="_Toc7983"/>
      <w:bookmarkStart w:id="37" w:name="_Toc151477151"/>
      <w:r>
        <w:rPr>
          <w:rFonts w:ascii="Times New Roman" w:eastAsia="宋体"/>
        </w:rPr>
        <w:t>变压器的绝缘试验应在充满合格油、静置一定时间、待气泡消除后方可进行。静置时间按制造厂要求执行，当制造厂无规定时，按</w:t>
      </w:r>
      <w:r>
        <w:rPr>
          <w:rFonts w:ascii="Times New Roman" w:eastAsia="宋体"/>
        </w:rPr>
        <w:t>GB 50150—2016</w:t>
      </w:r>
      <w:r>
        <w:rPr>
          <w:rFonts w:ascii="Times New Roman" w:eastAsia="宋体"/>
        </w:rPr>
        <w:t>表</w:t>
      </w:r>
      <w:r>
        <w:rPr>
          <w:rFonts w:ascii="Times New Roman" w:eastAsia="宋体"/>
        </w:rPr>
        <w:t>3.0.3</w:t>
      </w:r>
      <w:r>
        <w:rPr>
          <w:rFonts w:ascii="Times New Roman" w:eastAsia="宋体"/>
        </w:rPr>
        <w:t>油浸式变压器及电抗器电压等级与充油后静置时间关系执行。</w:t>
      </w:r>
      <w:bookmarkEnd w:id="36"/>
      <w:bookmarkEnd w:id="37"/>
    </w:p>
    <w:p w14:paraId="07D860AF" w14:textId="77777777" w:rsidR="00DC3EA5" w:rsidRDefault="00000000">
      <w:pPr>
        <w:pStyle w:val="a7"/>
        <w:ind w:left="0"/>
        <w:outlineLvl w:val="1"/>
        <w:rPr>
          <w:rFonts w:ascii="Times New Roman" w:eastAsia="宋体"/>
        </w:rPr>
      </w:pPr>
      <w:bookmarkStart w:id="38" w:name="_Toc28326"/>
      <w:r>
        <w:rPr>
          <w:rFonts w:ascii="Times New Roman" w:eastAsia="宋体"/>
        </w:rPr>
        <w:t>采用额定电压较高的电气设备在于加强绝缘时，应按照设备额定电压的试验标准进行。采用较高电压等级的电气设备在于满足产品通用性及机械强度的要求时</w:t>
      </w:r>
      <w:r>
        <w:rPr>
          <w:rFonts w:ascii="Times New Roman" w:eastAsia="宋体"/>
        </w:rPr>
        <w:t>,</w:t>
      </w:r>
      <w:r>
        <w:rPr>
          <w:rFonts w:ascii="Times New Roman" w:eastAsia="宋体"/>
        </w:rPr>
        <w:t>可按照设备实际使用的额定工作电压的试验标准进行。采用较高电压等级的电气设备在满足高海拔地区要求时应在安装地点按实际使用的额定工作电压的试验标准进行。</w:t>
      </w:r>
      <w:bookmarkEnd w:id="38"/>
    </w:p>
    <w:p w14:paraId="1301C5A3" w14:textId="77777777" w:rsidR="00DC3EA5" w:rsidRDefault="00000000">
      <w:pPr>
        <w:pStyle w:val="a7"/>
        <w:ind w:left="0"/>
        <w:outlineLvl w:val="1"/>
        <w:rPr>
          <w:rFonts w:ascii="Times New Roman" w:eastAsia="宋体"/>
        </w:rPr>
      </w:pPr>
      <w:bookmarkStart w:id="39" w:name="_Toc151477154"/>
      <w:bookmarkStart w:id="40" w:name="_Toc27904"/>
      <w:r>
        <w:rPr>
          <w:rFonts w:ascii="Times New Roman" w:eastAsia="宋体"/>
        </w:rPr>
        <w:t>对于充气设备应在充</w:t>
      </w:r>
      <w:r>
        <w:rPr>
          <w:rFonts w:ascii="Times New Roman" w:eastAsia="宋体"/>
        </w:rPr>
        <w:t>SF6</w:t>
      </w:r>
      <w:r>
        <w:rPr>
          <w:rFonts w:ascii="Times New Roman" w:eastAsia="宋体"/>
        </w:rPr>
        <w:t>气体后静置</w:t>
      </w:r>
      <w:r>
        <w:rPr>
          <w:rFonts w:ascii="Times New Roman" w:eastAsia="宋体"/>
        </w:rPr>
        <w:t>24 h</w:t>
      </w:r>
      <w:r>
        <w:rPr>
          <w:rFonts w:ascii="Times New Roman" w:eastAsia="宋体"/>
        </w:rPr>
        <w:t>后方可进行水分测量和耐压试验</w:t>
      </w:r>
      <w:bookmarkEnd w:id="39"/>
      <w:r>
        <w:rPr>
          <w:rFonts w:ascii="Times New Roman" w:eastAsia="宋体"/>
        </w:rPr>
        <w:t>。</w:t>
      </w:r>
      <w:bookmarkEnd w:id="40"/>
    </w:p>
    <w:p w14:paraId="4607AA33" w14:textId="77777777" w:rsidR="00DC3EA5" w:rsidRDefault="00000000">
      <w:pPr>
        <w:pStyle w:val="a7"/>
        <w:ind w:left="0"/>
        <w:outlineLvl w:val="1"/>
        <w:rPr>
          <w:rFonts w:ascii="Times New Roman" w:eastAsia="宋体"/>
        </w:rPr>
      </w:pPr>
      <w:bookmarkStart w:id="41" w:name="_Toc151477155"/>
      <w:bookmarkStart w:id="42" w:name="_Toc7142"/>
      <w:r>
        <w:rPr>
          <w:rFonts w:ascii="Times New Roman" w:eastAsia="宋体"/>
        </w:rPr>
        <w:t>在进行与温度及湿度有关的各种试验时，应同时测量被试物周围的温度及湿度。绝缘试验应在良好天气且被试物及仪器周围温度不宜低于</w:t>
      </w:r>
      <w:r>
        <w:rPr>
          <w:rFonts w:ascii="Times New Roman" w:eastAsia="宋体"/>
        </w:rPr>
        <w:t>5 ℃</w:t>
      </w:r>
      <w:r>
        <w:rPr>
          <w:rFonts w:ascii="Times New Roman" w:eastAsia="宋体"/>
        </w:rPr>
        <w:t>，空气相对湿度不宜高于</w:t>
      </w:r>
      <w:r>
        <w:rPr>
          <w:rFonts w:ascii="Times New Roman" w:eastAsia="宋体"/>
        </w:rPr>
        <w:t>80%</w:t>
      </w:r>
      <w:r>
        <w:rPr>
          <w:rFonts w:ascii="Times New Roman" w:eastAsia="宋体"/>
        </w:rPr>
        <w:t>的条件下进行。对不满足上述温度、湿度条件情况下测得的试验数据，应进行综合分析，以判断电气设备是否可以投入运行。</w:t>
      </w:r>
      <w:bookmarkEnd w:id="41"/>
      <w:bookmarkEnd w:id="42"/>
    </w:p>
    <w:p w14:paraId="2F1931E8" w14:textId="77777777" w:rsidR="00DC3EA5" w:rsidRDefault="00000000">
      <w:pPr>
        <w:pStyle w:val="a7"/>
        <w:ind w:left="0"/>
        <w:outlineLvl w:val="1"/>
        <w:rPr>
          <w:rFonts w:ascii="Times New Roman" w:eastAsia="宋体"/>
        </w:rPr>
      </w:pPr>
      <w:bookmarkStart w:id="43" w:name="_Toc151477156"/>
      <w:bookmarkStart w:id="44" w:name="_Toc197"/>
      <w:r>
        <w:rPr>
          <w:rFonts w:ascii="Times New Roman" w:eastAsia="宋体"/>
        </w:rPr>
        <w:t>试验时，应注意环境温度的影响，对变压器应以上层油温作为测试温度。</w:t>
      </w:r>
      <w:bookmarkEnd w:id="43"/>
      <w:bookmarkEnd w:id="44"/>
    </w:p>
    <w:p w14:paraId="749C60C7" w14:textId="77777777" w:rsidR="00DC3EA5" w:rsidRDefault="00000000">
      <w:pPr>
        <w:pStyle w:val="a7"/>
        <w:ind w:left="0"/>
        <w:outlineLvl w:val="1"/>
        <w:rPr>
          <w:rFonts w:ascii="Times New Roman" w:eastAsia="宋体"/>
        </w:rPr>
      </w:pPr>
      <w:bookmarkStart w:id="45" w:name="_Toc151477157"/>
      <w:bookmarkStart w:id="46" w:name="_Toc28454"/>
      <w:r>
        <w:rPr>
          <w:rFonts w:ascii="Times New Roman" w:eastAsia="宋体"/>
        </w:rPr>
        <w:t>本文件中规定的常温范围为</w:t>
      </w:r>
      <w:r>
        <w:rPr>
          <w:rFonts w:ascii="Times New Roman" w:eastAsia="宋体"/>
        </w:rPr>
        <w:t>10 ℃</w:t>
      </w:r>
      <w:r>
        <w:rPr>
          <w:rFonts w:ascii="Times New Roman" w:eastAsia="宋体"/>
        </w:rPr>
        <w:t>～</w:t>
      </w:r>
      <w:r>
        <w:rPr>
          <w:rFonts w:ascii="Times New Roman" w:eastAsia="宋体"/>
        </w:rPr>
        <w:t>40 ℃</w:t>
      </w:r>
      <w:r>
        <w:rPr>
          <w:rFonts w:ascii="Times New Roman" w:eastAsia="宋体"/>
        </w:rPr>
        <w:t>。</w:t>
      </w:r>
      <w:bookmarkEnd w:id="45"/>
      <w:bookmarkEnd w:id="46"/>
    </w:p>
    <w:p w14:paraId="2E39A7C8" w14:textId="77777777" w:rsidR="00DC3EA5" w:rsidRDefault="00000000">
      <w:pPr>
        <w:pStyle w:val="a7"/>
        <w:ind w:left="0"/>
        <w:outlineLvl w:val="1"/>
        <w:rPr>
          <w:rFonts w:ascii="Times New Roman" w:eastAsia="宋体"/>
        </w:rPr>
      </w:pPr>
      <w:bookmarkStart w:id="47" w:name="_Toc151477158"/>
      <w:bookmarkStart w:id="48" w:name="_Toc14328"/>
      <w:r>
        <w:rPr>
          <w:rFonts w:ascii="Times New Roman" w:eastAsia="宋体"/>
        </w:rPr>
        <w:t>本文件中所列的绝缘电阻测量，应使用</w:t>
      </w:r>
      <w:r>
        <w:rPr>
          <w:rFonts w:ascii="Times New Roman" w:eastAsia="宋体"/>
        </w:rPr>
        <w:t>60 s</w:t>
      </w:r>
      <w:r>
        <w:rPr>
          <w:rFonts w:ascii="Times New Roman" w:eastAsia="宋体"/>
        </w:rPr>
        <w:t>的绝缘电阻值；吸收比的测量应使用</w:t>
      </w:r>
      <w:r>
        <w:rPr>
          <w:rFonts w:ascii="Times New Roman" w:eastAsia="宋体"/>
        </w:rPr>
        <w:t>60 s</w:t>
      </w:r>
      <w:r>
        <w:rPr>
          <w:rFonts w:ascii="Times New Roman" w:eastAsia="宋体"/>
        </w:rPr>
        <w:t>与</w:t>
      </w:r>
      <w:r>
        <w:rPr>
          <w:rFonts w:ascii="Times New Roman" w:eastAsia="宋体"/>
        </w:rPr>
        <w:t>15 s</w:t>
      </w:r>
      <w:r>
        <w:rPr>
          <w:rFonts w:ascii="Times New Roman" w:eastAsia="宋体"/>
        </w:rPr>
        <w:t>绝缘电阻值的比值；极化指数应为</w:t>
      </w:r>
      <w:r>
        <w:rPr>
          <w:rFonts w:ascii="Times New Roman" w:eastAsia="宋体"/>
        </w:rPr>
        <w:t>10 min</w:t>
      </w:r>
      <w:r>
        <w:rPr>
          <w:rFonts w:ascii="Times New Roman" w:eastAsia="宋体"/>
        </w:rPr>
        <w:t>与</w:t>
      </w:r>
      <w:r>
        <w:rPr>
          <w:rFonts w:ascii="Times New Roman" w:eastAsia="宋体"/>
        </w:rPr>
        <w:t>1 min</w:t>
      </w:r>
      <w:r>
        <w:rPr>
          <w:rFonts w:ascii="Times New Roman" w:eastAsia="宋体"/>
        </w:rPr>
        <w:t>的绝缘电阻值的比值。</w:t>
      </w:r>
      <w:bookmarkStart w:id="49" w:name="_Toc151477159"/>
      <w:bookmarkEnd w:id="47"/>
      <w:r>
        <w:rPr>
          <w:rFonts w:ascii="Times New Roman" w:eastAsia="宋体"/>
        </w:rPr>
        <w:t>测量绝缘电阻时，采用兆欧表的电压等级，应按下列规定执行：</w:t>
      </w:r>
      <w:bookmarkEnd w:id="48"/>
      <w:bookmarkEnd w:id="49"/>
      <w:r>
        <w:rPr>
          <w:rFonts w:ascii="Times New Roman" w:eastAsia="宋体"/>
        </w:rPr>
        <w:t xml:space="preserve"> </w:t>
      </w:r>
    </w:p>
    <w:p w14:paraId="74E6764D" w14:textId="77777777" w:rsidR="00DC3EA5" w:rsidRDefault="00000000">
      <w:pPr>
        <w:pStyle w:val="af5"/>
        <w:numPr>
          <w:ilvl w:val="0"/>
          <w:numId w:val="32"/>
        </w:numPr>
        <w:rPr>
          <w:rFonts w:ascii="Times New Roman"/>
        </w:rPr>
      </w:pPr>
      <w:r>
        <w:rPr>
          <w:rFonts w:ascii="Times New Roman"/>
        </w:rPr>
        <w:lastRenderedPageBreak/>
        <w:t>低压电气设备或控制辅助回路，采用</w:t>
      </w:r>
      <w:r>
        <w:rPr>
          <w:rFonts w:ascii="Times New Roman"/>
        </w:rPr>
        <w:t>500 V</w:t>
      </w:r>
      <w:r>
        <w:rPr>
          <w:rFonts w:ascii="Times New Roman"/>
        </w:rPr>
        <w:t>或</w:t>
      </w:r>
      <w:r>
        <w:rPr>
          <w:rFonts w:ascii="Times New Roman"/>
        </w:rPr>
        <w:t>1000 V</w:t>
      </w:r>
      <w:r>
        <w:rPr>
          <w:rFonts w:ascii="Times New Roman"/>
        </w:rPr>
        <w:t>兆欧表；</w:t>
      </w:r>
    </w:p>
    <w:p w14:paraId="48554F39" w14:textId="77777777" w:rsidR="00DC3EA5" w:rsidRDefault="00000000">
      <w:pPr>
        <w:pStyle w:val="af5"/>
        <w:numPr>
          <w:ilvl w:val="0"/>
          <w:numId w:val="32"/>
        </w:numPr>
        <w:rPr>
          <w:rFonts w:ascii="Times New Roman"/>
        </w:rPr>
      </w:pPr>
      <w:r>
        <w:rPr>
          <w:rFonts w:ascii="Times New Roman"/>
        </w:rPr>
        <w:t>其他电压等级的电气设备采用</w:t>
      </w:r>
      <w:r>
        <w:rPr>
          <w:rFonts w:ascii="Times New Roman"/>
        </w:rPr>
        <w:t>2500 V</w:t>
      </w:r>
      <w:r>
        <w:rPr>
          <w:rFonts w:ascii="Times New Roman"/>
        </w:rPr>
        <w:t>或</w:t>
      </w:r>
      <w:r>
        <w:rPr>
          <w:rFonts w:ascii="Times New Roman"/>
        </w:rPr>
        <w:t>5000 V</w:t>
      </w:r>
      <w:r>
        <w:rPr>
          <w:rFonts w:ascii="Times New Roman"/>
        </w:rPr>
        <w:t>及以上兆欧表；</w:t>
      </w:r>
    </w:p>
    <w:p w14:paraId="0BCD233D" w14:textId="77777777" w:rsidR="00DC3EA5" w:rsidRDefault="00000000">
      <w:pPr>
        <w:pStyle w:val="af5"/>
        <w:numPr>
          <w:ilvl w:val="0"/>
          <w:numId w:val="32"/>
        </w:numPr>
        <w:rPr>
          <w:rFonts w:ascii="Times New Roman"/>
        </w:rPr>
      </w:pPr>
      <w:r>
        <w:rPr>
          <w:rFonts w:ascii="Times New Roman"/>
        </w:rPr>
        <w:t>用于极化指数测量时，兆欧表短路电流不应低于</w:t>
      </w:r>
      <w:r>
        <w:rPr>
          <w:rFonts w:ascii="Times New Roman"/>
        </w:rPr>
        <w:t>5 mA</w:t>
      </w:r>
      <w:r>
        <w:rPr>
          <w:rFonts w:ascii="Times New Roman"/>
        </w:rPr>
        <w:t>。</w:t>
      </w:r>
    </w:p>
    <w:p w14:paraId="57CD935B" w14:textId="77777777" w:rsidR="00DC3EA5" w:rsidRDefault="00000000">
      <w:pPr>
        <w:pStyle w:val="a7"/>
        <w:ind w:left="0"/>
        <w:outlineLvl w:val="1"/>
        <w:rPr>
          <w:rFonts w:ascii="Times New Roman" w:eastAsia="宋体"/>
        </w:rPr>
      </w:pPr>
      <w:bookmarkStart w:id="50" w:name="_Toc8401"/>
      <w:bookmarkStart w:id="51" w:name="_Toc151477160"/>
      <w:r>
        <w:rPr>
          <w:rFonts w:ascii="Times New Roman" w:eastAsia="宋体"/>
        </w:rPr>
        <w:t>本文件中的高压试验方法，应按</w:t>
      </w:r>
      <w:r>
        <w:rPr>
          <w:rFonts w:ascii="Times New Roman" w:eastAsia="宋体"/>
        </w:rPr>
        <w:t>GB/T 16927.1</w:t>
      </w:r>
      <w:r>
        <w:rPr>
          <w:rFonts w:ascii="Times New Roman" w:eastAsia="宋体"/>
        </w:rPr>
        <w:t>、</w:t>
      </w:r>
      <w:r>
        <w:rPr>
          <w:rFonts w:ascii="Times New Roman" w:eastAsia="宋体"/>
        </w:rPr>
        <w:t>GB/T 16927.2</w:t>
      </w:r>
      <w:r>
        <w:rPr>
          <w:rFonts w:ascii="Times New Roman" w:eastAsia="宋体"/>
        </w:rPr>
        <w:t>、</w:t>
      </w:r>
      <w:r>
        <w:rPr>
          <w:rFonts w:ascii="Times New Roman" w:eastAsia="宋体"/>
        </w:rPr>
        <w:t>GB/T 16927.3</w:t>
      </w:r>
      <w:r>
        <w:rPr>
          <w:rFonts w:ascii="Times New Roman" w:eastAsia="宋体"/>
        </w:rPr>
        <w:t>、</w:t>
      </w:r>
      <w:r>
        <w:rPr>
          <w:rFonts w:ascii="Times New Roman" w:eastAsia="宋体"/>
        </w:rPr>
        <w:t>DL/T 474.1</w:t>
      </w:r>
      <w:r>
        <w:rPr>
          <w:rFonts w:ascii="Times New Roman" w:eastAsia="宋体"/>
        </w:rPr>
        <w:t>～</w:t>
      </w:r>
      <w:r>
        <w:rPr>
          <w:rFonts w:ascii="Times New Roman" w:eastAsia="宋体"/>
        </w:rPr>
        <w:t>474.4</w:t>
      </w:r>
      <w:r>
        <w:rPr>
          <w:rFonts w:ascii="Times New Roman" w:eastAsia="宋体"/>
        </w:rPr>
        <w:t>及相关设备标准的规定执行。</w:t>
      </w:r>
      <w:bookmarkEnd w:id="50"/>
      <w:bookmarkEnd w:id="51"/>
    </w:p>
    <w:p w14:paraId="049AECBE" w14:textId="77777777" w:rsidR="00DC3EA5" w:rsidRDefault="00000000">
      <w:pPr>
        <w:pStyle w:val="a7"/>
        <w:ind w:left="0"/>
        <w:outlineLvl w:val="1"/>
        <w:rPr>
          <w:rFonts w:ascii="Times New Roman" w:eastAsia="宋体"/>
        </w:rPr>
      </w:pPr>
      <w:bookmarkStart w:id="52" w:name="_Toc24267"/>
      <w:r>
        <w:rPr>
          <w:rFonts w:ascii="Times New Roman" w:eastAsia="宋体"/>
        </w:rPr>
        <w:t>本文件未涉及设备的交接试验，应按</w:t>
      </w:r>
      <w:r>
        <w:rPr>
          <w:rFonts w:ascii="Times New Roman" w:eastAsia="宋体"/>
        </w:rPr>
        <w:t>GB 50150—2016</w:t>
      </w:r>
      <w:r>
        <w:rPr>
          <w:rFonts w:ascii="Times New Roman" w:eastAsia="宋体"/>
        </w:rPr>
        <w:t>执行。</w:t>
      </w:r>
      <w:bookmarkEnd w:id="52"/>
    </w:p>
    <w:p w14:paraId="4678F0F7" w14:textId="77777777" w:rsidR="00DC3EA5" w:rsidRDefault="00DC3EA5">
      <w:pPr>
        <w:pStyle w:val="afa"/>
        <w:rPr>
          <w:szCs w:val="21"/>
        </w:rPr>
      </w:pPr>
    </w:p>
    <w:p w14:paraId="28C1198F" w14:textId="77777777" w:rsidR="00DC3EA5" w:rsidRDefault="00DC3EA5">
      <w:pPr>
        <w:pStyle w:val="ac"/>
        <w:rPr>
          <w:szCs w:val="21"/>
        </w:rPr>
      </w:pPr>
    </w:p>
    <w:p w14:paraId="12FE5706" w14:textId="77777777" w:rsidR="00DC3EA5" w:rsidRDefault="00000000">
      <w:pPr>
        <w:pStyle w:val="a6"/>
        <w:outlineLvl w:val="0"/>
        <w:rPr>
          <w:rFonts w:ascii="Times New Roman"/>
        </w:rPr>
      </w:pPr>
      <w:bookmarkStart w:id="53" w:name="_Toc151477161"/>
      <w:bookmarkStart w:id="54" w:name="_Toc13308"/>
      <w:bookmarkStart w:id="55" w:name="_Toc63642877"/>
      <w:bookmarkStart w:id="56" w:name="_Toc62027352"/>
      <w:r>
        <w:rPr>
          <w:rFonts w:ascii="Times New Roman"/>
        </w:rPr>
        <w:t>变压器</w:t>
      </w:r>
      <w:bookmarkEnd w:id="53"/>
      <w:bookmarkEnd w:id="54"/>
    </w:p>
    <w:p w14:paraId="425D2D03" w14:textId="77777777" w:rsidR="00DC3EA5" w:rsidRDefault="00000000">
      <w:pPr>
        <w:pStyle w:val="a7"/>
        <w:ind w:left="0"/>
        <w:outlineLvl w:val="1"/>
        <w:rPr>
          <w:rFonts w:ascii="Times New Roman"/>
        </w:rPr>
      </w:pPr>
      <w:bookmarkStart w:id="57" w:name="_Toc23811"/>
      <w:bookmarkStart w:id="58" w:name="_Toc151477162"/>
      <w:r>
        <w:rPr>
          <w:rFonts w:ascii="Times New Roman"/>
        </w:rPr>
        <w:t>试验项目</w:t>
      </w:r>
      <w:bookmarkEnd w:id="57"/>
      <w:bookmarkEnd w:id="58"/>
    </w:p>
    <w:p w14:paraId="0B94AFE6" w14:textId="77777777" w:rsidR="00DC3EA5" w:rsidRDefault="00000000">
      <w:pPr>
        <w:ind w:firstLine="420"/>
        <w:rPr>
          <w:szCs w:val="21"/>
        </w:rPr>
      </w:pPr>
      <w:r>
        <w:rPr>
          <w:szCs w:val="21"/>
        </w:rPr>
        <w:t>变压器的试验项目，应包括下列内容：</w:t>
      </w:r>
      <w:r>
        <w:rPr>
          <w:szCs w:val="21"/>
        </w:rPr>
        <w:t xml:space="preserve"> </w:t>
      </w:r>
    </w:p>
    <w:p w14:paraId="622CBBEE" w14:textId="77777777" w:rsidR="00DC3EA5" w:rsidRDefault="00000000">
      <w:pPr>
        <w:numPr>
          <w:ilvl w:val="0"/>
          <w:numId w:val="33"/>
        </w:numPr>
        <w:rPr>
          <w:szCs w:val="21"/>
        </w:rPr>
      </w:pPr>
      <w:r>
        <w:rPr>
          <w:szCs w:val="21"/>
        </w:rPr>
        <w:t>绝缘油试验；</w:t>
      </w:r>
    </w:p>
    <w:p w14:paraId="69328E32" w14:textId="77777777" w:rsidR="00DC3EA5" w:rsidRDefault="00000000">
      <w:pPr>
        <w:numPr>
          <w:ilvl w:val="0"/>
          <w:numId w:val="33"/>
        </w:numPr>
        <w:rPr>
          <w:szCs w:val="21"/>
        </w:rPr>
      </w:pPr>
      <w:r>
        <w:rPr>
          <w:szCs w:val="21"/>
        </w:rPr>
        <w:t>绕组连同套管的直流电阻测量；</w:t>
      </w:r>
    </w:p>
    <w:p w14:paraId="53861437" w14:textId="77777777" w:rsidR="00DC3EA5" w:rsidRDefault="00000000">
      <w:pPr>
        <w:numPr>
          <w:ilvl w:val="0"/>
          <w:numId w:val="33"/>
        </w:numPr>
        <w:rPr>
          <w:szCs w:val="21"/>
        </w:rPr>
      </w:pPr>
      <w:r>
        <w:rPr>
          <w:szCs w:val="21"/>
        </w:rPr>
        <w:t>所有分接头的电压比检查；</w:t>
      </w:r>
    </w:p>
    <w:p w14:paraId="59C26C14" w14:textId="77777777" w:rsidR="00DC3EA5" w:rsidRDefault="00000000">
      <w:pPr>
        <w:ind w:left="420"/>
        <w:rPr>
          <w:szCs w:val="21"/>
        </w:rPr>
      </w:pPr>
      <w:r>
        <w:rPr>
          <w:rFonts w:hint="eastAsia"/>
          <w:szCs w:val="21"/>
        </w:rPr>
        <w:t>0</w:t>
      </w:r>
      <w:r>
        <w:rPr>
          <w:szCs w:val="21"/>
        </w:rPr>
        <w:t>变压器的三相接线组别和单相变压器引出线的极性检查；</w:t>
      </w:r>
    </w:p>
    <w:p w14:paraId="12B91CE6" w14:textId="77777777" w:rsidR="00DC3EA5" w:rsidRDefault="00000000">
      <w:pPr>
        <w:numPr>
          <w:ilvl w:val="0"/>
          <w:numId w:val="33"/>
        </w:numPr>
        <w:rPr>
          <w:szCs w:val="21"/>
        </w:rPr>
      </w:pPr>
      <w:r>
        <w:rPr>
          <w:szCs w:val="21"/>
        </w:rPr>
        <w:t>铁芯及夹件绝缘电阻测量；</w:t>
      </w:r>
    </w:p>
    <w:p w14:paraId="62967107" w14:textId="77777777" w:rsidR="00DC3EA5" w:rsidRDefault="00000000">
      <w:pPr>
        <w:numPr>
          <w:ilvl w:val="0"/>
          <w:numId w:val="33"/>
        </w:numPr>
        <w:rPr>
          <w:szCs w:val="21"/>
        </w:rPr>
      </w:pPr>
      <w:r>
        <w:rPr>
          <w:szCs w:val="21"/>
        </w:rPr>
        <w:t>非纯瓷套管的试验；</w:t>
      </w:r>
    </w:p>
    <w:p w14:paraId="407B12B4" w14:textId="77777777" w:rsidR="00DC3EA5" w:rsidRDefault="00000000">
      <w:pPr>
        <w:numPr>
          <w:ilvl w:val="0"/>
          <w:numId w:val="33"/>
        </w:numPr>
        <w:rPr>
          <w:szCs w:val="21"/>
        </w:rPr>
      </w:pPr>
      <w:r>
        <w:rPr>
          <w:szCs w:val="21"/>
        </w:rPr>
        <w:t>有载调压切换装置的检查和试验；</w:t>
      </w:r>
    </w:p>
    <w:p w14:paraId="4C895237" w14:textId="77777777" w:rsidR="00DC3EA5" w:rsidRDefault="00000000">
      <w:pPr>
        <w:numPr>
          <w:ilvl w:val="0"/>
          <w:numId w:val="33"/>
        </w:numPr>
        <w:rPr>
          <w:szCs w:val="21"/>
        </w:rPr>
      </w:pPr>
      <w:r>
        <w:rPr>
          <w:szCs w:val="21"/>
        </w:rPr>
        <w:t>绕组连同套管的绝缘电阻、吸收比或极化指数测量；</w:t>
      </w:r>
    </w:p>
    <w:p w14:paraId="4B23E51E" w14:textId="77777777" w:rsidR="00DC3EA5" w:rsidRDefault="00000000">
      <w:pPr>
        <w:numPr>
          <w:ilvl w:val="0"/>
          <w:numId w:val="33"/>
        </w:numPr>
        <w:rPr>
          <w:szCs w:val="21"/>
        </w:rPr>
      </w:pPr>
      <w:r>
        <w:rPr>
          <w:szCs w:val="21"/>
        </w:rPr>
        <w:t>绕组连同套管的介质损耗角正切值</w:t>
      </w:r>
      <w:r>
        <w:rPr>
          <w:szCs w:val="21"/>
        </w:rPr>
        <w:t>tanδ</w:t>
      </w:r>
      <w:r>
        <w:rPr>
          <w:szCs w:val="21"/>
        </w:rPr>
        <w:t>测量；</w:t>
      </w:r>
    </w:p>
    <w:p w14:paraId="3B198145" w14:textId="77777777" w:rsidR="00DC3EA5" w:rsidRDefault="00000000">
      <w:pPr>
        <w:numPr>
          <w:ilvl w:val="0"/>
          <w:numId w:val="33"/>
        </w:numPr>
        <w:rPr>
          <w:szCs w:val="21"/>
        </w:rPr>
      </w:pPr>
      <w:r>
        <w:rPr>
          <w:szCs w:val="21"/>
        </w:rPr>
        <w:t>变压器绕组频率响应和低电压短路阻抗试验；</w:t>
      </w:r>
    </w:p>
    <w:p w14:paraId="5C8117F2" w14:textId="77777777" w:rsidR="00DC3EA5" w:rsidRDefault="00000000">
      <w:pPr>
        <w:numPr>
          <w:ilvl w:val="0"/>
          <w:numId w:val="33"/>
        </w:numPr>
        <w:rPr>
          <w:szCs w:val="21"/>
        </w:rPr>
      </w:pPr>
      <w:r>
        <w:rPr>
          <w:szCs w:val="21"/>
        </w:rPr>
        <w:t>绕组连同套管的交流耐压试验；</w:t>
      </w:r>
    </w:p>
    <w:p w14:paraId="5F807D9F" w14:textId="77777777" w:rsidR="00DC3EA5" w:rsidRDefault="00000000">
      <w:pPr>
        <w:numPr>
          <w:ilvl w:val="0"/>
          <w:numId w:val="33"/>
        </w:numPr>
        <w:rPr>
          <w:szCs w:val="21"/>
        </w:rPr>
      </w:pPr>
      <w:r>
        <w:rPr>
          <w:szCs w:val="21"/>
        </w:rPr>
        <w:t>绕组连同套管的长时感应电压试验带局部放电试验；</w:t>
      </w:r>
    </w:p>
    <w:p w14:paraId="5F602D61" w14:textId="77777777" w:rsidR="00DC3EA5" w:rsidRDefault="00000000">
      <w:pPr>
        <w:numPr>
          <w:ilvl w:val="0"/>
          <w:numId w:val="33"/>
        </w:numPr>
        <w:rPr>
          <w:szCs w:val="21"/>
        </w:rPr>
      </w:pPr>
      <w:r>
        <w:rPr>
          <w:szCs w:val="21"/>
        </w:rPr>
        <w:t>额定电压下的冲击合闸试验；</w:t>
      </w:r>
    </w:p>
    <w:p w14:paraId="07B9BC4E" w14:textId="77777777" w:rsidR="00DC3EA5" w:rsidRDefault="00000000">
      <w:pPr>
        <w:numPr>
          <w:ilvl w:val="0"/>
          <w:numId w:val="33"/>
        </w:numPr>
        <w:rPr>
          <w:szCs w:val="21"/>
        </w:rPr>
      </w:pPr>
      <w:r>
        <w:rPr>
          <w:szCs w:val="21"/>
        </w:rPr>
        <w:t>相位检查；</w:t>
      </w:r>
    </w:p>
    <w:p w14:paraId="7B79BC8C" w14:textId="77777777" w:rsidR="00DC3EA5" w:rsidRDefault="00000000">
      <w:pPr>
        <w:numPr>
          <w:ilvl w:val="0"/>
          <w:numId w:val="33"/>
        </w:numPr>
        <w:rPr>
          <w:szCs w:val="21"/>
        </w:rPr>
      </w:pPr>
      <w:r>
        <w:rPr>
          <w:szCs w:val="21"/>
        </w:rPr>
        <w:t>噪声测量；</w:t>
      </w:r>
    </w:p>
    <w:p w14:paraId="08433A41" w14:textId="77777777" w:rsidR="00DC3EA5" w:rsidRDefault="00000000">
      <w:pPr>
        <w:numPr>
          <w:ilvl w:val="0"/>
          <w:numId w:val="33"/>
        </w:numPr>
        <w:rPr>
          <w:szCs w:val="21"/>
        </w:rPr>
      </w:pPr>
      <w:r>
        <w:rPr>
          <w:szCs w:val="21"/>
        </w:rPr>
        <w:t>非电量保护装置校验；</w:t>
      </w:r>
    </w:p>
    <w:p w14:paraId="161E789A" w14:textId="77777777" w:rsidR="00DC3EA5" w:rsidRDefault="00000000">
      <w:pPr>
        <w:numPr>
          <w:ilvl w:val="0"/>
          <w:numId w:val="33"/>
        </w:numPr>
        <w:rPr>
          <w:szCs w:val="21"/>
        </w:rPr>
      </w:pPr>
      <w:r>
        <w:rPr>
          <w:szCs w:val="21"/>
        </w:rPr>
        <w:t>保护及控制回路绝缘电阻测试；</w:t>
      </w:r>
    </w:p>
    <w:p w14:paraId="2A056D22" w14:textId="77777777" w:rsidR="00DC3EA5" w:rsidRDefault="00000000">
      <w:pPr>
        <w:numPr>
          <w:ilvl w:val="0"/>
          <w:numId w:val="33"/>
        </w:numPr>
        <w:rPr>
          <w:szCs w:val="21"/>
        </w:rPr>
      </w:pPr>
      <w:r>
        <w:rPr>
          <w:szCs w:val="21"/>
        </w:rPr>
        <w:t>套管式电流互感器试验。</w:t>
      </w:r>
    </w:p>
    <w:p w14:paraId="2D388C3E" w14:textId="77777777" w:rsidR="00DC3EA5" w:rsidRDefault="00000000">
      <w:pPr>
        <w:pStyle w:val="a7"/>
        <w:ind w:left="0"/>
        <w:outlineLvl w:val="1"/>
        <w:rPr>
          <w:rFonts w:ascii="Times New Roman"/>
        </w:rPr>
      </w:pPr>
      <w:bookmarkStart w:id="59" w:name="_Toc9808"/>
      <w:bookmarkStart w:id="60" w:name="_Toc151477163"/>
      <w:r>
        <w:rPr>
          <w:rFonts w:ascii="Times New Roman"/>
        </w:rPr>
        <w:t>绝缘油试验</w:t>
      </w:r>
      <w:bookmarkEnd w:id="59"/>
      <w:bookmarkEnd w:id="60"/>
    </w:p>
    <w:p w14:paraId="6D68E6A9" w14:textId="77777777" w:rsidR="00DC3EA5" w:rsidRDefault="00000000">
      <w:pPr>
        <w:pStyle w:val="affffffff2"/>
        <w:tabs>
          <w:tab w:val="center" w:pos="4201"/>
          <w:tab w:val="right" w:leader="dot" w:pos="9298"/>
        </w:tabs>
        <w:ind w:firstLine="420"/>
        <w:rPr>
          <w:rFonts w:ascii="Times New Roman"/>
        </w:rPr>
      </w:pPr>
      <w:r>
        <w:rPr>
          <w:rFonts w:ascii="Times New Roman"/>
        </w:rPr>
        <w:t>变压器的绝缘油试验，应符合下列规定：</w:t>
      </w:r>
    </w:p>
    <w:p w14:paraId="6C65CDD0" w14:textId="77777777" w:rsidR="00DC3EA5" w:rsidRDefault="00000000">
      <w:pPr>
        <w:numPr>
          <w:ilvl w:val="0"/>
          <w:numId w:val="34"/>
        </w:numPr>
        <w:rPr>
          <w:szCs w:val="21"/>
        </w:rPr>
      </w:pPr>
      <w:r>
        <w:rPr>
          <w:szCs w:val="21"/>
        </w:rPr>
        <w:t>绝缘油的试验类别、试验项目及标准应符合</w:t>
      </w:r>
      <w:r>
        <w:rPr>
          <w:rFonts w:hint="eastAsia"/>
          <w:szCs w:val="21"/>
        </w:rPr>
        <w:t>本文件第十六章</w:t>
      </w:r>
      <w:r>
        <w:rPr>
          <w:szCs w:val="21"/>
        </w:rPr>
        <w:t>的有关规定；</w:t>
      </w:r>
    </w:p>
    <w:p w14:paraId="18959E79" w14:textId="77777777" w:rsidR="00DC3EA5" w:rsidRDefault="00000000">
      <w:pPr>
        <w:numPr>
          <w:ilvl w:val="0"/>
          <w:numId w:val="34"/>
        </w:numPr>
        <w:rPr>
          <w:szCs w:val="21"/>
        </w:rPr>
      </w:pPr>
      <w:r>
        <w:rPr>
          <w:szCs w:val="21"/>
        </w:rPr>
        <w:t>油中溶解气体的色谱分析应符合</w:t>
      </w:r>
      <w:r>
        <w:rPr>
          <w:szCs w:val="21"/>
        </w:rPr>
        <w:t>GB/T 7252</w:t>
      </w:r>
      <w:r>
        <w:rPr>
          <w:szCs w:val="21"/>
        </w:rPr>
        <w:t>有关规定；</w:t>
      </w:r>
    </w:p>
    <w:p w14:paraId="3EED4FD0" w14:textId="77777777" w:rsidR="00DC3EA5" w:rsidRDefault="00000000">
      <w:pPr>
        <w:pStyle w:val="a7"/>
        <w:ind w:left="0"/>
        <w:outlineLvl w:val="1"/>
        <w:rPr>
          <w:rFonts w:ascii="Times New Roman"/>
        </w:rPr>
      </w:pPr>
      <w:bookmarkStart w:id="61" w:name="_Toc151477164"/>
      <w:bookmarkStart w:id="62" w:name="_Toc688"/>
      <w:r>
        <w:rPr>
          <w:rFonts w:ascii="Times New Roman"/>
        </w:rPr>
        <w:t>绕组连同套管的直流电阻测量</w:t>
      </w:r>
      <w:bookmarkEnd w:id="61"/>
      <w:bookmarkEnd w:id="62"/>
    </w:p>
    <w:p w14:paraId="311BBFD2" w14:textId="77777777" w:rsidR="00DC3EA5" w:rsidRDefault="00000000">
      <w:pPr>
        <w:ind w:firstLine="420"/>
        <w:rPr>
          <w:szCs w:val="21"/>
        </w:rPr>
      </w:pPr>
      <w:r>
        <w:rPr>
          <w:szCs w:val="21"/>
        </w:rPr>
        <w:t>变压器绕组连同套管的直流电阻的测量，应符合下列规定：</w:t>
      </w:r>
    </w:p>
    <w:p w14:paraId="109AAC4A" w14:textId="77777777" w:rsidR="00DC3EA5" w:rsidRDefault="00000000">
      <w:pPr>
        <w:numPr>
          <w:ilvl w:val="0"/>
          <w:numId w:val="35"/>
        </w:numPr>
        <w:rPr>
          <w:szCs w:val="21"/>
        </w:rPr>
      </w:pPr>
      <w:r>
        <w:rPr>
          <w:szCs w:val="21"/>
        </w:rPr>
        <w:t>测量应在各分接头的所有位置上进行，绕组直流电阻测试电流一般不大于</w:t>
      </w:r>
      <w:r>
        <w:rPr>
          <w:szCs w:val="21"/>
        </w:rPr>
        <w:t>10 A</w:t>
      </w:r>
      <w:r>
        <w:rPr>
          <w:rFonts w:hint="eastAsia"/>
          <w:szCs w:val="21"/>
        </w:rPr>
        <w:t>。</w:t>
      </w:r>
    </w:p>
    <w:p w14:paraId="18D053EC" w14:textId="77777777" w:rsidR="00DC3EA5" w:rsidRDefault="00000000">
      <w:pPr>
        <w:numPr>
          <w:ilvl w:val="0"/>
          <w:numId w:val="35"/>
        </w:numPr>
        <w:rPr>
          <w:szCs w:val="21"/>
        </w:rPr>
      </w:pPr>
      <w:r>
        <w:rPr>
          <w:szCs w:val="21"/>
        </w:rPr>
        <w:t>无励磁调压变压器投入运行前，应在所选分接位置锁定后再次测量直流电阻</w:t>
      </w:r>
      <w:r>
        <w:rPr>
          <w:rFonts w:hint="eastAsia"/>
          <w:szCs w:val="21"/>
        </w:rPr>
        <w:t>。</w:t>
      </w:r>
    </w:p>
    <w:p w14:paraId="0B3051B0" w14:textId="77777777" w:rsidR="00DC3EA5" w:rsidRDefault="00000000">
      <w:pPr>
        <w:numPr>
          <w:ilvl w:val="0"/>
          <w:numId w:val="35"/>
        </w:numPr>
        <w:rPr>
          <w:szCs w:val="21"/>
        </w:rPr>
      </w:pPr>
      <w:r>
        <w:rPr>
          <w:szCs w:val="21"/>
        </w:rPr>
        <w:t>1.6 MVA</w:t>
      </w:r>
      <w:r>
        <w:rPr>
          <w:szCs w:val="21"/>
        </w:rPr>
        <w:t>以上变压器，各相测得值的相互差值应小于平均值的</w:t>
      </w:r>
      <w:r>
        <w:rPr>
          <w:szCs w:val="21"/>
        </w:rPr>
        <w:t>2%</w:t>
      </w:r>
      <w:r>
        <w:rPr>
          <w:szCs w:val="21"/>
        </w:rPr>
        <w:t>；无中性点引出的变压器线间测得值的相互差值应小于平均值的</w:t>
      </w:r>
      <w:r>
        <w:rPr>
          <w:szCs w:val="21"/>
        </w:rPr>
        <w:t>1%</w:t>
      </w:r>
      <w:r>
        <w:rPr>
          <w:szCs w:val="21"/>
        </w:rPr>
        <w:t>；</w:t>
      </w:r>
      <w:r>
        <w:rPr>
          <w:szCs w:val="21"/>
        </w:rPr>
        <w:t>1.6 MVA</w:t>
      </w:r>
      <w:r>
        <w:rPr>
          <w:szCs w:val="21"/>
        </w:rPr>
        <w:t>及以下变压器，各相测得值的相互差值应</w:t>
      </w:r>
      <w:r>
        <w:rPr>
          <w:szCs w:val="21"/>
        </w:rPr>
        <w:lastRenderedPageBreak/>
        <w:t>小于平均值的</w:t>
      </w:r>
      <w:r>
        <w:rPr>
          <w:szCs w:val="21"/>
        </w:rPr>
        <w:t>4%</w:t>
      </w:r>
      <w:r>
        <w:rPr>
          <w:szCs w:val="21"/>
        </w:rPr>
        <w:t>；无中性点引出的变压器线间测得值的相互差值应小于平均值的</w:t>
      </w:r>
      <w:r>
        <w:rPr>
          <w:szCs w:val="21"/>
        </w:rPr>
        <w:t>2%</w:t>
      </w:r>
      <w:r>
        <w:rPr>
          <w:rFonts w:hint="eastAsia"/>
          <w:szCs w:val="21"/>
        </w:rPr>
        <w:t>。</w:t>
      </w:r>
    </w:p>
    <w:p w14:paraId="57BA9551" w14:textId="77777777" w:rsidR="00DC3EA5" w:rsidRDefault="00000000">
      <w:pPr>
        <w:numPr>
          <w:ilvl w:val="0"/>
          <w:numId w:val="35"/>
        </w:numPr>
        <w:rPr>
          <w:szCs w:val="21"/>
        </w:rPr>
      </w:pPr>
      <w:r>
        <w:rPr>
          <w:szCs w:val="21"/>
        </w:rPr>
        <w:t>变压器的直流电阻，与同温下产品出厂实测数值比较，相应变化不应大于</w:t>
      </w:r>
      <w:r>
        <w:rPr>
          <w:szCs w:val="21"/>
        </w:rPr>
        <w:t>2%</w:t>
      </w:r>
      <w:r>
        <w:rPr>
          <w:rFonts w:hint="eastAsia"/>
          <w:szCs w:val="21"/>
        </w:rPr>
        <w:t>。</w:t>
      </w:r>
    </w:p>
    <w:p w14:paraId="2BFF3019" w14:textId="77777777" w:rsidR="00DC3EA5" w:rsidRDefault="00000000">
      <w:pPr>
        <w:numPr>
          <w:ilvl w:val="0"/>
          <w:numId w:val="35"/>
        </w:numPr>
        <w:rPr>
          <w:szCs w:val="21"/>
        </w:rPr>
      </w:pPr>
      <w:r>
        <w:rPr>
          <w:szCs w:val="21"/>
        </w:rPr>
        <w:t>对于封闭式</w:t>
      </w:r>
      <w:r>
        <w:rPr>
          <w:szCs w:val="21"/>
        </w:rPr>
        <w:t>GIS</w:t>
      </w:r>
      <w:r>
        <w:rPr>
          <w:szCs w:val="21"/>
        </w:rPr>
        <w:t>和电缆出线的变压器，除了正常的测量外，需要增加通过电缆终端、</w:t>
      </w:r>
      <w:r>
        <w:rPr>
          <w:szCs w:val="21"/>
        </w:rPr>
        <w:t>GIS</w:t>
      </w:r>
      <w:r>
        <w:rPr>
          <w:szCs w:val="21"/>
        </w:rPr>
        <w:t>回路接地连片处的直流电阻值，作为以后例行试验纵向比较的基础，并在试验报告中标明测量位置</w:t>
      </w:r>
      <w:r>
        <w:rPr>
          <w:rFonts w:hint="eastAsia"/>
          <w:szCs w:val="21"/>
        </w:rPr>
        <w:t>。</w:t>
      </w:r>
    </w:p>
    <w:p w14:paraId="77E50998" w14:textId="77777777" w:rsidR="00DC3EA5" w:rsidRDefault="00000000">
      <w:pPr>
        <w:numPr>
          <w:ilvl w:val="0"/>
          <w:numId w:val="35"/>
        </w:numPr>
        <w:rPr>
          <w:szCs w:val="21"/>
        </w:rPr>
      </w:pPr>
      <w:r>
        <w:rPr>
          <w:szCs w:val="21"/>
        </w:rPr>
        <w:t>由于变压器结构等原因，差值超过</w:t>
      </w:r>
      <w:r>
        <w:rPr>
          <w:rFonts w:hint="eastAsia"/>
          <w:szCs w:val="21"/>
        </w:rPr>
        <w:t>本文件</w:t>
      </w:r>
      <w:r>
        <w:rPr>
          <w:rFonts w:hint="eastAsia"/>
          <w:szCs w:val="21"/>
        </w:rPr>
        <w:t>5.3</w:t>
      </w:r>
      <w:r>
        <w:rPr>
          <w:szCs w:val="21"/>
        </w:rPr>
        <w:t>c)</w:t>
      </w:r>
      <w:r>
        <w:rPr>
          <w:szCs w:val="21"/>
        </w:rPr>
        <w:t>的规定时，可只按</w:t>
      </w:r>
      <w:r>
        <w:rPr>
          <w:rFonts w:hint="eastAsia"/>
          <w:szCs w:val="21"/>
        </w:rPr>
        <w:t>本文件</w:t>
      </w:r>
      <w:r>
        <w:rPr>
          <w:rFonts w:hint="eastAsia"/>
          <w:szCs w:val="21"/>
        </w:rPr>
        <w:t>5.3</w:t>
      </w:r>
      <w:r>
        <w:rPr>
          <w:szCs w:val="21"/>
        </w:rPr>
        <w:t>d)</w:t>
      </w:r>
      <w:r>
        <w:rPr>
          <w:szCs w:val="21"/>
        </w:rPr>
        <w:t>的规定进行比较，但应说明原因。</w:t>
      </w:r>
    </w:p>
    <w:p w14:paraId="28ADF63E" w14:textId="77777777" w:rsidR="00DC3EA5" w:rsidRDefault="00000000">
      <w:pPr>
        <w:pStyle w:val="a7"/>
        <w:ind w:left="0"/>
        <w:outlineLvl w:val="1"/>
        <w:rPr>
          <w:rFonts w:ascii="Times New Roman"/>
        </w:rPr>
      </w:pPr>
      <w:bookmarkStart w:id="63" w:name="_Toc151477165"/>
      <w:bookmarkStart w:id="64" w:name="_Toc29798"/>
      <w:r>
        <w:rPr>
          <w:rFonts w:ascii="Times New Roman"/>
        </w:rPr>
        <w:t>所有分接头的电压比检查</w:t>
      </w:r>
      <w:bookmarkEnd w:id="63"/>
      <w:bookmarkEnd w:id="64"/>
    </w:p>
    <w:p w14:paraId="34CC8343" w14:textId="77777777" w:rsidR="00DC3EA5" w:rsidRDefault="00000000">
      <w:pPr>
        <w:ind w:firstLine="420"/>
        <w:rPr>
          <w:szCs w:val="21"/>
        </w:rPr>
      </w:pPr>
      <w:r>
        <w:rPr>
          <w:szCs w:val="21"/>
        </w:rPr>
        <w:t>变压器所有分接头的电压比检查，应符合下列规定：</w:t>
      </w:r>
    </w:p>
    <w:p w14:paraId="24D479E8" w14:textId="77777777" w:rsidR="00DC3EA5" w:rsidRDefault="00000000">
      <w:pPr>
        <w:numPr>
          <w:ilvl w:val="0"/>
          <w:numId w:val="36"/>
        </w:numPr>
        <w:rPr>
          <w:szCs w:val="21"/>
        </w:rPr>
      </w:pPr>
      <w:r>
        <w:rPr>
          <w:szCs w:val="21"/>
        </w:rPr>
        <w:t>试验频率应为变压器运行的额定频率，其偏差不大于</w:t>
      </w:r>
      <w:r>
        <w:rPr>
          <w:szCs w:val="21"/>
        </w:rPr>
        <w:t>±5%</w:t>
      </w:r>
      <w:r>
        <w:rPr>
          <w:szCs w:val="21"/>
        </w:rPr>
        <w:t>；</w:t>
      </w:r>
    </w:p>
    <w:p w14:paraId="06558796" w14:textId="77777777" w:rsidR="00DC3EA5" w:rsidRDefault="00000000">
      <w:pPr>
        <w:numPr>
          <w:ilvl w:val="0"/>
          <w:numId w:val="36"/>
        </w:numPr>
        <w:rPr>
          <w:szCs w:val="21"/>
        </w:rPr>
      </w:pPr>
      <w:r>
        <w:rPr>
          <w:szCs w:val="21"/>
        </w:rPr>
        <w:t>交接试验可在</w:t>
      </w:r>
      <w:r>
        <w:rPr>
          <w:szCs w:val="21"/>
        </w:rPr>
        <w:t>50 Hz</w:t>
      </w:r>
      <w:r>
        <w:rPr>
          <w:szCs w:val="21"/>
        </w:rPr>
        <w:t>频率下进行，电压幅值无需修正，但应记录试验频率；</w:t>
      </w:r>
    </w:p>
    <w:p w14:paraId="1A3F31DA" w14:textId="77777777" w:rsidR="00DC3EA5" w:rsidRDefault="00000000">
      <w:pPr>
        <w:numPr>
          <w:ilvl w:val="0"/>
          <w:numId w:val="36"/>
        </w:numPr>
        <w:rPr>
          <w:szCs w:val="21"/>
        </w:rPr>
      </w:pPr>
      <w:r>
        <w:rPr>
          <w:szCs w:val="21"/>
        </w:rPr>
        <w:t>电压等级在</w:t>
      </w:r>
      <w:r>
        <w:rPr>
          <w:szCs w:val="21"/>
        </w:rPr>
        <w:t>35 kV</w:t>
      </w:r>
      <w:r>
        <w:rPr>
          <w:szCs w:val="21"/>
        </w:rPr>
        <w:t>以下，电压比小于</w:t>
      </w:r>
      <w:r>
        <w:rPr>
          <w:szCs w:val="21"/>
        </w:rPr>
        <w:t>3</w:t>
      </w:r>
      <w:r>
        <w:rPr>
          <w:szCs w:val="21"/>
        </w:rPr>
        <w:t>的变压器电压比允许偏差应为</w:t>
      </w:r>
      <w:r>
        <w:rPr>
          <w:szCs w:val="21"/>
        </w:rPr>
        <w:t>±1%</w:t>
      </w:r>
      <w:r>
        <w:rPr>
          <w:szCs w:val="21"/>
        </w:rPr>
        <w:t>；</w:t>
      </w:r>
    </w:p>
    <w:p w14:paraId="0568400E" w14:textId="77777777" w:rsidR="00DC3EA5" w:rsidRDefault="00000000">
      <w:pPr>
        <w:numPr>
          <w:ilvl w:val="0"/>
          <w:numId w:val="36"/>
        </w:numPr>
        <w:rPr>
          <w:szCs w:val="21"/>
        </w:rPr>
      </w:pPr>
      <w:r>
        <w:rPr>
          <w:szCs w:val="21"/>
        </w:rPr>
        <w:t>其他所有变压器电压比的允许误差在额定分接头位置时为</w:t>
      </w:r>
      <w:r>
        <w:rPr>
          <w:szCs w:val="21"/>
        </w:rPr>
        <w:t>±0.5%</w:t>
      </w:r>
      <w:r>
        <w:rPr>
          <w:szCs w:val="21"/>
        </w:rPr>
        <w:t>；</w:t>
      </w:r>
    </w:p>
    <w:p w14:paraId="0B6E13FC" w14:textId="77777777" w:rsidR="00DC3EA5" w:rsidRDefault="00000000">
      <w:pPr>
        <w:numPr>
          <w:ilvl w:val="0"/>
          <w:numId w:val="36"/>
        </w:numPr>
        <w:rPr>
          <w:szCs w:val="21"/>
        </w:rPr>
      </w:pPr>
      <w:r>
        <w:rPr>
          <w:szCs w:val="21"/>
        </w:rPr>
        <w:t>其它分接的电压比应在变压器阻抗电压值</w:t>
      </w:r>
      <w:r>
        <w:rPr>
          <w:szCs w:val="21"/>
        </w:rPr>
        <w:t>(%)</w:t>
      </w:r>
      <w:r>
        <w:rPr>
          <w:szCs w:val="21"/>
        </w:rPr>
        <w:t>的</w:t>
      </w:r>
      <w:r>
        <w:rPr>
          <w:szCs w:val="21"/>
        </w:rPr>
        <w:t>1/10</w:t>
      </w:r>
      <w:r>
        <w:rPr>
          <w:szCs w:val="21"/>
        </w:rPr>
        <w:t>以内，但不得超过</w:t>
      </w:r>
      <w:r>
        <w:rPr>
          <w:szCs w:val="21"/>
        </w:rPr>
        <w:t>±1%</w:t>
      </w:r>
      <w:r>
        <w:rPr>
          <w:szCs w:val="21"/>
        </w:rPr>
        <w:t>；</w:t>
      </w:r>
    </w:p>
    <w:p w14:paraId="1901552F" w14:textId="77777777" w:rsidR="00DC3EA5" w:rsidRDefault="00000000">
      <w:pPr>
        <w:numPr>
          <w:ilvl w:val="0"/>
          <w:numId w:val="36"/>
        </w:numPr>
        <w:rPr>
          <w:szCs w:val="21"/>
        </w:rPr>
      </w:pPr>
      <w:r>
        <w:rPr>
          <w:szCs w:val="21"/>
        </w:rPr>
        <w:t>所有分接头的电压比，与制造厂铭牌数据相比应无明显差别，且符合电压比的规律。</w:t>
      </w:r>
    </w:p>
    <w:p w14:paraId="632DAD1C" w14:textId="77777777" w:rsidR="00DC3EA5" w:rsidRDefault="00000000">
      <w:pPr>
        <w:pStyle w:val="a7"/>
        <w:ind w:left="0"/>
        <w:outlineLvl w:val="1"/>
        <w:rPr>
          <w:rFonts w:ascii="Times New Roman"/>
        </w:rPr>
      </w:pPr>
      <w:bookmarkStart w:id="65" w:name="_Toc15278"/>
      <w:bookmarkStart w:id="66" w:name="_Toc151477166"/>
      <w:r>
        <w:rPr>
          <w:rFonts w:ascii="Times New Roman"/>
        </w:rPr>
        <w:t>变压器的三相接线组别和单相变压器引出线的极性检查</w:t>
      </w:r>
      <w:bookmarkEnd w:id="65"/>
      <w:bookmarkEnd w:id="66"/>
    </w:p>
    <w:p w14:paraId="6A56FE7C" w14:textId="77777777" w:rsidR="00DC3EA5" w:rsidRDefault="00000000">
      <w:pPr>
        <w:ind w:firstLine="420"/>
        <w:rPr>
          <w:szCs w:val="21"/>
        </w:rPr>
      </w:pPr>
      <w:r>
        <w:rPr>
          <w:szCs w:val="21"/>
        </w:rPr>
        <w:t>变压器的三相接线组别和单相变压器引出线的极性检查，应符合下列规定：</w:t>
      </w:r>
    </w:p>
    <w:p w14:paraId="266DC9CB" w14:textId="77777777" w:rsidR="00DC3EA5" w:rsidRDefault="00000000">
      <w:pPr>
        <w:numPr>
          <w:ilvl w:val="0"/>
          <w:numId w:val="37"/>
        </w:numPr>
        <w:rPr>
          <w:szCs w:val="21"/>
        </w:rPr>
      </w:pPr>
      <w:r>
        <w:rPr>
          <w:szCs w:val="21"/>
        </w:rPr>
        <w:t>变压器的三相接线组别和单相变压器引出线的极性应符合设计要求，且与铭牌上的标记和外壳上的符号相符；</w:t>
      </w:r>
    </w:p>
    <w:p w14:paraId="5CE3360E" w14:textId="77777777" w:rsidR="00DC3EA5" w:rsidRDefault="00000000">
      <w:pPr>
        <w:numPr>
          <w:ilvl w:val="0"/>
          <w:numId w:val="37"/>
        </w:numPr>
        <w:rPr>
          <w:szCs w:val="21"/>
        </w:rPr>
      </w:pPr>
      <w:r>
        <w:rPr>
          <w:szCs w:val="21"/>
        </w:rPr>
        <w:t>单相变压器组成的三相变压器组应在联结完成后进行组别检查。</w:t>
      </w:r>
    </w:p>
    <w:p w14:paraId="139D919A" w14:textId="77777777" w:rsidR="00DC3EA5" w:rsidRDefault="00000000">
      <w:pPr>
        <w:pStyle w:val="a7"/>
        <w:ind w:left="0"/>
        <w:outlineLvl w:val="1"/>
        <w:rPr>
          <w:rFonts w:ascii="Times New Roman"/>
        </w:rPr>
      </w:pPr>
      <w:bookmarkStart w:id="67" w:name="_Toc151477167"/>
      <w:bookmarkStart w:id="68" w:name="_Toc15819"/>
      <w:r>
        <w:rPr>
          <w:rFonts w:ascii="Times New Roman"/>
        </w:rPr>
        <w:t>铁芯及夹件绝缘电阻测量</w:t>
      </w:r>
      <w:bookmarkEnd w:id="67"/>
      <w:bookmarkEnd w:id="68"/>
    </w:p>
    <w:p w14:paraId="1EE7849C" w14:textId="77777777" w:rsidR="00DC3EA5" w:rsidRDefault="00000000">
      <w:pPr>
        <w:pStyle w:val="af5"/>
        <w:numPr>
          <w:ilvl w:val="0"/>
          <w:numId w:val="0"/>
        </w:numPr>
        <w:ind w:left="420"/>
        <w:rPr>
          <w:rFonts w:ascii="Times New Roman"/>
          <w:kern w:val="2"/>
          <w:szCs w:val="21"/>
        </w:rPr>
      </w:pPr>
      <w:r>
        <w:rPr>
          <w:rFonts w:ascii="Times New Roman"/>
          <w:szCs w:val="21"/>
        </w:rPr>
        <w:t>变压器的</w:t>
      </w:r>
      <w:r>
        <w:rPr>
          <w:rFonts w:ascii="Times New Roman"/>
          <w:kern w:val="2"/>
          <w:szCs w:val="21"/>
        </w:rPr>
        <w:t>铁芯及夹件绝缘电阻测量，应符合下列规定：</w:t>
      </w:r>
    </w:p>
    <w:p w14:paraId="32D708F9" w14:textId="77777777" w:rsidR="00DC3EA5" w:rsidRDefault="00000000">
      <w:pPr>
        <w:numPr>
          <w:ilvl w:val="0"/>
          <w:numId w:val="38"/>
        </w:numPr>
        <w:rPr>
          <w:szCs w:val="21"/>
        </w:rPr>
      </w:pPr>
      <w:r>
        <w:rPr>
          <w:szCs w:val="21"/>
        </w:rPr>
        <w:t>进行器身检查的变压器，应测量可接触到的穿心螺栓、轭铁夹件及绑扎钢带对铁轭、铁芯、油箱及绕组压环的绝缘电阻。当轭铁梁及穿心螺栓一端与铁芯连接时，应将连接片断开后进行试验。</w:t>
      </w:r>
    </w:p>
    <w:p w14:paraId="7E800A0D" w14:textId="77777777" w:rsidR="00DC3EA5" w:rsidRDefault="00000000">
      <w:pPr>
        <w:numPr>
          <w:ilvl w:val="0"/>
          <w:numId w:val="38"/>
        </w:numPr>
        <w:rPr>
          <w:szCs w:val="21"/>
        </w:rPr>
      </w:pPr>
      <w:r>
        <w:rPr>
          <w:szCs w:val="21"/>
        </w:rPr>
        <w:t>在变压器所有安装工作结束后应进行铁芯对地、有外引接地线的夹件对地及铁芯对夹件的绝缘电阻测量。</w:t>
      </w:r>
    </w:p>
    <w:p w14:paraId="110E8D83" w14:textId="77777777" w:rsidR="00DC3EA5" w:rsidRDefault="00000000">
      <w:pPr>
        <w:numPr>
          <w:ilvl w:val="0"/>
          <w:numId w:val="38"/>
        </w:numPr>
        <w:rPr>
          <w:szCs w:val="21"/>
        </w:rPr>
      </w:pPr>
      <w:r>
        <w:rPr>
          <w:szCs w:val="21"/>
        </w:rPr>
        <w:t>对变压器上有专用的铁芯接地线引出套管时，应在注油前测量其对外壳的绝缘电阻。</w:t>
      </w:r>
    </w:p>
    <w:p w14:paraId="76578692" w14:textId="77777777" w:rsidR="00DC3EA5" w:rsidRDefault="00000000">
      <w:pPr>
        <w:numPr>
          <w:ilvl w:val="0"/>
          <w:numId w:val="38"/>
        </w:numPr>
        <w:rPr>
          <w:szCs w:val="21"/>
        </w:rPr>
      </w:pPr>
      <w:r>
        <w:rPr>
          <w:szCs w:val="21"/>
        </w:rPr>
        <w:t>采用</w:t>
      </w:r>
      <w:r>
        <w:rPr>
          <w:szCs w:val="21"/>
        </w:rPr>
        <w:t>2500 V</w:t>
      </w:r>
      <w:r>
        <w:rPr>
          <w:szCs w:val="21"/>
        </w:rPr>
        <w:t>兆欧表测量，持续时间为</w:t>
      </w:r>
      <w:r>
        <w:rPr>
          <w:szCs w:val="21"/>
        </w:rPr>
        <w:t>1 min</w:t>
      </w:r>
      <w:r>
        <w:rPr>
          <w:szCs w:val="21"/>
        </w:rPr>
        <w:t>。</w:t>
      </w:r>
    </w:p>
    <w:p w14:paraId="16D280C8" w14:textId="77777777" w:rsidR="00DC3EA5" w:rsidRDefault="00000000">
      <w:pPr>
        <w:numPr>
          <w:ilvl w:val="0"/>
          <w:numId w:val="38"/>
        </w:numPr>
        <w:rPr>
          <w:szCs w:val="21"/>
        </w:rPr>
      </w:pPr>
      <w:r>
        <w:rPr>
          <w:szCs w:val="21"/>
        </w:rPr>
        <w:t>与出厂值相比无明显变化，一般不小于</w:t>
      </w:r>
      <w:r>
        <w:rPr>
          <w:szCs w:val="21"/>
        </w:rPr>
        <w:t>1000 MΩ</w:t>
      </w:r>
      <w:r>
        <w:rPr>
          <w:szCs w:val="21"/>
        </w:rPr>
        <w:t>。</w:t>
      </w:r>
    </w:p>
    <w:p w14:paraId="24A3484F" w14:textId="77777777" w:rsidR="00DC3EA5" w:rsidRDefault="00000000">
      <w:pPr>
        <w:pStyle w:val="a7"/>
        <w:ind w:left="0"/>
        <w:outlineLvl w:val="1"/>
        <w:rPr>
          <w:rFonts w:ascii="Times New Roman"/>
        </w:rPr>
      </w:pPr>
      <w:bookmarkStart w:id="69" w:name="_Toc151477168"/>
      <w:bookmarkStart w:id="70" w:name="_Toc26633"/>
      <w:r>
        <w:rPr>
          <w:rFonts w:ascii="Times New Roman"/>
        </w:rPr>
        <w:t>非纯瓷套管的试验</w:t>
      </w:r>
      <w:bookmarkEnd w:id="69"/>
      <w:bookmarkEnd w:id="70"/>
    </w:p>
    <w:p w14:paraId="2719B566" w14:textId="77777777" w:rsidR="00DC3EA5" w:rsidRDefault="00000000">
      <w:pPr>
        <w:pStyle w:val="affffffff2"/>
        <w:tabs>
          <w:tab w:val="center" w:pos="4201"/>
          <w:tab w:val="right" w:leader="dot" w:pos="9298"/>
        </w:tabs>
        <w:ind w:firstLine="420"/>
        <w:rPr>
          <w:rFonts w:ascii="Times New Roman"/>
        </w:rPr>
      </w:pPr>
      <w:r>
        <w:rPr>
          <w:rFonts w:ascii="Times New Roman"/>
          <w:szCs w:val="21"/>
        </w:rPr>
        <w:t>变压器的</w:t>
      </w:r>
      <w:r>
        <w:rPr>
          <w:rFonts w:ascii="Times New Roman"/>
        </w:rPr>
        <w:t>非纯瓷套管的试验，应按本文件第</w:t>
      </w:r>
      <w:r>
        <w:rPr>
          <w:rFonts w:ascii="Times New Roman"/>
        </w:rPr>
        <w:t>13</w:t>
      </w:r>
      <w:r>
        <w:rPr>
          <w:rFonts w:ascii="Times New Roman"/>
        </w:rPr>
        <w:t>章的规定执行。</w:t>
      </w:r>
    </w:p>
    <w:p w14:paraId="2050D476" w14:textId="77777777" w:rsidR="00DC3EA5" w:rsidRDefault="00000000">
      <w:pPr>
        <w:pStyle w:val="a7"/>
        <w:ind w:left="0"/>
        <w:outlineLvl w:val="1"/>
        <w:rPr>
          <w:rFonts w:ascii="Times New Roman"/>
        </w:rPr>
      </w:pPr>
      <w:bookmarkStart w:id="71" w:name="_Toc151477169"/>
      <w:bookmarkStart w:id="72" w:name="_Toc28222"/>
      <w:r>
        <w:rPr>
          <w:rFonts w:ascii="Times New Roman"/>
        </w:rPr>
        <w:t>有载调压切换装置的检查和试验</w:t>
      </w:r>
      <w:bookmarkEnd w:id="71"/>
      <w:bookmarkEnd w:id="72"/>
    </w:p>
    <w:p w14:paraId="57F37481" w14:textId="77777777" w:rsidR="00DC3EA5" w:rsidRDefault="00000000">
      <w:pPr>
        <w:pStyle w:val="affffffff2"/>
        <w:tabs>
          <w:tab w:val="center" w:pos="4201"/>
          <w:tab w:val="right" w:leader="dot" w:pos="9298"/>
        </w:tabs>
        <w:ind w:firstLine="420"/>
        <w:rPr>
          <w:rFonts w:ascii="Times New Roman"/>
        </w:rPr>
      </w:pPr>
      <w:r>
        <w:rPr>
          <w:rFonts w:ascii="Times New Roman"/>
          <w:szCs w:val="21"/>
        </w:rPr>
        <w:t>变压器的</w:t>
      </w:r>
      <w:r>
        <w:rPr>
          <w:rFonts w:ascii="Times New Roman"/>
        </w:rPr>
        <w:t>有载调压切换装置的检查和试验，应符合下列规定：</w:t>
      </w:r>
    </w:p>
    <w:p w14:paraId="31C95733" w14:textId="77777777" w:rsidR="00DC3EA5" w:rsidRDefault="00000000">
      <w:pPr>
        <w:numPr>
          <w:ilvl w:val="0"/>
          <w:numId w:val="39"/>
        </w:numPr>
        <w:rPr>
          <w:szCs w:val="21"/>
        </w:rPr>
      </w:pPr>
      <w:r>
        <w:rPr>
          <w:szCs w:val="21"/>
        </w:rPr>
        <w:t>变压器带电前应进行有载调压切换装置切换过程试验，检查切换开关切换触头的全部动作顺序，测量过渡电阻阻值和切换时间。过渡电阻阻值、三相同步偏差、切换时间的数值、正反向切换时间偏差均符合制造厂技术要求；测试电流无断流，三相开断不同步时间不大于</w:t>
      </w:r>
      <w:r>
        <w:rPr>
          <w:szCs w:val="21"/>
        </w:rPr>
        <w:t>3 ms</w:t>
      </w:r>
      <w:r>
        <w:rPr>
          <w:szCs w:val="21"/>
        </w:rPr>
        <w:t>。</w:t>
      </w:r>
    </w:p>
    <w:p w14:paraId="14230D4E" w14:textId="77777777" w:rsidR="00DC3EA5" w:rsidRDefault="00000000">
      <w:pPr>
        <w:numPr>
          <w:ilvl w:val="0"/>
          <w:numId w:val="39"/>
        </w:numPr>
        <w:rPr>
          <w:szCs w:val="21"/>
        </w:rPr>
      </w:pPr>
      <w:r>
        <w:rPr>
          <w:szCs w:val="21"/>
        </w:rPr>
        <w:t>在变压器无电压下，手动操作不少于</w:t>
      </w:r>
      <w:r>
        <w:rPr>
          <w:szCs w:val="21"/>
        </w:rPr>
        <w:t>2</w:t>
      </w:r>
      <w:r>
        <w:rPr>
          <w:szCs w:val="21"/>
        </w:rPr>
        <w:t>个循环、电动操作不少于</w:t>
      </w:r>
      <w:r>
        <w:rPr>
          <w:szCs w:val="21"/>
        </w:rPr>
        <w:t>5</w:t>
      </w:r>
      <w:r>
        <w:rPr>
          <w:szCs w:val="21"/>
        </w:rPr>
        <w:t>个循环。其中电动操作时电源电压为额定电压的</w:t>
      </w:r>
      <w:r>
        <w:rPr>
          <w:szCs w:val="21"/>
        </w:rPr>
        <w:t>85%</w:t>
      </w:r>
      <w:r>
        <w:rPr>
          <w:szCs w:val="21"/>
        </w:rPr>
        <w:t>及以上。操作无卡涩、连动等异响，且程序、电气和机械限位正常。</w:t>
      </w:r>
    </w:p>
    <w:p w14:paraId="1FC231A5" w14:textId="77777777" w:rsidR="00DC3EA5" w:rsidRDefault="00000000">
      <w:pPr>
        <w:numPr>
          <w:ilvl w:val="0"/>
          <w:numId w:val="39"/>
        </w:numPr>
        <w:rPr>
          <w:szCs w:val="21"/>
        </w:rPr>
      </w:pPr>
      <w:r>
        <w:rPr>
          <w:szCs w:val="21"/>
        </w:rPr>
        <w:lastRenderedPageBreak/>
        <w:t>循环操作后进行绕组连同套管在所有分接下直流电阻和电压比测量，试验结果应符合本文件</w:t>
      </w:r>
      <w:r>
        <w:rPr>
          <w:szCs w:val="21"/>
        </w:rPr>
        <w:t>5.3</w:t>
      </w:r>
      <w:r>
        <w:rPr>
          <w:szCs w:val="21"/>
        </w:rPr>
        <w:t>和</w:t>
      </w:r>
      <w:r>
        <w:rPr>
          <w:szCs w:val="21"/>
        </w:rPr>
        <w:t>5.4</w:t>
      </w:r>
      <w:r>
        <w:rPr>
          <w:szCs w:val="21"/>
        </w:rPr>
        <w:t>的规定。</w:t>
      </w:r>
    </w:p>
    <w:p w14:paraId="77F74547" w14:textId="77777777" w:rsidR="00DC3EA5" w:rsidRDefault="00000000">
      <w:pPr>
        <w:numPr>
          <w:ilvl w:val="0"/>
          <w:numId w:val="39"/>
        </w:numPr>
        <w:rPr>
          <w:szCs w:val="21"/>
        </w:rPr>
      </w:pPr>
      <w:r>
        <w:rPr>
          <w:szCs w:val="21"/>
        </w:rPr>
        <w:t>在变压器带电条件下进行有载调压开关电动操作，动作应正常。操作过程中，各侧电压应在系统电压允许范围内。</w:t>
      </w:r>
    </w:p>
    <w:p w14:paraId="6429B9CA" w14:textId="77777777" w:rsidR="00DC3EA5" w:rsidRDefault="00000000">
      <w:pPr>
        <w:numPr>
          <w:ilvl w:val="0"/>
          <w:numId w:val="39"/>
        </w:numPr>
        <w:rPr>
          <w:szCs w:val="21"/>
        </w:rPr>
      </w:pPr>
      <w:r>
        <w:rPr>
          <w:szCs w:val="21"/>
        </w:rPr>
        <w:t>绝缘油注入切换开关油箱前，其击穿电压应按</w:t>
      </w:r>
      <w:r>
        <w:rPr>
          <w:szCs w:val="21"/>
        </w:rPr>
        <w:t>GB 50150—2016</w:t>
      </w:r>
      <w:r>
        <w:rPr>
          <w:szCs w:val="21"/>
        </w:rPr>
        <w:t>的有关规定执行；</w:t>
      </w:r>
    </w:p>
    <w:p w14:paraId="2FC9641C" w14:textId="77777777" w:rsidR="00DC3EA5" w:rsidRDefault="00000000">
      <w:pPr>
        <w:numPr>
          <w:ilvl w:val="0"/>
          <w:numId w:val="39"/>
        </w:numPr>
        <w:rPr>
          <w:szCs w:val="21"/>
        </w:rPr>
      </w:pPr>
      <w:r>
        <w:rPr>
          <w:szCs w:val="21"/>
        </w:rPr>
        <w:t>二次回路绝缘一般不低于</w:t>
      </w:r>
      <w:r>
        <w:rPr>
          <w:szCs w:val="21"/>
        </w:rPr>
        <w:t>1 MΩ</w:t>
      </w:r>
      <w:r>
        <w:rPr>
          <w:szCs w:val="21"/>
        </w:rPr>
        <w:t>。用</w:t>
      </w:r>
      <w:r>
        <w:rPr>
          <w:szCs w:val="21"/>
        </w:rPr>
        <w:t>1000 V</w:t>
      </w:r>
      <w:r>
        <w:rPr>
          <w:szCs w:val="21"/>
        </w:rPr>
        <w:t>兆欧表测量，当回路绝缘电阻在</w:t>
      </w:r>
      <w:r>
        <w:rPr>
          <w:szCs w:val="21"/>
        </w:rPr>
        <w:t>10 MΩ</w:t>
      </w:r>
      <w:r>
        <w:rPr>
          <w:szCs w:val="21"/>
        </w:rPr>
        <w:t>以上时可用</w:t>
      </w:r>
      <w:r>
        <w:rPr>
          <w:szCs w:val="21"/>
        </w:rPr>
        <w:t>2500 V</w:t>
      </w:r>
      <w:r>
        <w:rPr>
          <w:szCs w:val="21"/>
        </w:rPr>
        <w:t>兆欧表测量</w:t>
      </w:r>
      <w:r>
        <w:rPr>
          <w:szCs w:val="21"/>
        </w:rPr>
        <w:t>1 min</w:t>
      </w:r>
      <w:r>
        <w:rPr>
          <w:szCs w:val="21"/>
        </w:rPr>
        <w:t>代替交流耐压试验。</w:t>
      </w:r>
    </w:p>
    <w:p w14:paraId="5C1244F6" w14:textId="77777777" w:rsidR="00DC3EA5" w:rsidRDefault="00000000">
      <w:pPr>
        <w:pStyle w:val="a7"/>
        <w:ind w:left="0"/>
        <w:outlineLvl w:val="1"/>
        <w:rPr>
          <w:rFonts w:ascii="Times New Roman"/>
        </w:rPr>
      </w:pPr>
      <w:bookmarkStart w:id="73" w:name="_Toc18627"/>
      <w:bookmarkStart w:id="74" w:name="_Toc151477170"/>
      <w:r>
        <w:rPr>
          <w:rFonts w:ascii="Times New Roman"/>
        </w:rPr>
        <w:t>绕组连同套管的绝缘电阻、吸收比或极化指数测量</w:t>
      </w:r>
      <w:bookmarkEnd w:id="73"/>
      <w:bookmarkEnd w:id="74"/>
    </w:p>
    <w:p w14:paraId="43EC7373" w14:textId="77777777" w:rsidR="00DC3EA5" w:rsidRDefault="00000000">
      <w:pPr>
        <w:pStyle w:val="affffffff2"/>
        <w:tabs>
          <w:tab w:val="center" w:pos="4201"/>
          <w:tab w:val="right" w:leader="dot" w:pos="9298"/>
        </w:tabs>
        <w:ind w:firstLine="420"/>
        <w:rPr>
          <w:rFonts w:ascii="Times New Roman"/>
        </w:rPr>
      </w:pPr>
      <w:r>
        <w:rPr>
          <w:rFonts w:ascii="Times New Roman"/>
        </w:rPr>
        <w:t>变压器绕组连同套管的绝缘电阻、吸收比或极化指数测量，应符合下列规定：</w:t>
      </w:r>
    </w:p>
    <w:p w14:paraId="6115D3B3" w14:textId="77777777" w:rsidR="00DC3EA5" w:rsidRDefault="00000000">
      <w:pPr>
        <w:numPr>
          <w:ilvl w:val="0"/>
          <w:numId w:val="40"/>
        </w:numPr>
        <w:rPr>
          <w:szCs w:val="21"/>
        </w:rPr>
      </w:pPr>
      <w:r>
        <w:rPr>
          <w:szCs w:val="21"/>
        </w:rPr>
        <w:t>绝缘电阻值不低于产品出厂试验值的</w:t>
      </w:r>
      <w:r>
        <w:rPr>
          <w:szCs w:val="21"/>
        </w:rPr>
        <w:t>70%</w:t>
      </w:r>
      <w:r>
        <w:rPr>
          <w:szCs w:val="21"/>
        </w:rPr>
        <w:t>或不低于</w:t>
      </w:r>
      <w:r>
        <w:rPr>
          <w:szCs w:val="21"/>
        </w:rPr>
        <w:t>10000 MΩ</w:t>
      </w:r>
      <w:r>
        <w:rPr>
          <w:szCs w:val="21"/>
        </w:rPr>
        <w:t>；</w:t>
      </w:r>
    </w:p>
    <w:p w14:paraId="1D675A76" w14:textId="77777777" w:rsidR="00DC3EA5" w:rsidRDefault="00000000">
      <w:pPr>
        <w:numPr>
          <w:ilvl w:val="0"/>
          <w:numId w:val="40"/>
        </w:numPr>
        <w:rPr>
          <w:szCs w:val="21"/>
        </w:rPr>
      </w:pPr>
      <w:r>
        <w:rPr>
          <w:szCs w:val="21"/>
        </w:rPr>
        <w:t>吸收比、极化指数与产品出厂值相比应无明显差别；</w:t>
      </w:r>
    </w:p>
    <w:p w14:paraId="210631F1" w14:textId="77777777" w:rsidR="00DC3EA5" w:rsidRDefault="00000000">
      <w:pPr>
        <w:numPr>
          <w:ilvl w:val="0"/>
          <w:numId w:val="40"/>
        </w:numPr>
        <w:rPr>
          <w:szCs w:val="21"/>
        </w:rPr>
      </w:pPr>
      <w:r>
        <w:rPr>
          <w:szCs w:val="21"/>
        </w:rPr>
        <w:t>常温下，吸收比</w:t>
      </w:r>
      <w:r>
        <w:rPr>
          <w:szCs w:val="21"/>
        </w:rPr>
        <w:t>≥1.3</w:t>
      </w:r>
      <w:r>
        <w:rPr>
          <w:szCs w:val="21"/>
        </w:rPr>
        <w:t>或极化指数</w:t>
      </w:r>
      <w:r>
        <w:rPr>
          <w:szCs w:val="21"/>
        </w:rPr>
        <w:t>≥1.5</w:t>
      </w:r>
      <w:r>
        <w:rPr>
          <w:szCs w:val="21"/>
        </w:rPr>
        <w:t>（怀疑绝缘有缺陷时）或绝缘电阻</w:t>
      </w:r>
      <w:r>
        <w:rPr>
          <w:szCs w:val="21"/>
        </w:rPr>
        <w:t>≥10000 MΩ</w:t>
      </w:r>
      <w:r>
        <w:rPr>
          <w:szCs w:val="21"/>
        </w:rPr>
        <w:t>；</w:t>
      </w:r>
    </w:p>
    <w:p w14:paraId="05B6B290" w14:textId="77777777" w:rsidR="00DC3EA5" w:rsidRDefault="00000000">
      <w:pPr>
        <w:numPr>
          <w:ilvl w:val="0"/>
          <w:numId w:val="40"/>
        </w:numPr>
        <w:rPr>
          <w:szCs w:val="21"/>
        </w:rPr>
      </w:pPr>
      <w:r>
        <w:rPr>
          <w:szCs w:val="21"/>
        </w:rPr>
        <w:t>变压器电压等级为</w:t>
      </w:r>
      <w:r>
        <w:rPr>
          <w:szCs w:val="21"/>
        </w:rPr>
        <w:t>35 kV</w:t>
      </w:r>
      <w:r>
        <w:rPr>
          <w:szCs w:val="21"/>
        </w:rPr>
        <w:t>及以上且容量在</w:t>
      </w:r>
      <w:r>
        <w:rPr>
          <w:szCs w:val="21"/>
        </w:rPr>
        <w:t>4000 kVA</w:t>
      </w:r>
      <w:r>
        <w:rPr>
          <w:szCs w:val="21"/>
        </w:rPr>
        <w:t>及以上时，应测量吸收比。吸收比与产品出厂值相比应无明显差别，在常温下不应小于</w:t>
      </w:r>
      <w:r>
        <w:rPr>
          <w:szCs w:val="21"/>
        </w:rPr>
        <w:t>1.3</w:t>
      </w:r>
      <w:r>
        <w:rPr>
          <w:szCs w:val="21"/>
        </w:rPr>
        <w:t>；当</w:t>
      </w:r>
      <w:r>
        <w:rPr>
          <w:szCs w:val="21"/>
        </w:rPr>
        <w:t>R</w:t>
      </w:r>
      <w:r>
        <w:rPr>
          <w:szCs w:val="21"/>
          <w:vertAlign w:val="subscript"/>
        </w:rPr>
        <w:t>60</w:t>
      </w:r>
      <w:r>
        <w:rPr>
          <w:szCs w:val="21"/>
        </w:rPr>
        <w:t>大于</w:t>
      </w:r>
      <w:r>
        <w:rPr>
          <w:szCs w:val="21"/>
        </w:rPr>
        <w:t>3000 MΩ(20 ℃)</w:t>
      </w:r>
      <w:r>
        <w:rPr>
          <w:szCs w:val="21"/>
        </w:rPr>
        <w:t>时，吸收比可不作考核要求；</w:t>
      </w:r>
    </w:p>
    <w:p w14:paraId="4CECE0C7" w14:textId="77777777" w:rsidR="00DC3EA5" w:rsidRDefault="00000000">
      <w:pPr>
        <w:numPr>
          <w:ilvl w:val="0"/>
          <w:numId w:val="40"/>
        </w:numPr>
        <w:rPr>
          <w:szCs w:val="21"/>
        </w:rPr>
      </w:pPr>
      <w:r>
        <w:rPr>
          <w:szCs w:val="21"/>
        </w:rPr>
        <w:t>变压器电压等级为</w:t>
      </w:r>
      <w:r>
        <w:rPr>
          <w:szCs w:val="21"/>
        </w:rPr>
        <w:t>220 kV</w:t>
      </w:r>
      <w:r>
        <w:rPr>
          <w:szCs w:val="21"/>
        </w:rPr>
        <w:t>及以上或容量为</w:t>
      </w:r>
      <w:r>
        <w:rPr>
          <w:szCs w:val="21"/>
        </w:rPr>
        <w:t>120 MVA</w:t>
      </w:r>
      <w:r>
        <w:rPr>
          <w:szCs w:val="21"/>
        </w:rPr>
        <w:t>及以上时，宜用</w:t>
      </w:r>
      <w:r>
        <w:rPr>
          <w:szCs w:val="21"/>
        </w:rPr>
        <w:t>5000 V</w:t>
      </w:r>
      <w:r>
        <w:rPr>
          <w:szCs w:val="21"/>
        </w:rPr>
        <w:t>兆欧表测量极化指数。测得值与产品出厂值相比应无明显差别，且在常温下不应小于</w:t>
      </w:r>
      <w:r>
        <w:rPr>
          <w:szCs w:val="21"/>
        </w:rPr>
        <w:t>1.5</w:t>
      </w:r>
      <w:r>
        <w:rPr>
          <w:szCs w:val="21"/>
        </w:rPr>
        <w:t>。当</w:t>
      </w:r>
      <w:r>
        <w:rPr>
          <w:szCs w:val="21"/>
        </w:rPr>
        <w:t>R</w:t>
      </w:r>
      <w:r>
        <w:rPr>
          <w:szCs w:val="21"/>
          <w:vertAlign w:val="subscript"/>
        </w:rPr>
        <w:t>60</w:t>
      </w:r>
      <w:r>
        <w:rPr>
          <w:szCs w:val="21"/>
        </w:rPr>
        <w:t>大于</w:t>
      </w:r>
      <w:r>
        <w:rPr>
          <w:szCs w:val="21"/>
        </w:rPr>
        <w:t>10000 MΩ(20 ℃)</w:t>
      </w:r>
      <w:r>
        <w:rPr>
          <w:szCs w:val="21"/>
        </w:rPr>
        <w:t>时，极化指数可不作考核要求。</w:t>
      </w:r>
    </w:p>
    <w:p w14:paraId="3678216A" w14:textId="77777777" w:rsidR="00DC3EA5" w:rsidRDefault="00000000">
      <w:pPr>
        <w:pStyle w:val="a7"/>
        <w:ind w:left="0"/>
        <w:outlineLvl w:val="1"/>
        <w:rPr>
          <w:rFonts w:ascii="Times New Roman"/>
        </w:rPr>
      </w:pPr>
      <w:bookmarkStart w:id="75" w:name="_Toc151477171"/>
      <w:bookmarkStart w:id="76" w:name="_Toc15861"/>
      <w:r>
        <w:rPr>
          <w:rFonts w:ascii="Times New Roman"/>
        </w:rPr>
        <w:t>绕组连同套管的介质损耗角正切值</w:t>
      </w:r>
      <w:r>
        <w:rPr>
          <w:rFonts w:ascii="Times New Roman"/>
        </w:rPr>
        <w:t>tanδ</w:t>
      </w:r>
      <w:r>
        <w:rPr>
          <w:rFonts w:ascii="Times New Roman"/>
        </w:rPr>
        <w:t>测量</w:t>
      </w:r>
      <w:bookmarkEnd w:id="75"/>
      <w:r>
        <w:rPr>
          <w:rFonts w:ascii="Times New Roman"/>
        </w:rPr>
        <w:t>及电容量测量</w:t>
      </w:r>
      <w:bookmarkEnd w:id="76"/>
    </w:p>
    <w:p w14:paraId="39A6A14C" w14:textId="77777777" w:rsidR="00DC3EA5" w:rsidRDefault="00000000">
      <w:pPr>
        <w:pStyle w:val="affffffff2"/>
        <w:tabs>
          <w:tab w:val="center" w:pos="4201"/>
          <w:tab w:val="right" w:leader="dot" w:pos="9298"/>
        </w:tabs>
        <w:ind w:firstLine="420"/>
        <w:rPr>
          <w:rFonts w:ascii="Times New Roman"/>
        </w:rPr>
      </w:pPr>
      <w:r>
        <w:rPr>
          <w:rFonts w:ascii="Times New Roman"/>
        </w:rPr>
        <w:t>变压器绕组连同套管的介质损耗角正切值</w:t>
      </w:r>
      <w:r>
        <w:rPr>
          <w:rFonts w:ascii="Times New Roman"/>
        </w:rPr>
        <w:t>tanδ</w:t>
      </w:r>
      <w:r>
        <w:rPr>
          <w:rFonts w:ascii="Times New Roman"/>
        </w:rPr>
        <w:t>测量及电容量测量，应符合下列规定：</w:t>
      </w:r>
    </w:p>
    <w:p w14:paraId="4886A684" w14:textId="77777777" w:rsidR="00DC3EA5" w:rsidRDefault="00000000">
      <w:pPr>
        <w:numPr>
          <w:ilvl w:val="0"/>
          <w:numId w:val="41"/>
        </w:numPr>
        <w:rPr>
          <w:szCs w:val="21"/>
        </w:rPr>
      </w:pPr>
      <w:r>
        <w:rPr>
          <w:szCs w:val="21"/>
        </w:rPr>
        <w:t>试验频率应为变压器运行的额定频率，其偏差不大于</w:t>
      </w:r>
      <w:r>
        <w:rPr>
          <w:szCs w:val="21"/>
        </w:rPr>
        <w:t>±5%</w:t>
      </w:r>
      <w:r>
        <w:rPr>
          <w:szCs w:val="21"/>
        </w:rPr>
        <w:t>；</w:t>
      </w:r>
    </w:p>
    <w:p w14:paraId="70AF01D9" w14:textId="77777777" w:rsidR="00DC3EA5" w:rsidRDefault="00000000">
      <w:pPr>
        <w:numPr>
          <w:ilvl w:val="0"/>
          <w:numId w:val="41"/>
        </w:numPr>
        <w:rPr>
          <w:szCs w:val="21"/>
        </w:rPr>
      </w:pPr>
      <w:r>
        <w:rPr>
          <w:szCs w:val="21"/>
        </w:rPr>
        <w:t>交接试验可在</w:t>
      </w:r>
      <w:r>
        <w:rPr>
          <w:szCs w:val="21"/>
        </w:rPr>
        <w:t>50 Hz</w:t>
      </w:r>
      <w:r>
        <w:rPr>
          <w:szCs w:val="21"/>
        </w:rPr>
        <w:t>频率下进行，电压幅值无需修正，但应记录试验频率；</w:t>
      </w:r>
      <w:r>
        <w:rPr>
          <w:szCs w:val="21"/>
        </w:rPr>
        <w:t xml:space="preserve"> </w:t>
      </w:r>
    </w:p>
    <w:p w14:paraId="04E6D141" w14:textId="77777777" w:rsidR="00DC3EA5" w:rsidRDefault="00000000">
      <w:pPr>
        <w:numPr>
          <w:ilvl w:val="0"/>
          <w:numId w:val="41"/>
        </w:numPr>
        <w:rPr>
          <w:szCs w:val="21"/>
        </w:rPr>
      </w:pPr>
      <w:r>
        <w:rPr>
          <w:szCs w:val="21"/>
        </w:rPr>
        <w:t>当测量时的温度与产品出厂试验温度不符合时，应换算到同一温度时的数值进行比较；</w:t>
      </w:r>
    </w:p>
    <w:p w14:paraId="25F661FD" w14:textId="77777777" w:rsidR="00DC3EA5" w:rsidRDefault="00000000">
      <w:pPr>
        <w:numPr>
          <w:ilvl w:val="0"/>
          <w:numId w:val="41"/>
        </w:numPr>
        <w:rPr>
          <w:szCs w:val="21"/>
        </w:rPr>
      </w:pPr>
      <w:r>
        <w:rPr>
          <w:szCs w:val="21"/>
        </w:rPr>
        <w:t>宜在顶层油温低于</w:t>
      </w:r>
      <w:r>
        <w:rPr>
          <w:szCs w:val="21"/>
        </w:rPr>
        <w:t>50 ℃</w:t>
      </w:r>
      <w:r>
        <w:rPr>
          <w:szCs w:val="21"/>
        </w:rPr>
        <w:t>时试验，并记录顶层油温和空气相对湿度，应注意温度对</w:t>
      </w:r>
      <w:r>
        <w:rPr>
          <w:szCs w:val="21"/>
        </w:rPr>
        <w:t>tanδ</w:t>
      </w:r>
      <w:r>
        <w:rPr>
          <w:szCs w:val="21"/>
        </w:rPr>
        <w:t>值的影响；</w:t>
      </w:r>
    </w:p>
    <w:p w14:paraId="7819E34D" w14:textId="77777777" w:rsidR="00DC3EA5" w:rsidRDefault="00000000">
      <w:pPr>
        <w:numPr>
          <w:ilvl w:val="0"/>
          <w:numId w:val="41"/>
        </w:numPr>
        <w:rPr>
          <w:szCs w:val="21"/>
        </w:rPr>
      </w:pPr>
      <w:r>
        <w:rPr>
          <w:szCs w:val="21"/>
        </w:rPr>
        <w:t>被测绕组的</w:t>
      </w:r>
      <w:r>
        <w:rPr>
          <w:szCs w:val="21"/>
        </w:rPr>
        <w:t>tanδ</w:t>
      </w:r>
      <w:r>
        <w:rPr>
          <w:szCs w:val="21"/>
        </w:rPr>
        <w:t>值不应大于产品出厂试验值的</w:t>
      </w:r>
      <w:r>
        <w:rPr>
          <w:szCs w:val="21"/>
        </w:rPr>
        <w:t>130%</w:t>
      </w:r>
      <w:r>
        <w:rPr>
          <w:szCs w:val="21"/>
        </w:rPr>
        <w:t>；当大于</w:t>
      </w:r>
      <w:r>
        <w:rPr>
          <w:szCs w:val="21"/>
        </w:rPr>
        <w:t>130%</w:t>
      </w:r>
      <w:r>
        <w:rPr>
          <w:szCs w:val="21"/>
        </w:rPr>
        <w:t>时，可结合其他绝缘试验结果综合分析判断；</w:t>
      </w:r>
    </w:p>
    <w:p w14:paraId="1431EA40" w14:textId="77777777" w:rsidR="00DC3EA5" w:rsidRDefault="00000000">
      <w:pPr>
        <w:numPr>
          <w:ilvl w:val="0"/>
          <w:numId w:val="41"/>
        </w:numPr>
        <w:rPr>
          <w:szCs w:val="21"/>
        </w:rPr>
      </w:pPr>
      <w:r>
        <w:rPr>
          <w:szCs w:val="21"/>
        </w:rPr>
        <w:t>电容量变化超过</w:t>
      </w:r>
      <w:r>
        <w:rPr>
          <w:szCs w:val="21"/>
        </w:rPr>
        <w:t>±3%</w:t>
      </w:r>
      <w:r>
        <w:rPr>
          <w:szCs w:val="21"/>
        </w:rPr>
        <w:t>时，应予以注意。</w:t>
      </w:r>
    </w:p>
    <w:p w14:paraId="59F454AB" w14:textId="77777777" w:rsidR="00DC3EA5" w:rsidRDefault="00000000">
      <w:pPr>
        <w:pStyle w:val="a7"/>
        <w:ind w:left="0"/>
        <w:outlineLvl w:val="1"/>
        <w:rPr>
          <w:rFonts w:ascii="Times New Roman"/>
        </w:rPr>
      </w:pPr>
      <w:bookmarkStart w:id="77" w:name="_Toc11150"/>
      <w:bookmarkStart w:id="78" w:name="_Toc151477172"/>
      <w:r>
        <w:rPr>
          <w:rFonts w:ascii="Times New Roman"/>
        </w:rPr>
        <w:t>变压器绕组频率响应和低电压短路阻抗试验</w:t>
      </w:r>
      <w:bookmarkEnd w:id="77"/>
      <w:bookmarkEnd w:id="78"/>
    </w:p>
    <w:p w14:paraId="0D60FF89" w14:textId="77777777" w:rsidR="00DC3EA5" w:rsidRDefault="00000000">
      <w:pPr>
        <w:pStyle w:val="affffffff2"/>
        <w:tabs>
          <w:tab w:val="center" w:pos="4201"/>
          <w:tab w:val="right" w:leader="dot" w:pos="9298"/>
        </w:tabs>
        <w:ind w:firstLine="420"/>
        <w:rPr>
          <w:rFonts w:ascii="Times New Roman"/>
        </w:rPr>
      </w:pPr>
      <w:r>
        <w:rPr>
          <w:rFonts w:ascii="Times New Roman"/>
        </w:rPr>
        <w:t>变压器的绕组频率响应和低电压短路阻抗测试试验，应符合下列规定：</w:t>
      </w:r>
    </w:p>
    <w:p w14:paraId="5D37F552" w14:textId="77777777" w:rsidR="00DC3EA5" w:rsidRDefault="00000000">
      <w:pPr>
        <w:numPr>
          <w:ilvl w:val="0"/>
          <w:numId w:val="42"/>
        </w:numPr>
        <w:rPr>
          <w:szCs w:val="21"/>
        </w:rPr>
      </w:pPr>
      <w:r>
        <w:rPr>
          <w:szCs w:val="21"/>
        </w:rPr>
        <w:t>对于</w:t>
      </w:r>
      <w:r>
        <w:rPr>
          <w:szCs w:val="21"/>
        </w:rPr>
        <w:t>35 kV</w:t>
      </w:r>
      <w:r>
        <w:rPr>
          <w:szCs w:val="21"/>
        </w:rPr>
        <w:t>电压等级变压器，宜采用低电压短路阻抗法；对于</w:t>
      </w:r>
      <w:r>
        <w:rPr>
          <w:szCs w:val="21"/>
        </w:rPr>
        <w:t>110</w:t>
      </w:r>
      <w:r>
        <w:rPr>
          <w:szCs w:val="21"/>
        </w:rPr>
        <w:t>（</w:t>
      </w:r>
      <w:r>
        <w:rPr>
          <w:szCs w:val="21"/>
        </w:rPr>
        <w:t>66</w:t>
      </w:r>
      <w:r>
        <w:rPr>
          <w:szCs w:val="21"/>
        </w:rPr>
        <w:t>）</w:t>
      </w:r>
      <w:r>
        <w:rPr>
          <w:szCs w:val="21"/>
        </w:rPr>
        <w:t xml:space="preserve"> kV</w:t>
      </w:r>
      <w:r>
        <w:rPr>
          <w:szCs w:val="21"/>
        </w:rPr>
        <w:t>及以上电压等级变压器，应同时采用频率响应法和低电压短路阻抗法。</w:t>
      </w:r>
    </w:p>
    <w:p w14:paraId="46CB40BA" w14:textId="77777777" w:rsidR="00DC3EA5" w:rsidRDefault="00000000">
      <w:pPr>
        <w:numPr>
          <w:ilvl w:val="0"/>
          <w:numId w:val="42"/>
        </w:numPr>
        <w:rPr>
          <w:szCs w:val="21"/>
        </w:rPr>
      </w:pPr>
      <w:r>
        <w:rPr>
          <w:szCs w:val="21"/>
        </w:rPr>
        <w:t>变压器绕组频率响应和低电压短路阻抗测试，应在最大电压分接位置进行。</w:t>
      </w:r>
    </w:p>
    <w:p w14:paraId="7E7EF5A9" w14:textId="77777777" w:rsidR="00DC3EA5" w:rsidRDefault="00000000">
      <w:pPr>
        <w:numPr>
          <w:ilvl w:val="0"/>
          <w:numId w:val="42"/>
        </w:numPr>
        <w:rPr>
          <w:szCs w:val="21"/>
        </w:rPr>
      </w:pPr>
      <w:r>
        <w:rPr>
          <w:szCs w:val="21"/>
        </w:rPr>
        <w:t>低电压短路阻抗法试验频率应为变压器运行的额定频率，其偏差不大于</w:t>
      </w:r>
      <w:r>
        <w:rPr>
          <w:szCs w:val="21"/>
        </w:rPr>
        <w:t>±5%</w:t>
      </w:r>
      <w:r>
        <w:rPr>
          <w:szCs w:val="21"/>
        </w:rPr>
        <w:t>。</w:t>
      </w:r>
    </w:p>
    <w:p w14:paraId="67A34948" w14:textId="77777777" w:rsidR="00DC3EA5" w:rsidRDefault="00000000">
      <w:pPr>
        <w:numPr>
          <w:ilvl w:val="0"/>
          <w:numId w:val="42"/>
        </w:numPr>
        <w:rPr>
          <w:szCs w:val="21"/>
        </w:rPr>
      </w:pPr>
      <w:r>
        <w:rPr>
          <w:szCs w:val="21"/>
        </w:rPr>
        <w:t>交接试验可在</w:t>
      </w:r>
      <w:r>
        <w:rPr>
          <w:szCs w:val="21"/>
        </w:rPr>
        <w:t>50 Hz</w:t>
      </w:r>
      <w:r>
        <w:rPr>
          <w:szCs w:val="21"/>
        </w:rPr>
        <w:t>频率下进行，电压幅值无需修正，但应记录试验频率。</w:t>
      </w:r>
    </w:p>
    <w:p w14:paraId="7E3F36C7" w14:textId="77777777" w:rsidR="00DC3EA5" w:rsidRDefault="00000000">
      <w:pPr>
        <w:numPr>
          <w:ilvl w:val="0"/>
          <w:numId w:val="42"/>
        </w:numPr>
        <w:rPr>
          <w:szCs w:val="21"/>
        </w:rPr>
      </w:pPr>
      <w:r>
        <w:rPr>
          <w:szCs w:val="21"/>
        </w:rPr>
        <w:t>低电压短路阻抗测试电流一般不小</w:t>
      </w:r>
      <w:r>
        <w:rPr>
          <w:szCs w:val="21"/>
        </w:rPr>
        <w:t>10 A</w:t>
      </w:r>
      <w:r>
        <w:rPr>
          <w:szCs w:val="21"/>
        </w:rPr>
        <w:t>。</w:t>
      </w:r>
    </w:p>
    <w:p w14:paraId="5A257883" w14:textId="77777777" w:rsidR="00DC3EA5" w:rsidRDefault="00000000">
      <w:pPr>
        <w:numPr>
          <w:ilvl w:val="0"/>
          <w:numId w:val="42"/>
        </w:numPr>
        <w:rPr>
          <w:szCs w:val="21"/>
        </w:rPr>
      </w:pPr>
      <w:r>
        <w:rPr>
          <w:szCs w:val="21"/>
        </w:rPr>
        <w:t>在相同测试电流情况下，低电压短路阻抗测量结果与出厂值的偏差一般不大于</w:t>
      </w:r>
      <w:r>
        <w:rPr>
          <w:szCs w:val="21"/>
        </w:rPr>
        <w:t>2%</w:t>
      </w:r>
      <w:r>
        <w:rPr>
          <w:szCs w:val="21"/>
        </w:rPr>
        <w:t>；</w:t>
      </w:r>
    </w:p>
    <w:p w14:paraId="6A8D1C1E" w14:textId="77777777" w:rsidR="00DC3EA5" w:rsidRDefault="00000000">
      <w:pPr>
        <w:numPr>
          <w:ilvl w:val="0"/>
          <w:numId w:val="42"/>
        </w:numPr>
        <w:rPr>
          <w:szCs w:val="21"/>
        </w:rPr>
      </w:pPr>
      <w:r>
        <w:rPr>
          <w:szCs w:val="21"/>
        </w:rPr>
        <w:t>变压器绕组频率响应测试的拆线部位为变压器套管处。</w:t>
      </w:r>
    </w:p>
    <w:p w14:paraId="427CA5A2" w14:textId="77777777" w:rsidR="00DC3EA5" w:rsidRDefault="00000000">
      <w:pPr>
        <w:pStyle w:val="a7"/>
        <w:ind w:left="0"/>
        <w:outlineLvl w:val="1"/>
        <w:rPr>
          <w:rFonts w:ascii="Times New Roman"/>
        </w:rPr>
      </w:pPr>
      <w:bookmarkStart w:id="79" w:name="_Toc151477173"/>
      <w:bookmarkStart w:id="80" w:name="_Toc10469"/>
      <w:r>
        <w:rPr>
          <w:rFonts w:ascii="Times New Roman"/>
        </w:rPr>
        <w:t>绕组连同套管的交流耐压试验</w:t>
      </w:r>
      <w:bookmarkEnd w:id="79"/>
      <w:bookmarkEnd w:id="80"/>
    </w:p>
    <w:p w14:paraId="42EAFF8F" w14:textId="77777777" w:rsidR="00DC3EA5" w:rsidRDefault="00000000">
      <w:pPr>
        <w:pStyle w:val="affffffff2"/>
        <w:tabs>
          <w:tab w:val="center" w:pos="4201"/>
          <w:tab w:val="right" w:leader="dot" w:pos="9298"/>
        </w:tabs>
        <w:ind w:firstLine="420"/>
        <w:rPr>
          <w:rFonts w:ascii="Times New Roman"/>
        </w:rPr>
      </w:pPr>
      <w:r>
        <w:rPr>
          <w:rFonts w:ascii="Times New Roman"/>
        </w:rPr>
        <w:lastRenderedPageBreak/>
        <w:t>变压器绕组连同套管的交流耐压试验，应符合下列规定：</w:t>
      </w:r>
    </w:p>
    <w:p w14:paraId="4C5AE445" w14:textId="77777777" w:rsidR="00DC3EA5" w:rsidRDefault="00000000">
      <w:pPr>
        <w:numPr>
          <w:ilvl w:val="0"/>
          <w:numId w:val="43"/>
        </w:numPr>
        <w:rPr>
          <w:szCs w:val="21"/>
        </w:rPr>
      </w:pPr>
      <w:r>
        <w:rPr>
          <w:szCs w:val="21"/>
        </w:rPr>
        <w:t>交流耐压试验可以采用外施</w:t>
      </w:r>
      <w:r>
        <w:rPr>
          <w:rFonts w:hint="eastAsia"/>
          <w:szCs w:val="21"/>
        </w:rPr>
        <w:t>交流</w:t>
      </w:r>
      <w:r>
        <w:rPr>
          <w:szCs w:val="21"/>
        </w:rPr>
        <w:t>电压试验的方法，也可采用感应电压试验的方法。</w:t>
      </w:r>
    </w:p>
    <w:p w14:paraId="55F4044E" w14:textId="77777777" w:rsidR="00DC3EA5" w:rsidRDefault="00000000">
      <w:pPr>
        <w:numPr>
          <w:ilvl w:val="0"/>
          <w:numId w:val="43"/>
        </w:numPr>
        <w:rPr>
          <w:szCs w:val="21"/>
        </w:rPr>
      </w:pPr>
      <w:r>
        <w:rPr>
          <w:szCs w:val="21"/>
        </w:rPr>
        <w:t>外施交流电压</w:t>
      </w:r>
      <w:r>
        <w:rPr>
          <w:rFonts w:hint="eastAsia"/>
          <w:szCs w:val="21"/>
        </w:rPr>
        <w:t>试验</w:t>
      </w:r>
      <w:r>
        <w:rPr>
          <w:szCs w:val="21"/>
        </w:rPr>
        <w:t>：试验电压的频率应为</w:t>
      </w:r>
      <w:r>
        <w:rPr>
          <w:szCs w:val="21"/>
        </w:rPr>
        <w:t>15 Hz</w:t>
      </w:r>
      <w:r>
        <w:rPr>
          <w:szCs w:val="21"/>
        </w:rPr>
        <w:t>～</w:t>
      </w:r>
      <w:r>
        <w:rPr>
          <w:szCs w:val="21"/>
        </w:rPr>
        <w:t>65 Hz</w:t>
      </w:r>
      <w:r>
        <w:rPr>
          <w:szCs w:val="21"/>
        </w:rPr>
        <w:t>，全电压下耐受时间为</w:t>
      </w:r>
      <w:r>
        <w:rPr>
          <w:szCs w:val="21"/>
        </w:rPr>
        <w:t>60 s</w:t>
      </w:r>
      <w:r>
        <w:rPr>
          <w:szCs w:val="21"/>
        </w:rPr>
        <w:t>；</w:t>
      </w:r>
    </w:p>
    <w:p w14:paraId="0D560AFE" w14:textId="77777777" w:rsidR="00DC3EA5" w:rsidRDefault="00000000">
      <w:pPr>
        <w:numPr>
          <w:ilvl w:val="0"/>
          <w:numId w:val="43"/>
        </w:numPr>
        <w:rPr>
          <w:szCs w:val="21"/>
        </w:rPr>
      </w:pPr>
      <w:r>
        <w:rPr>
          <w:szCs w:val="21"/>
        </w:rPr>
        <w:t>感应电压试验：当试验电压频率等于或小于</w:t>
      </w:r>
      <w:r>
        <w:rPr>
          <w:szCs w:val="21"/>
        </w:rPr>
        <w:t>2</w:t>
      </w:r>
      <w:r>
        <w:rPr>
          <w:szCs w:val="21"/>
        </w:rPr>
        <w:t>倍额定频率时，全电压下试验时间为</w:t>
      </w:r>
      <w:r>
        <w:rPr>
          <w:szCs w:val="21"/>
        </w:rPr>
        <w:t>60 s</w:t>
      </w:r>
      <w:r>
        <w:rPr>
          <w:szCs w:val="21"/>
        </w:rPr>
        <w:t>；当试验电压频率大于</w:t>
      </w:r>
      <w:r>
        <w:rPr>
          <w:szCs w:val="21"/>
        </w:rPr>
        <w:t>2</w:t>
      </w:r>
      <w:r>
        <w:rPr>
          <w:szCs w:val="21"/>
        </w:rPr>
        <w:t>倍额定频率时，全电压下试验时间为：</w:t>
      </w:r>
      <w:r>
        <w:rPr>
          <w:szCs w:val="21"/>
        </w:rPr>
        <w:t>120×</w:t>
      </w:r>
      <w:r>
        <w:rPr>
          <w:szCs w:val="21"/>
        </w:rPr>
        <w:t>额定频率／试验频率（</w:t>
      </w:r>
      <w:r>
        <w:rPr>
          <w:rFonts w:hint="eastAsia"/>
          <w:szCs w:val="21"/>
        </w:rPr>
        <w:t>s</w:t>
      </w:r>
      <w:r>
        <w:rPr>
          <w:szCs w:val="21"/>
        </w:rPr>
        <w:t>），但不少于</w:t>
      </w:r>
      <w:r>
        <w:rPr>
          <w:szCs w:val="21"/>
        </w:rPr>
        <w:t xml:space="preserve">15 </w:t>
      </w:r>
      <w:r>
        <w:rPr>
          <w:rFonts w:hint="eastAsia"/>
          <w:szCs w:val="21"/>
        </w:rPr>
        <w:t>s</w:t>
      </w:r>
      <w:r>
        <w:rPr>
          <w:szCs w:val="21"/>
        </w:rPr>
        <w:t>；</w:t>
      </w:r>
    </w:p>
    <w:p w14:paraId="38F05FE8" w14:textId="77777777" w:rsidR="00DC3EA5" w:rsidRDefault="00000000">
      <w:pPr>
        <w:numPr>
          <w:ilvl w:val="0"/>
          <w:numId w:val="43"/>
        </w:numPr>
        <w:rPr>
          <w:szCs w:val="21"/>
        </w:rPr>
      </w:pPr>
      <w:r>
        <w:rPr>
          <w:szCs w:val="21"/>
        </w:rPr>
        <w:t>额定电压在</w:t>
      </w:r>
      <w:r>
        <w:rPr>
          <w:szCs w:val="21"/>
        </w:rPr>
        <w:t>110 kV</w:t>
      </w:r>
      <w:r>
        <w:rPr>
          <w:szCs w:val="21"/>
        </w:rPr>
        <w:t>以下的变压器，线端试验应按</w:t>
      </w:r>
      <w:r>
        <w:rPr>
          <w:szCs w:val="21"/>
        </w:rPr>
        <w:t>GB 50150—2016</w:t>
      </w:r>
      <w:r>
        <w:rPr>
          <w:szCs w:val="21"/>
        </w:rPr>
        <w:t>的有关规定执行；</w:t>
      </w:r>
    </w:p>
    <w:p w14:paraId="789C1282" w14:textId="77777777" w:rsidR="00DC3EA5" w:rsidRDefault="00000000">
      <w:pPr>
        <w:numPr>
          <w:ilvl w:val="0"/>
          <w:numId w:val="43"/>
        </w:numPr>
        <w:rPr>
          <w:szCs w:val="21"/>
        </w:rPr>
      </w:pPr>
      <w:r>
        <w:rPr>
          <w:szCs w:val="21"/>
        </w:rPr>
        <w:t>绕组额定电压为</w:t>
      </w:r>
      <w:r>
        <w:rPr>
          <w:szCs w:val="21"/>
        </w:rPr>
        <w:t>110(66) kV</w:t>
      </w:r>
      <w:r>
        <w:rPr>
          <w:szCs w:val="21"/>
        </w:rPr>
        <w:t>及以上的变压器，其中性点</w:t>
      </w:r>
      <w:r>
        <w:rPr>
          <w:rFonts w:hint="eastAsia"/>
          <w:szCs w:val="21"/>
        </w:rPr>
        <w:t>应</w:t>
      </w:r>
      <w:r>
        <w:rPr>
          <w:szCs w:val="21"/>
        </w:rPr>
        <w:t>进行交流耐压试验，试验耐受电压标准为出厂试验电压值的</w:t>
      </w:r>
      <w:r>
        <w:rPr>
          <w:szCs w:val="21"/>
        </w:rPr>
        <w:t>80%</w:t>
      </w:r>
      <w:r>
        <w:rPr>
          <w:szCs w:val="21"/>
        </w:rPr>
        <w:t>；</w:t>
      </w:r>
    </w:p>
    <w:p w14:paraId="167EED28" w14:textId="77777777" w:rsidR="00DC3EA5" w:rsidRDefault="00000000">
      <w:pPr>
        <w:numPr>
          <w:ilvl w:val="0"/>
          <w:numId w:val="43"/>
        </w:numPr>
        <w:rPr>
          <w:szCs w:val="21"/>
        </w:rPr>
      </w:pPr>
      <w:r>
        <w:rPr>
          <w:szCs w:val="21"/>
        </w:rPr>
        <w:t>对分级绝缘绕组的线端可在现场条件具备时进行。</w:t>
      </w:r>
    </w:p>
    <w:p w14:paraId="1E5CC89D" w14:textId="77777777" w:rsidR="00DC3EA5" w:rsidRDefault="00000000">
      <w:pPr>
        <w:pStyle w:val="a7"/>
        <w:ind w:left="0"/>
        <w:outlineLvl w:val="1"/>
        <w:rPr>
          <w:rFonts w:ascii="Times New Roman"/>
        </w:rPr>
      </w:pPr>
      <w:bookmarkStart w:id="81" w:name="_Toc151477174"/>
      <w:bookmarkStart w:id="82" w:name="_Toc5485"/>
      <w:r>
        <w:rPr>
          <w:rFonts w:ascii="Times New Roman"/>
        </w:rPr>
        <w:t>绕组连同套管的长时感应电压试验带局部放电试验</w:t>
      </w:r>
      <w:bookmarkEnd w:id="81"/>
      <w:bookmarkEnd w:id="82"/>
    </w:p>
    <w:p w14:paraId="6888E189" w14:textId="77777777" w:rsidR="00DC3EA5" w:rsidRDefault="00000000">
      <w:pPr>
        <w:pStyle w:val="affffffff2"/>
        <w:tabs>
          <w:tab w:val="center" w:pos="4201"/>
          <w:tab w:val="right" w:leader="dot" w:pos="9298"/>
        </w:tabs>
        <w:ind w:firstLine="420"/>
        <w:rPr>
          <w:rFonts w:ascii="Times New Roman"/>
        </w:rPr>
      </w:pPr>
      <w:r>
        <w:rPr>
          <w:rFonts w:ascii="Times New Roman"/>
        </w:rPr>
        <w:t>变压器绕组连同套管的长时感应电压试验带局部放电试验，应符合下列规定：</w:t>
      </w:r>
    </w:p>
    <w:p w14:paraId="66412EF1" w14:textId="77777777" w:rsidR="00DC3EA5" w:rsidRDefault="00000000">
      <w:pPr>
        <w:numPr>
          <w:ilvl w:val="0"/>
          <w:numId w:val="44"/>
        </w:numPr>
        <w:rPr>
          <w:szCs w:val="21"/>
        </w:rPr>
      </w:pPr>
      <w:r>
        <w:rPr>
          <w:szCs w:val="21"/>
        </w:rPr>
        <w:t>电压等级</w:t>
      </w:r>
      <w:r>
        <w:rPr>
          <w:szCs w:val="21"/>
        </w:rPr>
        <w:t>110</w:t>
      </w:r>
      <w:r>
        <w:rPr>
          <w:szCs w:val="21"/>
        </w:rPr>
        <w:t>（</w:t>
      </w:r>
      <w:r>
        <w:rPr>
          <w:szCs w:val="21"/>
        </w:rPr>
        <w:t>66</w:t>
      </w:r>
      <w:r>
        <w:rPr>
          <w:szCs w:val="21"/>
        </w:rPr>
        <w:t>）</w:t>
      </w:r>
      <w:r>
        <w:rPr>
          <w:szCs w:val="21"/>
        </w:rPr>
        <w:t xml:space="preserve"> kV</w:t>
      </w:r>
      <w:r>
        <w:rPr>
          <w:szCs w:val="21"/>
        </w:rPr>
        <w:t>及以上的变压器，应进行绕组连同套管的长时感应电压试验带局部放电试验；</w:t>
      </w:r>
    </w:p>
    <w:p w14:paraId="6DB2BC26" w14:textId="77777777" w:rsidR="00DC3EA5" w:rsidRDefault="00000000">
      <w:pPr>
        <w:numPr>
          <w:ilvl w:val="0"/>
          <w:numId w:val="44"/>
        </w:numPr>
        <w:rPr>
          <w:szCs w:val="21"/>
        </w:rPr>
      </w:pPr>
      <w:r>
        <w:rPr>
          <w:szCs w:val="21"/>
        </w:rPr>
        <w:t>电压等级为</w:t>
      </w:r>
      <w:r>
        <w:rPr>
          <w:szCs w:val="21"/>
        </w:rPr>
        <w:t>35 kV</w:t>
      </w:r>
      <w:r>
        <w:rPr>
          <w:szCs w:val="21"/>
        </w:rPr>
        <w:t>的电力变压器，当对绝缘有怀疑时，应进行绕组连同套管的长时感应电压试验带局部放电试验；</w:t>
      </w:r>
    </w:p>
    <w:p w14:paraId="7CE8ED85" w14:textId="77777777" w:rsidR="00DC3EA5" w:rsidRDefault="00000000">
      <w:pPr>
        <w:numPr>
          <w:ilvl w:val="0"/>
          <w:numId w:val="44"/>
        </w:numPr>
        <w:rPr>
          <w:szCs w:val="21"/>
        </w:rPr>
      </w:pPr>
      <w:r>
        <w:rPr>
          <w:szCs w:val="21"/>
        </w:rPr>
        <w:t>局部放电试验方法及判断方法，应按</w:t>
      </w:r>
      <w:r>
        <w:rPr>
          <w:szCs w:val="21"/>
        </w:rPr>
        <w:t>GB/T 1094.3</w:t>
      </w:r>
      <w:r>
        <w:rPr>
          <w:szCs w:val="21"/>
        </w:rPr>
        <w:t>的有关规定执行。</w:t>
      </w:r>
    </w:p>
    <w:p w14:paraId="0EED00EE" w14:textId="77777777" w:rsidR="00DC3EA5" w:rsidRDefault="00000000">
      <w:pPr>
        <w:pStyle w:val="a7"/>
        <w:ind w:left="0"/>
        <w:outlineLvl w:val="1"/>
        <w:rPr>
          <w:rFonts w:ascii="Times New Roman"/>
        </w:rPr>
      </w:pPr>
      <w:bookmarkStart w:id="83" w:name="_Toc15708"/>
      <w:bookmarkStart w:id="84" w:name="_Toc151477175"/>
      <w:r>
        <w:rPr>
          <w:rFonts w:ascii="Times New Roman"/>
        </w:rPr>
        <w:t>额定电压下的冲击合闸试验</w:t>
      </w:r>
      <w:bookmarkEnd w:id="83"/>
      <w:bookmarkEnd w:id="84"/>
    </w:p>
    <w:p w14:paraId="35495672" w14:textId="77777777" w:rsidR="00DC3EA5" w:rsidRDefault="00000000">
      <w:pPr>
        <w:pStyle w:val="affffffff2"/>
        <w:tabs>
          <w:tab w:val="center" w:pos="4201"/>
          <w:tab w:val="right" w:leader="dot" w:pos="9298"/>
        </w:tabs>
        <w:ind w:firstLine="420"/>
        <w:rPr>
          <w:rFonts w:ascii="Times New Roman"/>
        </w:rPr>
      </w:pPr>
      <w:r>
        <w:rPr>
          <w:rFonts w:ascii="Times New Roman"/>
        </w:rPr>
        <w:t>变压器在额定电压下的冲击合闸试验，应符合下列规定：</w:t>
      </w:r>
    </w:p>
    <w:p w14:paraId="59861ECA" w14:textId="77777777" w:rsidR="00DC3EA5" w:rsidRDefault="00000000">
      <w:pPr>
        <w:numPr>
          <w:ilvl w:val="0"/>
          <w:numId w:val="45"/>
        </w:numPr>
        <w:rPr>
          <w:szCs w:val="21"/>
        </w:rPr>
      </w:pPr>
      <w:r>
        <w:rPr>
          <w:szCs w:val="21"/>
        </w:rPr>
        <w:t>在额定电压下对变压器的冲击合闸试验，应进行</w:t>
      </w:r>
      <w:r>
        <w:rPr>
          <w:szCs w:val="21"/>
        </w:rPr>
        <w:t>5</w:t>
      </w:r>
      <w:r>
        <w:rPr>
          <w:szCs w:val="21"/>
        </w:rPr>
        <w:t>次，每次间隔时间宜为</w:t>
      </w:r>
      <w:r>
        <w:rPr>
          <w:szCs w:val="21"/>
        </w:rPr>
        <w:t>5 min</w:t>
      </w:r>
      <w:r>
        <w:rPr>
          <w:szCs w:val="21"/>
        </w:rPr>
        <w:t>，应无异常现象；</w:t>
      </w:r>
    </w:p>
    <w:p w14:paraId="09582140" w14:textId="77777777" w:rsidR="00DC3EA5" w:rsidRDefault="00000000">
      <w:pPr>
        <w:numPr>
          <w:ilvl w:val="0"/>
          <w:numId w:val="45"/>
        </w:numPr>
        <w:rPr>
          <w:szCs w:val="21"/>
        </w:rPr>
      </w:pPr>
      <w:r>
        <w:rPr>
          <w:szCs w:val="21"/>
        </w:rPr>
        <w:t>冲击合闸时，应无异常声响等现象，保护装置不应动作；</w:t>
      </w:r>
    </w:p>
    <w:p w14:paraId="15003D04" w14:textId="77777777" w:rsidR="00DC3EA5" w:rsidRDefault="00000000">
      <w:pPr>
        <w:numPr>
          <w:ilvl w:val="0"/>
          <w:numId w:val="45"/>
        </w:numPr>
        <w:rPr>
          <w:szCs w:val="21"/>
        </w:rPr>
      </w:pPr>
      <w:r>
        <w:rPr>
          <w:szCs w:val="21"/>
        </w:rPr>
        <w:t>冲击合闸前后的油色谱分析结果应无明显差别；</w:t>
      </w:r>
    </w:p>
    <w:p w14:paraId="45316EBC" w14:textId="77777777" w:rsidR="00DC3EA5" w:rsidRDefault="00000000">
      <w:pPr>
        <w:numPr>
          <w:ilvl w:val="0"/>
          <w:numId w:val="45"/>
        </w:numPr>
        <w:rPr>
          <w:szCs w:val="21"/>
        </w:rPr>
      </w:pPr>
      <w:r>
        <w:rPr>
          <w:szCs w:val="21"/>
        </w:rPr>
        <w:t>冲击合闸宜在变压器高压侧进行，对中性点接地的电力系统，试验时变压器中性点必须接地；</w:t>
      </w:r>
    </w:p>
    <w:p w14:paraId="1472098D" w14:textId="77777777" w:rsidR="00DC3EA5" w:rsidRDefault="00000000">
      <w:pPr>
        <w:numPr>
          <w:ilvl w:val="0"/>
          <w:numId w:val="45"/>
        </w:numPr>
        <w:rPr>
          <w:szCs w:val="21"/>
        </w:rPr>
      </w:pPr>
      <w:r>
        <w:rPr>
          <w:szCs w:val="21"/>
        </w:rPr>
        <w:t>发电机变压器组中间连接无操作断开点的变压器，可不进行冲击合闸试验。</w:t>
      </w:r>
    </w:p>
    <w:p w14:paraId="75E5253C" w14:textId="77777777" w:rsidR="00DC3EA5" w:rsidRDefault="00000000">
      <w:pPr>
        <w:pStyle w:val="a7"/>
        <w:ind w:left="0"/>
        <w:outlineLvl w:val="1"/>
        <w:rPr>
          <w:rFonts w:ascii="Times New Roman"/>
        </w:rPr>
      </w:pPr>
      <w:bookmarkStart w:id="85" w:name="_Toc151477176"/>
      <w:bookmarkStart w:id="86" w:name="_Toc27493"/>
      <w:r>
        <w:rPr>
          <w:rFonts w:ascii="Times New Roman"/>
        </w:rPr>
        <w:t>相位检查</w:t>
      </w:r>
      <w:bookmarkEnd w:id="85"/>
      <w:bookmarkEnd w:id="86"/>
    </w:p>
    <w:p w14:paraId="72D265C8" w14:textId="77777777" w:rsidR="00DC3EA5" w:rsidRDefault="00000000">
      <w:pPr>
        <w:pStyle w:val="affffffff2"/>
        <w:tabs>
          <w:tab w:val="center" w:pos="4201"/>
          <w:tab w:val="right" w:leader="dot" w:pos="9298"/>
        </w:tabs>
        <w:ind w:firstLine="420"/>
        <w:rPr>
          <w:rFonts w:ascii="Times New Roman"/>
          <w:szCs w:val="22"/>
        </w:rPr>
      </w:pPr>
      <w:r>
        <w:rPr>
          <w:rFonts w:ascii="Times New Roman"/>
          <w:szCs w:val="22"/>
        </w:rPr>
        <w:t>变压器相位检查，应确保变压器的相位与电网相位一致。</w:t>
      </w:r>
    </w:p>
    <w:p w14:paraId="0C979495" w14:textId="77777777" w:rsidR="00DC3EA5" w:rsidRDefault="00000000">
      <w:pPr>
        <w:pStyle w:val="a7"/>
        <w:ind w:left="0"/>
        <w:outlineLvl w:val="1"/>
        <w:rPr>
          <w:rFonts w:ascii="Times New Roman"/>
        </w:rPr>
      </w:pPr>
      <w:bookmarkStart w:id="87" w:name="_Toc25722"/>
      <w:bookmarkStart w:id="88" w:name="_Toc151477177"/>
      <w:r>
        <w:rPr>
          <w:rFonts w:ascii="Times New Roman"/>
        </w:rPr>
        <w:t>噪声测量</w:t>
      </w:r>
      <w:bookmarkEnd w:id="87"/>
      <w:bookmarkEnd w:id="88"/>
    </w:p>
    <w:p w14:paraId="2E2BD366" w14:textId="77777777" w:rsidR="00DC3EA5" w:rsidRDefault="00000000">
      <w:pPr>
        <w:pStyle w:val="affffffff2"/>
        <w:tabs>
          <w:tab w:val="center" w:pos="4201"/>
          <w:tab w:val="right" w:leader="dot" w:pos="9298"/>
        </w:tabs>
        <w:ind w:firstLine="420"/>
        <w:rPr>
          <w:rFonts w:ascii="Times New Roman"/>
        </w:rPr>
      </w:pPr>
      <w:r>
        <w:rPr>
          <w:rFonts w:ascii="Times New Roman"/>
        </w:rPr>
        <w:t>变压器噪声测量，应符合下列规定：</w:t>
      </w:r>
    </w:p>
    <w:p w14:paraId="6259BD87" w14:textId="77777777" w:rsidR="00DC3EA5" w:rsidRDefault="00000000">
      <w:pPr>
        <w:numPr>
          <w:ilvl w:val="0"/>
          <w:numId w:val="46"/>
        </w:numPr>
        <w:rPr>
          <w:szCs w:val="21"/>
        </w:rPr>
      </w:pPr>
      <w:r>
        <w:rPr>
          <w:szCs w:val="21"/>
        </w:rPr>
        <w:t>应在额定电压及额定频率下测量；</w:t>
      </w:r>
    </w:p>
    <w:p w14:paraId="27C8DD34" w14:textId="77777777" w:rsidR="00DC3EA5" w:rsidRDefault="00000000">
      <w:pPr>
        <w:numPr>
          <w:ilvl w:val="0"/>
          <w:numId w:val="46"/>
        </w:numPr>
        <w:rPr>
          <w:szCs w:val="21"/>
        </w:rPr>
      </w:pPr>
      <w:r>
        <w:rPr>
          <w:szCs w:val="21"/>
        </w:rPr>
        <w:t>测量方法和要求应按</w:t>
      </w:r>
      <w:r>
        <w:rPr>
          <w:szCs w:val="21"/>
        </w:rPr>
        <w:t>GB/T 1094.10</w:t>
      </w:r>
      <w:r>
        <w:rPr>
          <w:szCs w:val="21"/>
        </w:rPr>
        <w:t>的有关规定执行；</w:t>
      </w:r>
    </w:p>
    <w:p w14:paraId="5FDAE2B7" w14:textId="77777777" w:rsidR="00DC3EA5" w:rsidRDefault="00000000">
      <w:pPr>
        <w:numPr>
          <w:ilvl w:val="0"/>
          <w:numId w:val="46"/>
        </w:numPr>
        <w:rPr>
          <w:szCs w:val="21"/>
        </w:rPr>
      </w:pPr>
      <w:r>
        <w:rPr>
          <w:szCs w:val="21"/>
        </w:rPr>
        <w:t>考虑运行现场测量环境的影响，验收可以出厂验收为准；</w:t>
      </w:r>
    </w:p>
    <w:p w14:paraId="6B38639D" w14:textId="77777777" w:rsidR="00DC3EA5" w:rsidRDefault="00000000">
      <w:pPr>
        <w:numPr>
          <w:ilvl w:val="0"/>
          <w:numId w:val="46"/>
        </w:numPr>
        <w:rPr>
          <w:szCs w:val="21"/>
        </w:rPr>
      </w:pPr>
      <w:r>
        <w:rPr>
          <w:szCs w:val="21"/>
        </w:rPr>
        <w:t>对于室内变压器可不进行噪声测量试验。</w:t>
      </w:r>
    </w:p>
    <w:p w14:paraId="6D5275C5" w14:textId="77777777" w:rsidR="00DC3EA5" w:rsidRDefault="00000000">
      <w:pPr>
        <w:pStyle w:val="a7"/>
        <w:ind w:left="0"/>
        <w:outlineLvl w:val="1"/>
        <w:rPr>
          <w:rFonts w:ascii="Times New Roman"/>
        </w:rPr>
      </w:pPr>
      <w:bookmarkStart w:id="89" w:name="_Toc151477178"/>
      <w:bookmarkStart w:id="90" w:name="_Toc20894"/>
      <w:r>
        <w:rPr>
          <w:rFonts w:ascii="Times New Roman"/>
        </w:rPr>
        <w:t>非电量保护装置校验</w:t>
      </w:r>
      <w:bookmarkEnd w:id="89"/>
      <w:bookmarkEnd w:id="90"/>
    </w:p>
    <w:p w14:paraId="0F7CEA99" w14:textId="77777777" w:rsidR="00DC3EA5" w:rsidRDefault="00000000">
      <w:pPr>
        <w:pStyle w:val="affffffff2"/>
        <w:tabs>
          <w:tab w:val="center" w:pos="4201"/>
          <w:tab w:val="right" w:leader="dot" w:pos="9298"/>
        </w:tabs>
        <w:ind w:firstLine="420"/>
        <w:rPr>
          <w:rFonts w:ascii="Times New Roman"/>
        </w:rPr>
      </w:pPr>
      <w:r>
        <w:rPr>
          <w:rFonts w:ascii="Times New Roman"/>
        </w:rPr>
        <w:t>变压器的非电量保护装置校验，应符合下列规定：</w:t>
      </w:r>
    </w:p>
    <w:p w14:paraId="4640B5F1" w14:textId="77777777" w:rsidR="00DC3EA5" w:rsidRDefault="00000000">
      <w:pPr>
        <w:numPr>
          <w:ilvl w:val="0"/>
          <w:numId w:val="47"/>
        </w:numPr>
        <w:rPr>
          <w:szCs w:val="21"/>
        </w:rPr>
      </w:pPr>
      <w:r>
        <w:rPr>
          <w:szCs w:val="21"/>
        </w:rPr>
        <w:t>校验结果应符合产品技术条件的要求；</w:t>
      </w:r>
    </w:p>
    <w:p w14:paraId="3B90A788" w14:textId="77777777" w:rsidR="00DC3EA5" w:rsidRDefault="00000000">
      <w:pPr>
        <w:numPr>
          <w:ilvl w:val="0"/>
          <w:numId w:val="47"/>
        </w:numPr>
        <w:rPr>
          <w:szCs w:val="21"/>
        </w:rPr>
      </w:pPr>
      <w:r>
        <w:rPr>
          <w:szCs w:val="21"/>
        </w:rPr>
        <w:t>校验对象：变压器温度计、气体继电器、压力释放阀等非电量保护装置。</w:t>
      </w:r>
    </w:p>
    <w:p w14:paraId="3777E319" w14:textId="77777777" w:rsidR="00DC3EA5" w:rsidRDefault="00000000">
      <w:pPr>
        <w:pStyle w:val="a7"/>
        <w:ind w:left="0"/>
        <w:outlineLvl w:val="1"/>
        <w:rPr>
          <w:rFonts w:ascii="Times New Roman"/>
        </w:rPr>
      </w:pPr>
      <w:bookmarkStart w:id="91" w:name="_Toc6975"/>
      <w:bookmarkStart w:id="92" w:name="_Toc151477179"/>
      <w:r>
        <w:rPr>
          <w:rFonts w:ascii="Times New Roman"/>
        </w:rPr>
        <w:t>保护及控制回路绝缘电阻测试</w:t>
      </w:r>
      <w:bookmarkEnd w:id="91"/>
      <w:bookmarkEnd w:id="92"/>
    </w:p>
    <w:p w14:paraId="0D5015FE" w14:textId="77777777" w:rsidR="00DC3EA5" w:rsidRDefault="00000000">
      <w:pPr>
        <w:pStyle w:val="affffffff2"/>
        <w:tabs>
          <w:tab w:val="center" w:pos="4201"/>
          <w:tab w:val="right" w:leader="dot" w:pos="9298"/>
        </w:tabs>
        <w:ind w:firstLine="420"/>
        <w:rPr>
          <w:rFonts w:ascii="Times New Roman"/>
        </w:rPr>
      </w:pPr>
      <w:r>
        <w:rPr>
          <w:rFonts w:ascii="Times New Roman"/>
        </w:rPr>
        <w:lastRenderedPageBreak/>
        <w:t>变压器的保护及控制回路绝缘电阻测试，应符合下列规定：</w:t>
      </w:r>
    </w:p>
    <w:p w14:paraId="546877EE" w14:textId="77777777" w:rsidR="00DC3EA5" w:rsidRDefault="00000000">
      <w:pPr>
        <w:numPr>
          <w:ilvl w:val="0"/>
          <w:numId w:val="48"/>
        </w:numPr>
        <w:rPr>
          <w:szCs w:val="21"/>
        </w:rPr>
      </w:pPr>
      <w:r>
        <w:rPr>
          <w:szCs w:val="21"/>
        </w:rPr>
        <w:t>应符合产品技术条件的要求；</w:t>
      </w:r>
    </w:p>
    <w:p w14:paraId="46CDCA50" w14:textId="77777777" w:rsidR="00DC3EA5" w:rsidRDefault="00000000">
      <w:pPr>
        <w:numPr>
          <w:ilvl w:val="0"/>
          <w:numId w:val="48"/>
        </w:numPr>
        <w:rPr>
          <w:szCs w:val="21"/>
        </w:rPr>
      </w:pPr>
      <w:r>
        <w:rPr>
          <w:szCs w:val="21"/>
        </w:rPr>
        <w:t>采用</w:t>
      </w:r>
      <w:r>
        <w:rPr>
          <w:szCs w:val="21"/>
        </w:rPr>
        <w:t>500 V</w:t>
      </w:r>
      <w:r>
        <w:rPr>
          <w:szCs w:val="21"/>
        </w:rPr>
        <w:t>或</w:t>
      </w:r>
      <w:r>
        <w:rPr>
          <w:szCs w:val="21"/>
        </w:rPr>
        <w:t>1000 V</w:t>
      </w:r>
      <w:r>
        <w:rPr>
          <w:szCs w:val="21"/>
        </w:rPr>
        <w:t>兆欧表，绝缘电阻一般不低于</w:t>
      </w:r>
      <w:r>
        <w:rPr>
          <w:szCs w:val="21"/>
        </w:rPr>
        <w:t>1 MΩ</w:t>
      </w:r>
      <w:r>
        <w:rPr>
          <w:szCs w:val="21"/>
        </w:rPr>
        <w:t>；</w:t>
      </w:r>
    </w:p>
    <w:p w14:paraId="5FD74BA2" w14:textId="77777777" w:rsidR="00DC3EA5" w:rsidRDefault="00000000">
      <w:pPr>
        <w:numPr>
          <w:ilvl w:val="0"/>
          <w:numId w:val="48"/>
        </w:numPr>
        <w:rPr>
          <w:szCs w:val="21"/>
        </w:rPr>
      </w:pPr>
      <w:r>
        <w:rPr>
          <w:szCs w:val="21"/>
        </w:rPr>
        <w:t>校验对象：变压器非电量保护装置及冷却系统等保护及控制回路。</w:t>
      </w:r>
    </w:p>
    <w:p w14:paraId="617D6742" w14:textId="77777777" w:rsidR="00DC3EA5" w:rsidRDefault="00000000">
      <w:pPr>
        <w:pStyle w:val="a7"/>
        <w:ind w:left="0"/>
        <w:outlineLvl w:val="1"/>
        <w:rPr>
          <w:rFonts w:ascii="Times New Roman"/>
        </w:rPr>
      </w:pPr>
      <w:bookmarkStart w:id="93" w:name="_Toc151477180"/>
      <w:bookmarkStart w:id="94" w:name="_Toc31908"/>
      <w:r>
        <w:rPr>
          <w:rFonts w:ascii="Times New Roman"/>
        </w:rPr>
        <w:t>套管式电流互感器试验</w:t>
      </w:r>
      <w:bookmarkEnd w:id="93"/>
      <w:bookmarkEnd w:id="94"/>
    </w:p>
    <w:p w14:paraId="22EF2DEA" w14:textId="77777777" w:rsidR="00DC3EA5" w:rsidRDefault="00000000">
      <w:pPr>
        <w:pStyle w:val="af5"/>
        <w:numPr>
          <w:ilvl w:val="0"/>
          <w:numId w:val="0"/>
        </w:numPr>
        <w:ind w:left="420"/>
        <w:rPr>
          <w:rFonts w:ascii="Times New Roman"/>
          <w:kern w:val="2"/>
          <w:szCs w:val="21"/>
        </w:rPr>
      </w:pPr>
      <w:r>
        <w:rPr>
          <w:rFonts w:ascii="Times New Roman"/>
          <w:kern w:val="2"/>
          <w:szCs w:val="21"/>
        </w:rPr>
        <w:t>变压器的套管式电流互感器试验，应按本文件第</w:t>
      </w:r>
      <w:r>
        <w:rPr>
          <w:rFonts w:ascii="Times New Roman"/>
          <w:kern w:val="2"/>
          <w:szCs w:val="21"/>
        </w:rPr>
        <w:t>8</w:t>
      </w:r>
      <w:r>
        <w:rPr>
          <w:rFonts w:ascii="Times New Roman"/>
          <w:kern w:val="2"/>
          <w:szCs w:val="21"/>
        </w:rPr>
        <w:t>章的规定进行。</w:t>
      </w:r>
    </w:p>
    <w:p w14:paraId="4CC122CE" w14:textId="77777777" w:rsidR="00DC3EA5" w:rsidRDefault="00000000">
      <w:pPr>
        <w:pStyle w:val="a6"/>
        <w:outlineLvl w:val="0"/>
        <w:rPr>
          <w:rFonts w:ascii="Times New Roman"/>
        </w:rPr>
      </w:pPr>
      <w:bookmarkStart w:id="95" w:name="_Toc151477181"/>
      <w:bookmarkStart w:id="96" w:name="_Toc2383"/>
      <w:r>
        <w:rPr>
          <w:rFonts w:ascii="Times New Roman"/>
        </w:rPr>
        <w:t>桥臂电抗器</w:t>
      </w:r>
      <w:bookmarkEnd w:id="95"/>
      <w:bookmarkEnd w:id="96"/>
    </w:p>
    <w:p w14:paraId="2861068A" w14:textId="77777777" w:rsidR="00DC3EA5" w:rsidRDefault="00000000">
      <w:pPr>
        <w:pStyle w:val="a7"/>
        <w:ind w:left="0"/>
        <w:outlineLvl w:val="1"/>
        <w:rPr>
          <w:rFonts w:ascii="Times New Roman"/>
        </w:rPr>
      </w:pPr>
      <w:bookmarkStart w:id="97" w:name="_Toc151477182"/>
      <w:bookmarkStart w:id="98" w:name="_Toc19886"/>
      <w:r>
        <w:rPr>
          <w:rFonts w:ascii="Times New Roman"/>
        </w:rPr>
        <w:t>试验项目</w:t>
      </w:r>
      <w:bookmarkEnd w:id="97"/>
      <w:bookmarkEnd w:id="98"/>
    </w:p>
    <w:p w14:paraId="2D449D79" w14:textId="77777777" w:rsidR="00DC3EA5" w:rsidRDefault="00000000">
      <w:pPr>
        <w:ind w:firstLine="420"/>
        <w:rPr>
          <w:szCs w:val="21"/>
        </w:rPr>
      </w:pPr>
      <w:r>
        <w:rPr>
          <w:szCs w:val="21"/>
        </w:rPr>
        <w:t>桥臂电抗器的试验项目，应包括下列内容：</w:t>
      </w:r>
    </w:p>
    <w:p w14:paraId="3C59ED6B" w14:textId="77777777" w:rsidR="00DC3EA5" w:rsidRDefault="00000000">
      <w:pPr>
        <w:numPr>
          <w:ilvl w:val="0"/>
          <w:numId w:val="49"/>
        </w:numPr>
        <w:rPr>
          <w:szCs w:val="21"/>
        </w:rPr>
      </w:pPr>
      <w:r>
        <w:rPr>
          <w:szCs w:val="21"/>
        </w:rPr>
        <w:t>绕组连同套管的直流电阻测量；</w:t>
      </w:r>
    </w:p>
    <w:p w14:paraId="60F60021" w14:textId="77777777" w:rsidR="00DC3EA5" w:rsidRDefault="00000000">
      <w:pPr>
        <w:numPr>
          <w:ilvl w:val="0"/>
          <w:numId w:val="49"/>
        </w:numPr>
        <w:rPr>
          <w:szCs w:val="21"/>
        </w:rPr>
      </w:pPr>
      <w:r>
        <w:rPr>
          <w:szCs w:val="21"/>
        </w:rPr>
        <w:t>电感测量；</w:t>
      </w:r>
    </w:p>
    <w:p w14:paraId="586FDF28" w14:textId="77777777" w:rsidR="00DC3EA5" w:rsidRDefault="00000000">
      <w:pPr>
        <w:numPr>
          <w:ilvl w:val="0"/>
          <w:numId w:val="49"/>
        </w:numPr>
        <w:rPr>
          <w:szCs w:val="21"/>
        </w:rPr>
      </w:pPr>
      <w:r>
        <w:rPr>
          <w:szCs w:val="21"/>
        </w:rPr>
        <w:t>绕组连同套管的绝缘电阻、吸收比或极化指数测量；</w:t>
      </w:r>
    </w:p>
    <w:p w14:paraId="56D0F452" w14:textId="77777777" w:rsidR="00DC3EA5" w:rsidRDefault="00000000">
      <w:pPr>
        <w:numPr>
          <w:ilvl w:val="0"/>
          <w:numId w:val="49"/>
        </w:numPr>
        <w:rPr>
          <w:szCs w:val="21"/>
        </w:rPr>
      </w:pPr>
      <w:r>
        <w:rPr>
          <w:szCs w:val="21"/>
        </w:rPr>
        <w:t>绕组连同套管的交流耐压试验。</w:t>
      </w:r>
    </w:p>
    <w:p w14:paraId="2939D21F" w14:textId="77777777" w:rsidR="00DC3EA5" w:rsidRDefault="00000000">
      <w:pPr>
        <w:pStyle w:val="a7"/>
        <w:ind w:left="0"/>
        <w:outlineLvl w:val="1"/>
        <w:rPr>
          <w:rFonts w:ascii="Times New Roman"/>
        </w:rPr>
      </w:pPr>
      <w:bookmarkStart w:id="99" w:name="_Toc2719"/>
      <w:bookmarkStart w:id="100" w:name="_Toc151477183"/>
      <w:r>
        <w:rPr>
          <w:rFonts w:ascii="Times New Roman"/>
        </w:rPr>
        <w:t>绕组连同套管的直流电阻测量</w:t>
      </w:r>
      <w:bookmarkEnd w:id="99"/>
      <w:bookmarkEnd w:id="100"/>
    </w:p>
    <w:p w14:paraId="2A3EAB0E" w14:textId="77777777" w:rsidR="00DC3EA5" w:rsidRDefault="00000000">
      <w:pPr>
        <w:pStyle w:val="affffffff2"/>
        <w:tabs>
          <w:tab w:val="center" w:pos="4201"/>
          <w:tab w:val="right" w:leader="dot" w:pos="9298"/>
        </w:tabs>
        <w:ind w:firstLine="420"/>
        <w:rPr>
          <w:rFonts w:ascii="Times New Roman"/>
        </w:rPr>
      </w:pPr>
      <w:bookmarkStart w:id="101" w:name="OLE_LINK1"/>
      <w:r>
        <w:rPr>
          <w:rFonts w:ascii="Times New Roman"/>
        </w:rPr>
        <w:t>桥臂</w:t>
      </w:r>
      <w:bookmarkEnd w:id="101"/>
      <w:r>
        <w:rPr>
          <w:rFonts w:ascii="Times New Roman"/>
        </w:rPr>
        <w:t>电抗器绕组连同套管的直流电阻测量，应符合下列规定：</w:t>
      </w:r>
    </w:p>
    <w:p w14:paraId="41350FFA" w14:textId="77777777" w:rsidR="00DC3EA5" w:rsidRDefault="00000000">
      <w:pPr>
        <w:numPr>
          <w:ilvl w:val="0"/>
          <w:numId w:val="50"/>
        </w:numPr>
        <w:rPr>
          <w:szCs w:val="21"/>
        </w:rPr>
      </w:pPr>
      <w:r>
        <w:rPr>
          <w:szCs w:val="21"/>
        </w:rPr>
        <w:t>实测值与出厂值的变化规律应一致；</w:t>
      </w:r>
    </w:p>
    <w:p w14:paraId="2BB2C622" w14:textId="77777777" w:rsidR="00DC3EA5" w:rsidRDefault="00000000">
      <w:pPr>
        <w:numPr>
          <w:ilvl w:val="0"/>
          <w:numId w:val="50"/>
        </w:numPr>
        <w:rPr>
          <w:szCs w:val="21"/>
        </w:rPr>
      </w:pPr>
      <w:r>
        <w:rPr>
          <w:szCs w:val="21"/>
        </w:rPr>
        <w:t>三相</w:t>
      </w:r>
      <w:r>
        <w:t>桥臂</w:t>
      </w:r>
      <w:r>
        <w:rPr>
          <w:szCs w:val="21"/>
        </w:rPr>
        <w:t>电抗器绕组直流电阻值相互间差值不应大于三相平均值的</w:t>
      </w:r>
      <w:r>
        <w:rPr>
          <w:szCs w:val="21"/>
        </w:rPr>
        <w:t>2%</w:t>
      </w:r>
      <w:r>
        <w:rPr>
          <w:szCs w:val="21"/>
        </w:rPr>
        <w:t>，对于立式布置的干式空芯桥臂电抗器绕组直流电阻值，可不进行三相间的比较；</w:t>
      </w:r>
    </w:p>
    <w:p w14:paraId="0467D7CD" w14:textId="77777777" w:rsidR="00DC3EA5" w:rsidRDefault="00000000">
      <w:pPr>
        <w:numPr>
          <w:ilvl w:val="0"/>
          <w:numId w:val="50"/>
        </w:numPr>
        <w:rPr>
          <w:szCs w:val="21"/>
        </w:rPr>
      </w:pPr>
      <w:r>
        <w:t>桥臂</w:t>
      </w:r>
      <w:r>
        <w:rPr>
          <w:szCs w:val="21"/>
        </w:rPr>
        <w:t>电抗器直流电阻，与同温下产品出厂值比较相应变化不应大于</w:t>
      </w:r>
      <w:r>
        <w:rPr>
          <w:szCs w:val="21"/>
        </w:rPr>
        <w:t>2%</w:t>
      </w:r>
      <w:r>
        <w:rPr>
          <w:szCs w:val="21"/>
        </w:rPr>
        <w:t>。</w:t>
      </w:r>
    </w:p>
    <w:p w14:paraId="1ECE97F6" w14:textId="77777777" w:rsidR="00DC3EA5" w:rsidRDefault="00000000">
      <w:pPr>
        <w:pStyle w:val="a7"/>
        <w:ind w:left="0"/>
        <w:outlineLvl w:val="1"/>
        <w:rPr>
          <w:rFonts w:ascii="Times New Roman"/>
        </w:rPr>
      </w:pPr>
      <w:bookmarkStart w:id="102" w:name="_Toc6673"/>
      <w:bookmarkStart w:id="103" w:name="_Toc151477184"/>
      <w:r>
        <w:rPr>
          <w:rFonts w:ascii="Times New Roman"/>
        </w:rPr>
        <w:t>电感测量</w:t>
      </w:r>
      <w:bookmarkEnd w:id="102"/>
      <w:bookmarkEnd w:id="103"/>
    </w:p>
    <w:p w14:paraId="76A86C97" w14:textId="77777777" w:rsidR="00DC3EA5" w:rsidRDefault="00000000">
      <w:pPr>
        <w:pStyle w:val="affffffff2"/>
        <w:tabs>
          <w:tab w:val="center" w:pos="4201"/>
          <w:tab w:val="right" w:leader="dot" w:pos="9298"/>
        </w:tabs>
        <w:ind w:firstLine="420"/>
        <w:rPr>
          <w:rFonts w:ascii="Times New Roman"/>
        </w:rPr>
      </w:pPr>
      <w:r>
        <w:rPr>
          <w:rFonts w:ascii="Times New Roman"/>
        </w:rPr>
        <w:t>桥臂电抗器的电感测量，应符合下列规定：</w:t>
      </w:r>
    </w:p>
    <w:p w14:paraId="365ACDD9" w14:textId="77777777" w:rsidR="00DC3EA5" w:rsidRDefault="00000000">
      <w:pPr>
        <w:numPr>
          <w:ilvl w:val="0"/>
          <w:numId w:val="51"/>
        </w:numPr>
        <w:rPr>
          <w:szCs w:val="21"/>
        </w:rPr>
      </w:pPr>
      <w:r>
        <w:rPr>
          <w:szCs w:val="21"/>
        </w:rPr>
        <w:t>实测值与出厂值的变化规律应一致；</w:t>
      </w:r>
    </w:p>
    <w:p w14:paraId="5497D460" w14:textId="77777777" w:rsidR="00DC3EA5" w:rsidRDefault="00000000">
      <w:pPr>
        <w:numPr>
          <w:ilvl w:val="0"/>
          <w:numId w:val="51"/>
        </w:numPr>
        <w:rPr>
          <w:szCs w:val="21"/>
        </w:rPr>
      </w:pPr>
      <w:r>
        <w:rPr>
          <w:szCs w:val="21"/>
        </w:rPr>
        <w:t>桥臂电抗器的电感测量值，与出厂试验值的偏差应不超过</w:t>
      </w:r>
      <w:r>
        <w:rPr>
          <w:szCs w:val="21"/>
        </w:rPr>
        <w:t>±3%</w:t>
      </w:r>
      <w:r>
        <w:rPr>
          <w:szCs w:val="21"/>
        </w:rPr>
        <w:t>。</w:t>
      </w:r>
    </w:p>
    <w:p w14:paraId="5FBB38D8" w14:textId="77777777" w:rsidR="00DC3EA5" w:rsidRDefault="00000000">
      <w:pPr>
        <w:pStyle w:val="a7"/>
        <w:ind w:left="0"/>
        <w:outlineLvl w:val="1"/>
        <w:rPr>
          <w:rFonts w:ascii="Times New Roman"/>
        </w:rPr>
      </w:pPr>
      <w:bookmarkStart w:id="104" w:name="_Toc11165"/>
      <w:bookmarkStart w:id="105" w:name="_Toc151477185"/>
      <w:r>
        <w:rPr>
          <w:rFonts w:ascii="Times New Roman"/>
        </w:rPr>
        <w:t>绕组连同套管的绝缘电阻、吸收比或极化指数测量</w:t>
      </w:r>
      <w:bookmarkEnd w:id="104"/>
      <w:bookmarkEnd w:id="105"/>
    </w:p>
    <w:p w14:paraId="2C80ABBC" w14:textId="77777777" w:rsidR="00DC3EA5" w:rsidRDefault="00000000">
      <w:pPr>
        <w:pStyle w:val="affffffff2"/>
        <w:tabs>
          <w:tab w:val="center" w:pos="4201"/>
          <w:tab w:val="right" w:leader="dot" w:pos="9298"/>
        </w:tabs>
        <w:ind w:firstLine="420"/>
        <w:rPr>
          <w:rFonts w:ascii="Times New Roman"/>
        </w:rPr>
      </w:pPr>
      <w:r>
        <w:rPr>
          <w:rFonts w:ascii="Times New Roman"/>
        </w:rPr>
        <w:t>桥臂电抗器的测量绕组连同套管的绝缘电阻、吸收比或极化指数测量，应按本文件</w:t>
      </w:r>
      <w:r>
        <w:rPr>
          <w:rFonts w:ascii="Times New Roman"/>
        </w:rPr>
        <w:t>5.9</w:t>
      </w:r>
      <w:r>
        <w:rPr>
          <w:rFonts w:ascii="Times New Roman"/>
        </w:rPr>
        <w:t>的规定进行。</w:t>
      </w:r>
    </w:p>
    <w:p w14:paraId="5F490909" w14:textId="77777777" w:rsidR="00DC3EA5" w:rsidRDefault="00000000">
      <w:pPr>
        <w:pStyle w:val="a7"/>
        <w:ind w:left="0"/>
        <w:outlineLvl w:val="1"/>
        <w:rPr>
          <w:rFonts w:ascii="Times New Roman"/>
        </w:rPr>
      </w:pPr>
      <w:bookmarkStart w:id="106" w:name="_Toc151477186"/>
      <w:bookmarkStart w:id="107" w:name="_Toc16197"/>
      <w:r>
        <w:rPr>
          <w:rFonts w:ascii="Times New Roman"/>
        </w:rPr>
        <w:t>绕组连同套管的交流耐压试验</w:t>
      </w:r>
      <w:bookmarkEnd w:id="106"/>
      <w:bookmarkEnd w:id="107"/>
    </w:p>
    <w:p w14:paraId="0FEC91E3" w14:textId="77777777" w:rsidR="00DC3EA5" w:rsidRDefault="00000000">
      <w:pPr>
        <w:pStyle w:val="21"/>
        <w:numPr>
          <w:ilvl w:val="1"/>
          <w:numId w:val="0"/>
        </w:numPr>
        <w:spacing w:afterLines="0" w:after="0"/>
        <w:ind w:firstLineChars="200" w:firstLine="420"/>
        <w:outlineLvl w:val="9"/>
        <w:rPr>
          <w:rFonts w:ascii="Times New Roman"/>
          <w:color w:val="000000"/>
        </w:rPr>
      </w:pPr>
      <w:bookmarkStart w:id="108" w:name="_Toc21400"/>
      <w:r>
        <w:rPr>
          <w:rFonts w:ascii="Times New Roman" w:eastAsia="宋体"/>
          <w:color w:val="000000"/>
        </w:rPr>
        <w:t>桥臂电抗器的绕组连同套管的交流耐压试验，应符合下列规定：</w:t>
      </w:r>
      <w:bookmarkEnd w:id="108"/>
    </w:p>
    <w:p w14:paraId="01A56F5C" w14:textId="77777777" w:rsidR="00DC3EA5" w:rsidRDefault="00000000">
      <w:pPr>
        <w:numPr>
          <w:ilvl w:val="0"/>
          <w:numId w:val="52"/>
        </w:numPr>
        <w:rPr>
          <w:szCs w:val="21"/>
        </w:rPr>
      </w:pPr>
      <w:r>
        <w:rPr>
          <w:szCs w:val="21"/>
        </w:rPr>
        <w:t>无闪络及击穿现象；</w:t>
      </w:r>
    </w:p>
    <w:p w14:paraId="42ADD13F" w14:textId="77777777" w:rsidR="00DC3EA5" w:rsidRDefault="00000000">
      <w:pPr>
        <w:numPr>
          <w:ilvl w:val="0"/>
          <w:numId w:val="52"/>
        </w:numPr>
        <w:rPr>
          <w:szCs w:val="21"/>
        </w:rPr>
      </w:pPr>
      <w:r>
        <w:rPr>
          <w:szCs w:val="21"/>
        </w:rPr>
        <w:t>试验电压为出厂试验电压的</w:t>
      </w:r>
      <w:r>
        <w:rPr>
          <w:szCs w:val="21"/>
        </w:rPr>
        <w:t>80%</w:t>
      </w:r>
      <w:r>
        <w:rPr>
          <w:szCs w:val="21"/>
        </w:rPr>
        <w:t>，持续时间不小于</w:t>
      </w:r>
      <w:r>
        <w:rPr>
          <w:szCs w:val="21"/>
        </w:rPr>
        <w:t>60 s</w:t>
      </w:r>
      <w:r>
        <w:rPr>
          <w:szCs w:val="21"/>
        </w:rPr>
        <w:t>。</w:t>
      </w:r>
    </w:p>
    <w:p w14:paraId="214139E7" w14:textId="77777777" w:rsidR="00DC3EA5" w:rsidRDefault="00000000">
      <w:pPr>
        <w:pStyle w:val="a6"/>
        <w:outlineLvl w:val="0"/>
        <w:rPr>
          <w:rFonts w:ascii="Times New Roman"/>
        </w:rPr>
      </w:pPr>
      <w:bookmarkStart w:id="109" w:name="_Toc151477187"/>
      <w:bookmarkStart w:id="110" w:name="_Toc28716"/>
      <w:r>
        <w:rPr>
          <w:rFonts w:ascii="Times New Roman"/>
        </w:rPr>
        <w:t>电压互感器</w:t>
      </w:r>
      <w:bookmarkEnd w:id="109"/>
      <w:bookmarkEnd w:id="110"/>
    </w:p>
    <w:p w14:paraId="5E5713F4" w14:textId="77777777" w:rsidR="00DC3EA5" w:rsidRDefault="00000000">
      <w:pPr>
        <w:pStyle w:val="a7"/>
        <w:ind w:left="0"/>
        <w:outlineLvl w:val="1"/>
        <w:rPr>
          <w:rFonts w:ascii="Times New Roman"/>
        </w:rPr>
      </w:pPr>
      <w:bookmarkStart w:id="111" w:name="_Toc30582"/>
      <w:bookmarkStart w:id="112" w:name="_Toc151477188"/>
      <w:r>
        <w:rPr>
          <w:rFonts w:ascii="Times New Roman"/>
        </w:rPr>
        <w:t>试验项目</w:t>
      </w:r>
      <w:bookmarkEnd w:id="111"/>
      <w:bookmarkEnd w:id="112"/>
    </w:p>
    <w:p w14:paraId="4DA56AF4" w14:textId="77777777" w:rsidR="00DC3EA5" w:rsidRDefault="00000000">
      <w:pPr>
        <w:ind w:firstLine="420"/>
        <w:rPr>
          <w:szCs w:val="21"/>
        </w:rPr>
      </w:pPr>
      <w:r>
        <w:rPr>
          <w:szCs w:val="21"/>
        </w:rPr>
        <w:t>电压互感器的试验项目，应包括下列内容：</w:t>
      </w:r>
    </w:p>
    <w:p w14:paraId="5E050162" w14:textId="77777777" w:rsidR="00DC3EA5" w:rsidRDefault="00000000">
      <w:pPr>
        <w:numPr>
          <w:ilvl w:val="0"/>
          <w:numId w:val="53"/>
        </w:numPr>
        <w:rPr>
          <w:szCs w:val="21"/>
        </w:rPr>
      </w:pPr>
      <w:r>
        <w:rPr>
          <w:szCs w:val="21"/>
        </w:rPr>
        <w:t>绝缘电阻测量；</w:t>
      </w:r>
    </w:p>
    <w:p w14:paraId="0112F847" w14:textId="77777777" w:rsidR="00DC3EA5" w:rsidRDefault="00000000">
      <w:pPr>
        <w:numPr>
          <w:ilvl w:val="0"/>
          <w:numId w:val="53"/>
        </w:numPr>
        <w:rPr>
          <w:szCs w:val="21"/>
        </w:rPr>
      </w:pPr>
      <w:r>
        <w:rPr>
          <w:szCs w:val="21"/>
        </w:rPr>
        <w:lastRenderedPageBreak/>
        <w:t>局部放电试验；</w:t>
      </w:r>
    </w:p>
    <w:p w14:paraId="4FCB6FF1" w14:textId="77777777" w:rsidR="00DC3EA5" w:rsidRDefault="00000000">
      <w:pPr>
        <w:numPr>
          <w:ilvl w:val="0"/>
          <w:numId w:val="53"/>
        </w:numPr>
        <w:rPr>
          <w:szCs w:val="21"/>
        </w:rPr>
      </w:pPr>
      <w:r>
        <w:rPr>
          <w:szCs w:val="21"/>
        </w:rPr>
        <w:t>交流耐压试验；</w:t>
      </w:r>
    </w:p>
    <w:p w14:paraId="4A925A93" w14:textId="77777777" w:rsidR="00DC3EA5" w:rsidRDefault="00000000">
      <w:pPr>
        <w:numPr>
          <w:ilvl w:val="0"/>
          <w:numId w:val="53"/>
        </w:numPr>
        <w:rPr>
          <w:szCs w:val="21"/>
        </w:rPr>
      </w:pPr>
      <w:r>
        <w:rPr>
          <w:szCs w:val="21"/>
        </w:rPr>
        <w:t>绝缘介质性能试验；</w:t>
      </w:r>
    </w:p>
    <w:p w14:paraId="6BA99F87" w14:textId="77777777" w:rsidR="00DC3EA5" w:rsidRDefault="00000000">
      <w:pPr>
        <w:numPr>
          <w:ilvl w:val="0"/>
          <w:numId w:val="53"/>
        </w:numPr>
        <w:rPr>
          <w:szCs w:val="21"/>
        </w:rPr>
      </w:pPr>
      <w:r>
        <w:rPr>
          <w:szCs w:val="21"/>
        </w:rPr>
        <w:t>绕组的直流电阻测量；</w:t>
      </w:r>
    </w:p>
    <w:p w14:paraId="6559EDFC" w14:textId="77777777" w:rsidR="00DC3EA5" w:rsidRDefault="00000000">
      <w:pPr>
        <w:numPr>
          <w:ilvl w:val="0"/>
          <w:numId w:val="53"/>
        </w:numPr>
        <w:rPr>
          <w:szCs w:val="21"/>
        </w:rPr>
      </w:pPr>
      <w:r>
        <w:rPr>
          <w:szCs w:val="21"/>
        </w:rPr>
        <w:t>接线绕组组别和极性检查；</w:t>
      </w:r>
    </w:p>
    <w:p w14:paraId="460BC4C6" w14:textId="77777777" w:rsidR="00DC3EA5" w:rsidRDefault="00000000">
      <w:pPr>
        <w:numPr>
          <w:ilvl w:val="0"/>
          <w:numId w:val="53"/>
        </w:numPr>
        <w:rPr>
          <w:szCs w:val="21"/>
        </w:rPr>
      </w:pPr>
      <w:r>
        <w:rPr>
          <w:szCs w:val="21"/>
        </w:rPr>
        <w:t>误差及变比测量；</w:t>
      </w:r>
    </w:p>
    <w:p w14:paraId="4C88ACCE" w14:textId="77777777" w:rsidR="00DC3EA5" w:rsidRDefault="00000000">
      <w:pPr>
        <w:numPr>
          <w:ilvl w:val="0"/>
          <w:numId w:val="53"/>
        </w:numPr>
        <w:rPr>
          <w:szCs w:val="21"/>
        </w:rPr>
      </w:pPr>
      <w:r>
        <w:rPr>
          <w:szCs w:val="21"/>
        </w:rPr>
        <w:t>励磁特性测量；</w:t>
      </w:r>
    </w:p>
    <w:p w14:paraId="325A429D" w14:textId="77777777" w:rsidR="00DC3EA5" w:rsidRDefault="00000000">
      <w:pPr>
        <w:numPr>
          <w:ilvl w:val="0"/>
          <w:numId w:val="53"/>
        </w:numPr>
        <w:rPr>
          <w:szCs w:val="21"/>
        </w:rPr>
      </w:pPr>
      <w:r>
        <w:rPr>
          <w:szCs w:val="21"/>
        </w:rPr>
        <w:t>密封性能检查。</w:t>
      </w:r>
    </w:p>
    <w:p w14:paraId="4BBA4A77" w14:textId="77777777" w:rsidR="00DC3EA5" w:rsidRDefault="00000000">
      <w:pPr>
        <w:pStyle w:val="a7"/>
        <w:ind w:left="0"/>
        <w:outlineLvl w:val="1"/>
        <w:rPr>
          <w:rFonts w:ascii="Times New Roman"/>
        </w:rPr>
      </w:pPr>
      <w:bookmarkStart w:id="113" w:name="_Toc151477189"/>
      <w:bookmarkStart w:id="114" w:name="_Toc19834"/>
      <w:r>
        <w:rPr>
          <w:rFonts w:ascii="Times New Roman"/>
        </w:rPr>
        <w:t>绝缘电阻测量</w:t>
      </w:r>
      <w:bookmarkEnd w:id="113"/>
      <w:bookmarkEnd w:id="114"/>
    </w:p>
    <w:p w14:paraId="44C7915F" w14:textId="77777777" w:rsidR="00DC3EA5" w:rsidRDefault="00000000">
      <w:pPr>
        <w:pStyle w:val="21"/>
        <w:numPr>
          <w:ilvl w:val="1"/>
          <w:numId w:val="0"/>
        </w:numPr>
        <w:spacing w:afterLines="0" w:after="0"/>
        <w:ind w:firstLineChars="200" w:firstLine="420"/>
        <w:outlineLvl w:val="9"/>
        <w:rPr>
          <w:rFonts w:ascii="Times New Roman"/>
          <w:color w:val="000000"/>
        </w:rPr>
      </w:pPr>
      <w:bookmarkStart w:id="115" w:name="_Toc16114"/>
      <w:r>
        <w:rPr>
          <w:rFonts w:ascii="Times New Roman" w:eastAsia="宋体"/>
          <w:color w:val="000000"/>
        </w:rPr>
        <w:t>电压互感器的绝缘电阻测量，应符合下列规定：</w:t>
      </w:r>
      <w:bookmarkEnd w:id="115"/>
    </w:p>
    <w:p w14:paraId="3720B0B2" w14:textId="77777777" w:rsidR="00DC3EA5" w:rsidRDefault="00000000">
      <w:pPr>
        <w:numPr>
          <w:ilvl w:val="0"/>
          <w:numId w:val="54"/>
        </w:numPr>
        <w:rPr>
          <w:szCs w:val="21"/>
        </w:rPr>
      </w:pPr>
      <w:r>
        <w:rPr>
          <w:szCs w:val="21"/>
        </w:rPr>
        <w:t>绝缘电阻测量采用</w:t>
      </w:r>
      <w:r>
        <w:rPr>
          <w:szCs w:val="21"/>
        </w:rPr>
        <w:t>2500 V</w:t>
      </w:r>
      <w:r>
        <w:rPr>
          <w:szCs w:val="21"/>
        </w:rPr>
        <w:t>兆欧表；</w:t>
      </w:r>
    </w:p>
    <w:p w14:paraId="7C276591" w14:textId="77777777" w:rsidR="00DC3EA5" w:rsidRDefault="00000000">
      <w:pPr>
        <w:numPr>
          <w:ilvl w:val="0"/>
          <w:numId w:val="54"/>
        </w:numPr>
        <w:rPr>
          <w:szCs w:val="21"/>
        </w:rPr>
      </w:pPr>
      <w:r>
        <w:rPr>
          <w:szCs w:val="21"/>
        </w:rPr>
        <w:t>测量时非被试绕组（或末屏）、外壳应接地；</w:t>
      </w:r>
    </w:p>
    <w:p w14:paraId="0E7061C4" w14:textId="77777777" w:rsidR="00DC3EA5" w:rsidRDefault="00000000">
      <w:pPr>
        <w:numPr>
          <w:ilvl w:val="0"/>
          <w:numId w:val="54"/>
        </w:numPr>
        <w:rPr>
          <w:szCs w:val="21"/>
        </w:rPr>
      </w:pPr>
      <w:r>
        <w:rPr>
          <w:szCs w:val="21"/>
        </w:rPr>
        <w:t>一次绕组对二次绕组及外壳的绝缘电阻不宜小于</w:t>
      </w:r>
      <w:r>
        <w:rPr>
          <w:szCs w:val="21"/>
        </w:rPr>
        <w:t>1000 MΩ</w:t>
      </w:r>
      <w:r>
        <w:rPr>
          <w:szCs w:val="21"/>
        </w:rPr>
        <w:t>，各二次绕组间及其对外壳的绝缘电阻不宜小于</w:t>
      </w:r>
      <w:r>
        <w:rPr>
          <w:szCs w:val="21"/>
        </w:rPr>
        <w:t>1000 MΩ</w:t>
      </w:r>
      <w:r>
        <w:rPr>
          <w:szCs w:val="21"/>
        </w:rPr>
        <w:t>；</w:t>
      </w:r>
    </w:p>
    <w:p w14:paraId="086359DF" w14:textId="77777777" w:rsidR="00DC3EA5" w:rsidRDefault="00000000">
      <w:pPr>
        <w:numPr>
          <w:ilvl w:val="0"/>
          <w:numId w:val="54"/>
        </w:numPr>
        <w:rPr>
          <w:szCs w:val="21"/>
        </w:rPr>
      </w:pPr>
      <w:r>
        <w:rPr>
          <w:szCs w:val="21"/>
        </w:rPr>
        <w:t>电压互感器接地端</w:t>
      </w:r>
      <w:r>
        <w:rPr>
          <w:szCs w:val="21"/>
        </w:rPr>
        <w:t>(N)</w:t>
      </w:r>
      <w:r>
        <w:rPr>
          <w:szCs w:val="21"/>
        </w:rPr>
        <w:t>对外壳</w:t>
      </w:r>
      <w:r>
        <w:rPr>
          <w:szCs w:val="21"/>
        </w:rPr>
        <w:t>(</w:t>
      </w:r>
      <w:r>
        <w:rPr>
          <w:szCs w:val="21"/>
        </w:rPr>
        <w:t>地</w:t>
      </w:r>
      <w:r>
        <w:rPr>
          <w:szCs w:val="21"/>
        </w:rPr>
        <w:t>)</w:t>
      </w:r>
      <w:r>
        <w:rPr>
          <w:szCs w:val="21"/>
        </w:rPr>
        <w:t>的绝缘电阻，绝缘电阻值不宜小于</w:t>
      </w:r>
      <w:r>
        <w:rPr>
          <w:szCs w:val="21"/>
        </w:rPr>
        <w:t>1000 MΩ</w:t>
      </w:r>
      <w:r>
        <w:rPr>
          <w:szCs w:val="21"/>
        </w:rPr>
        <w:t>。</w:t>
      </w:r>
    </w:p>
    <w:p w14:paraId="667B864B" w14:textId="77777777" w:rsidR="00DC3EA5" w:rsidRDefault="00000000">
      <w:pPr>
        <w:pStyle w:val="a7"/>
        <w:ind w:left="0"/>
        <w:outlineLvl w:val="1"/>
        <w:rPr>
          <w:rFonts w:ascii="Times New Roman"/>
        </w:rPr>
      </w:pPr>
      <w:bookmarkStart w:id="116" w:name="_Toc10863"/>
      <w:bookmarkStart w:id="117" w:name="_Toc151477190"/>
      <w:r>
        <w:rPr>
          <w:rFonts w:ascii="Times New Roman"/>
        </w:rPr>
        <w:t>局部放电试验</w:t>
      </w:r>
      <w:bookmarkEnd w:id="116"/>
      <w:bookmarkEnd w:id="117"/>
    </w:p>
    <w:p w14:paraId="2BDBD39F" w14:textId="77777777" w:rsidR="00DC3EA5" w:rsidRDefault="00000000">
      <w:pPr>
        <w:pStyle w:val="affffffff2"/>
        <w:tabs>
          <w:tab w:val="center" w:pos="4201"/>
          <w:tab w:val="right" w:leader="dot" w:pos="9298"/>
        </w:tabs>
        <w:ind w:firstLine="420"/>
        <w:rPr>
          <w:rFonts w:ascii="Times New Roman"/>
        </w:rPr>
      </w:pPr>
      <w:r>
        <w:rPr>
          <w:rFonts w:ascii="Times New Roman"/>
        </w:rPr>
        <w:t>电压互感器的局部放电测量，应符合下列规定：</w:t>
      </w:r>
    </w:p>
    <w:p w14:paraId="2B525594" w14:textId="77777777" w:rsidR="00DC3EA5" w:rsidRDefault="00000000">
      <w:pPr>
        <w:numPr>
          <w:ilvl w:val="0"/>
          <w:numId w:val="55"/>
        </w:numPr>
        <w:rPr>
          <w:szCs w:val="21"/>
        </w:rPr>
      </w:pPr>
      <w:r>
        <w:rPr>
          <w:szCs w:val="21"/>
        </w:rPr>
        <w:t>交流耐压试验的同时进行局部放电检测；</w:t>
      </w:r>
    </w:p>
    <w:p w14:paraId="10A9C7F0" w14:textId="77777777" w:rsidR="00DC3EA5" w:rsidRDefault="00000000">
      <w:pPr>
        <w:numPr>
          <w:ilvl w:val="0"/>
          <w:numId w:val="55"/>
        </w:numPr>
        <w:rPr>
          <w:szCs w:val="21"/>
        </w:rPr>
      </w:pPr>
      <w:r>
        <w:rPr>
          <w:szCs w:val="21"/>
        </w:rPr>
        <w:t>电压等级为</w:t>
      </w:r>
      <w:r>
        <w:rPr>
          <w:szCs w:val="21"/>
        </w:rPr>
        <w:t>10 kV</w:t>
      </w:r>
      <w:r>
        <w:rPr>
          <w:szCs w:val="21"/>
        </w:rPr>
        <w:t>～</w:t>
      </w:r>
      <w:r>
        <w:rPr>
          <w:szCs w:val="21"/>
        </w:rPr>
        <w:t>110 kV</w:t>
      </w:r>
      <w:r>
        <w:rPr>
          <w:szCs w:val="21"/>
        </w:rPr>
        <w:t>电压互感器的局部放电测量可按</w:t>
      </w:r>
      <w:r>
        <w:rPr>
          <w:szCs w:val="21"/>
        </w:rPr>
        <w:t>10%</w:t>
      </w:r>
      <w:r>
        <w:rPr>
          <w:szCs w:val="21"/>
        </w:rPr>
        <w:t>进行抽测，抽测数量</w:t>
      </w:r>
      <w:r>
        <w:rPr>
          <w:lang w:val="en-GB"/>
        </w:rPr>
        <w:t>则应按不小于供货电压互感器数量立方根的最小整数；</w:t>
      </w:r>
    </w:p>
    <w:p w14:paraId="5C680C5D" w14:textId="77777777" w:rsidR="00DC3EA5" w:rsidRDefault="00000000">
      <w:pPr>
        <w:numPr>
          <w:ilvl w:val="0"/>
          <w:numId w:val="55"/>
        </w:numPr>
        <w:rPr>
          <w:szCs w:val="21"/>
        </w:rPr>
      </w:pPr>
      <w:r>
        <w:rPr>
          <w:szCs w:val="21"/>
        </w:rPr>
        <w:t>电压等级</w:t>
      </w:r>
      <w:r>
        <w:rPr>
          <w:szCs w:val="21"/>
        </w:rPr>
        <w:t>220 kV</w:t>
      </w:r>
      <w:r>
        <w:rPr>
          <w:szCs w:val="21"/>
        </w:rPr>
        <w:t>电压互感器在绝缘性能存在怀疑时宜进行局部放电测量；</w:t>
      </w:r>
    </w:p>
    <w:p w14:paraId="1EAF453F" w14:textId="77777777" w:rsidR="00DC3EA5" w:rsidRDefault="00000000">
      <w:pPr>
        <w:numPr>
          <w:ilvl w:val="0"/>
          <w:numId w:val="55"/>
        </w:numPr>
        <w:rPr>
          <w:szCs w:val="21"/>
        </w:rPr>
      </w:pPr>
      <w:r>
        <w:rPr>
          <w:szCs w:val="21"/>
        </w:rPr>
        <w:t>现场不具备条件，可在实验室中进行；</w:t>
      </w:r>
    </w:p>
    <w:p w14:paraId="45004639" w14:textId="77777777" w:rsidR="00DC3EA5" w:rsidRDefault="00000000">
      <w:pPr>
        <w:numPr>
          <w:ilvl w:val="0"/>
          <w:numId w:val="55"/>
        </w:numPr>
        <w:rPr>
          <w:szCs w:val="21"/>
        </w:rPr>
      </w:pPr>
      <w:r>
        <w:rPr>
          <w:szCs w:val="21"/>
        </w:rPr>
        <w:t>局部放电测量的测量电压及允许的视在放电量水平应按表</w:t>
      </w:r>
      <w:r>
        <w:rPr>
          <w:szCs w:val="21"/>
        </w:rPr>
        <w:t>1</w:t>
      </w:r>
      <w:r>
        <w:rPr>
          <w:szCs w:val="21"/>
        </w:rPr>
        <w:t>确定。</w:t>
      </w:r>
    </w:p>
    <w:p w14:paraId="3692C55C" w14:textId="77777777" w:rsidR="00DC3EA5" w:rsidRDefault="00000000">
      <w:pPr>
        <w:pStyle w:val="-0"/>
        <w:numPr>
          <w:ilvl w:val="0"/>
          <w:numId w:val="56"/>
        </w:numPr>
        <w:rPr>
          <w:rFonts w:ascii="Times New Roman" w:hAnsi="Times New Roman" w:cs="Times New Roman"/>
        </w:rPr>
      </w:pPr>
      <w:r>
        <w:rPr>
          <w:rFonts w:ascii="Times New Roman" w:hAnsi="Times New Roman" w:cs="Times New Roman"/>
        </w:rPr>
        <w:t>测量电压及允许的视在放电量水平</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63"/>
        <w:gridCol w:w="1994"/>
        <w:gridCol w:w="1883"/>
        <w:gridCol w:w="2096"/>
        <w:gridCol w:w="1686"/>
      </w:tblGrid>
      <w:tr w:rsidR="00DC3EA5" w14:paraId="69D4760D" w14:textId="77777777">
        <w:trPr>
          <w:cantSplit/>
          <w:trHeight w:val="40"/>
          <w:jc w:val="center"/>
        </w:trPr>
        <w:tc>
          <w:tcPr>
            <w:tcW w:w="2857"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37AA2D4B" w14:textId="77777777" w:rsidR="00DC3EA5" w:rsidRDefault="00000000">
            <w:pPr>
              <w:pStyle w:val="-7"/>
              <w:rPr>
                <w:rFonts w:ascii="Times New Roman" w:hAnsi="Times New Roman"/>
              </w:rPr>
            </w:pPr>
            <w:r>
              <w:rPr>
                <w:rFonts w:ascii="Times New Roman" w:hAnsi="Times New Roman"/>
              </w:rPr>
              <w:t>种类</w:t>
            </w:r>
          </w:p>
        </w:tc>
        <w:tc>
          <w:tcPr>
            <w:tcW w:w="1883" w:type="dxa"/>
            <w:vMerge w:val="restart"/>
            <w:tcBorders>
              <w:top w:val="single" w:sz="12" w:space="0" w:color="000000"/>
              <w:left w:val="single" w:sz="4" w:space="0" w:color="000000"/>
              <w:bottom w:val="single" w:sz="4" w:space="0" w:color="000000"/>
              <w:right w:val="single" w:sz="4" w:space="0" w:color="000000"/>
            </w:tcBorders>
            <w:vAlign w:val="center"/>
          </w:tcPr>
          <w:p w14:paraId="16986C0B" w14:textId="77777777" w:rsidR="00DC3EA5" w:rsidRDefault="00000000">
            <w:pPr>
              <w:pStyle w:val="-7"/>
              <w:rPr>
                <w:rFonts w:ascii="Times New Roman" w:hAnsi="Times New Roman"/>
              </w:rPr>
            </w:pPr>
            <w:r>
              <w:rPr>
                <w:rFonts w:ascii="Times New Roman" w:hAnsi="Times New Roman"/>
              </w:rPr>
              <w:t>测量电压（</w:t>
            </w:r>
            <w:r>
              <w:rPr>
                <w:rFonts w:ascii="Times New Roman" w:hAnsi="Times New Roman"/>
              </w:rPr>
              <w:t>kV</w:t>
            </w:r>
            <w:r>
              <w:rPr>
                <w:rFonts w:ascii="Times New Roman" w:hAnsi="Times New Roman"/>
              </w:rPr>
              <w:t>）</w:t>
            </w:r>
          </w:p>
        </w:tc>
        <w:tc>
          <w:tcPr>
            <w:tcW w:w="3782" w:type="dxa"/>
            <w:gridSpan w:val="2"/>
            <w:tcBorders>
              <w:top w:val="single" w:sz="12" w:space="0" w:color="000000"/>
              <w:left w:val="single" w:sz="4" w:space="0" w:color="000000"/>
              <w:bottom w:val="single" w:sz="4" w:space="0" w:color="000000"/>
              <w:right w:val="single" w:sz="12" w:space="0" w:color="000000"/>
            </w:tcBorders>
            <w:vAlign w:val="center"/>
          </w:tcPr>
          <w:p w14:paraId="707594A5" w14:textId="77777777" w:rsidR="00DC3EA5" w:rsidRDefault="00000000">
            <w:pPr>
              <w:pStyle w:val="-7"/>
              <w:rPr>
                <w:rFonts w:ascii="Times New Roman" w:hAnsi="Times New Roman"/>
              </w:rPr>
            </w:pPr>
            <w:r>
              <w:rPr>
                <w:rFonts w:ascii="Times New Roman" w:hAnsi="Times New Roman"/>
              </w:rPr>
              <w:t>允许的视在放电量水平</w:t>
            </w:r>
            <w:r>
              <w:rPr>
                <w:rFonts w:ascii="Times New Roman" w:hAnsi="Times New Roman"/>
              </w:rPr>
              <w:t>(pC)</w:t>
            </w:r>
          </w:p>
        </w:tc>
      </w:tr>
      <w:tr w:rsidR="00DC3EA5" w14:paraId="015A86BC" w14:textId="77777777">
        <w:trPr>
          <w:cantSplit/>
          <w:trHeight w:val="50"/>
          <w:jc w:val="center"/>
        </w:trPr>
        <w:tc>
          <w:tcPr>
            <w:tcW w:w="2857" w:type="dxa"/>
            <w:gridSpan w:val="2"/>
            <w:vMerge/>
            <w:tcBorders>
              <w:top w:val="single" w:sz="4" w:space="0" w:color="000000"/>
              <w:left w:val="single" w:sz="12" w:space="0" w:color="000000"/>
              <w:bottom w:val="single" w:sz="12" w:space="0" w:color="000000"/>
              <w:right w:val="single" w:sz="4" w:space="0" w:color="000000"/>
            </w:tcBorders>
            <w:vAlign w:val="center"/>
          </w:tcPr>
          <w:p w14:paraId="16C1B129" w14:textId="77777777" w:rsidR="00DC3EA5" w:rsidRDefault="00DC3EA5">
            <w:pPr>
              <w:pStyle w:val="-7"/>
              <w:rPr>
                <w:rFonts w:ascii="Times New Roman" w:hAnsi="Times New Roman"/>
              </w:rPr>
            </w:pPr>
          </w:p>
        </w:tc>
        <w:tc>
          <w:tcPr>
            <w:tcW w:w="1883" w:type="dxa"/>
            <w:vMerge/>
            <w:tcBorders>
              <w:top w:val="single" w:sz="4" w:space="0" w:color="000000"/>
              <w:left w:val="single" w:sz="4" w:space="0" w:color="000000"/>
              <w:bottom w:val="single" w:sz="12" w:space="0" w:color="000000"/>
              <w:right w:val="single" w:sz="4" w:space="0" w:color="000000"/>
            </w:tcBorders>
            <w:vAlign w:val="center"/>
          </w:tcPr>
          <w:p w14:paraId="1FB61C9B" w14:textId="77777777" w:rsidR="00DC3EA5" w:rsidRDefault="00DC3EA5">
            <w:pPr>
              <w:pStyle w:val="-7"/>
              <w:rPr>
                <w:rFonts w:ascii="Times New Roman" w:hAnsi="Times New Roman"/>
              </w:rPr>
            </w:pPr>
          </w:p>
        </w:tc>
        <w:tc>
          <w:tcPr>
            <w:tcW w:w="2096" w:type="dxa"/>
            <w:tcBorders>
              <w:top w:val="single" w:sz="4" w:space="0" w:color="000000"/>
              <w:left w:val="single" w:sz="4" w:space="0" w:color="000000"/>
              <w:bottom w:val="single" w:sz="12" w:space="0" w:color="000000"/>
              <w:right w:val="single" w:sz="4" w:space="0" w:color="000000"/>
            </w:tcBorders>
            <w:vAlign w:val="center"/>
          </w:tcPr>
          <w:p w14:paraId="28742E51" w14:textId="77777777" w:rsidR="00DC3EA5" w:rsidRDefault="00000000">
            <w:pPr>
              <w:pStyle w:val="-7"/>
              <w:rPr>
                <w:rFonts w:ascii="Times New Roman" w:hAnsi="Times New Roman"/>
              </w:rPr>
            </w:pPr>
            <w:r>
              <w:rPr>
                <w:rFonts w:ascii="Times New Roman" w:hAnsi="Times New Roman"/>
              </w:rPr>
              <w:t>环氧树脂及其它干式</w:t>
            </w:r>
          </w:p>
        </w:tc>
        <w:tc>
          <w:tcPr>
            <w:tcW w:w="1686" w:type="dxa"/>
            <w:tcBorders>
              <w:top w:val="single" w:sz="4" w:space="0" w:color="000000"/>
              <w:left w:val="single" w:sz="4" w:space="0" w:color="000000"/>
              <w:bottom w:val="single" w:sz="12" w:space="0" w:color="000000"/>
              <w:right w:val="single" w:sz="12" w:space="0" w:color="000000"/>
            </w:tcBorders>
            <w:vAlign w:val="center"/>
          </w:tcPr>
          <w:p w14:paraId="0C21A242" w14:textId="77777777" w:rsidR="00DC3EA5" w:rsidRDefault="00000000">
            <w:pPr>
              <w:pStyle w:val="-7"/>
              <w:rPr>
                <w:rFonts w:ascii="Times New Roman" w:hAnsi="Times New Roman"/>
              </w:rPr>
            </w:pPr>
            <w:r>
              <w:rPr>
                <w:rFonts w:ascii="Times New Roman" w:hAnsi="Times New Roman"/>
              </w:rPr>
              <w:t>气体式</w:t>
            </w:r>
          </w:p>
        </w:tc>
      </w:tr>
      <w:tr w:rsidR="00DC3EA5" w14:paraId="0AEC54FB" w14:textId="77777777">
        <w:trPr>
          <w:cantSplit/>
          <w:trHeight w:hRule="exact" w:val="445"/>
          <w:jc w:val="center"/>
        </w:trPr>
        <w:tc>
          <w:tcPr>
            <w:tcW w:w="2857" w:type="dxa"/>
            <w:gridSpan w:val="2"/>
            <w:vMerge w:val="restart"/>
            <w:tcBorders>
              <w:top w:val="single" w:sz="12" w:space="0" w:color="000000"/>
              <w:left w:val="single" w:sz="12" w:space="0" w:color="000000"/>
              <w:bottom w:val="single" w:sz="4" w:space="0" w:color="000000"/>
            </w:tcBorders>
            <w:vAlign w:val="center"/>
          </w:tcPr>
          <w:p w14:paraId="08EF9C16" w14:textId="77777777" w:rsidR="00DC3EA5" w:rsidRDefault="00000000">
            <w:pPr>
              <w:pStyle w:val="-7"/>
              <w:rPr>
                <w:rFonts w:ascii="Times New Roman" w:hAnsi="Times New Roman"/>
              </w:rPr>
            </w:pPr>
            <w:r>
              <w:rPr>
                <w:rFonts w:ascii="Times New Roman" w:hAnsi="Times New Roman"/>
              </w:rPr>
              <w:t>≥66 kV</w:t>
            </w:r>
          </w:p>
        </w:tc>
        <w:tc>
          <w:tcPr>
            <w:tcW w:w="1883" w:type="dxa"/>
            <w:tcBorders>
              <w:top w:val="single" w:sz="12" w:space="0" w:color="000000"/>
              <w:bottom w:val="single" w:sz="4" w:space="0" w:color="000000"/>
            </w:tcBorders>
            <w:vAlign w:val="center"/>
          </w:tcPr>
          <w:p w14:paraId="6B43BDE6" w14:textId="77777777" w:rsidR="00DC3EA5" w:rsidRDefault="00000000">
            <w:pPr>
              <w:pStyle w:val="-7"/>
              <w:rPr>
                <w:rFonts w:ascii="Times New Roman" w:hAnsi="Times New Roman"/>
              </w:rPr>
            </w:pPr>
            <w:r>
              <w:rPr>
                <w:rFonts w:ascii="Times New Roman" w:hAnsi="Times New Roman"/>
                <w:position w:val="-8"/>
                <w:szCs w:val="22"/>
              </w:rPr>
              <w:object w:dxaOrig="853" w:dyaOrig="270" w14:anchorId="6C3D2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4pt" o:ole="">
                  <v:imagedata r:id="rId16" o:title=""/>
                </v:shape>
                <o:OLEObject Type="Embed" ProgID="Equation.3" ShapeID="_x0000_i1025" DrawAspect="Content" ObjectID="_1793207890" r:id="rId17"/>
              </w:object>
            </w:r>
          </w:p>
        </w:tc>
        <w:tc>
          <w:tcPr>
            <w:tcW w:w="2096" w:type="dxa"/>
            <w:tcBorders>
              <w:top w:val="single" w:sz="12" w:space="0" w:color="000000"/>
              <w:bottom w:val="single" w:sz="4" w:space="0" w:color="000000"/>
            </w:tcBorders>
            <w:vAlign w:val="center"/>
          </w:tcPr>
          <w:p w14:paraId="20D917F5" w14:textId="77777777" w:rsidR="00DC3EA5" w:rsidRDefault="00000000">
            <w:pPr>
              <w:pStyle w:val="-7"/>
              <w:rPr>
                <w:rFonts w:ascii="Times New Roman" w:hAnsi="Times New Roman"/>
                <w:spacing w:val="-8"/>
              </w:rPr>
            </w:pPr>
            <w:r>
              <w:rPr>
                <w:rFonts w:ascii="Times New Roman" w:hAnsi="Times New Roman"/>
                <w:spacing w:val="-8"/>
              </w:rPr>
              <w:t>50</w:t>
            </w:r>
          </w:p>
        </w:tc>
        <w:tc>
          <w:tcPr>
            <w:tcW w:w="1686" w:type="dxa"/>
            <w:tcBorders>
              <w:top w:val="single" w:sz="12" w:space="0" w:color="000000"/>
              <w:bottom w:val="single" w:sz="4" w:space="0" w:color="000000"/>
              <w:right w:val="single" w:sz="12" w:space="0" w:color="000000"/>
            </w:tcBorders>
            <w:vAlign w:val="center"/>
          </w:tcPr>
          <w:p w14:paraId="4378C362" w14:textId="77777777" w:rsidR="00DC3EA5" w:rsidRDefault="00000000">
            <w:pPr>
              <w:pStyle w:val="-7"/>
              <w:rPr>
                <w:rFonts w:ascii="Times New Roman" w:hAnsi="Times New Roman"/>
              </w:rPr>
            </w:pPr>
            <w:r>
              <w:rPr>
                <w:rFonts w:ascii="Times New Roman" w:hAnsi="Times New Roman"/>
              </w:rPr>
              <w:t>20</w:t>
            </w:r>
          </w:p>
        </w:tc>
      </w:tr>
      <w:tr w:rsidR="00DC3EA5" w14:paraId="09B43CF0" w14:textId="77777777">
        <w:trPr>
          <w:cantSplit/>
          <w:trHeight w:hRule="exact" w:val="413"/>
          <w:jc w:val="center"/>
        </w:trPr>
        <w:tc>
          <w:tcPr>
            <w:tcW w:w="2857" w:type="dxa"/>
            <w:gridSpan w:val="2"/>
            <w:vMerge/>
            <w:tcBorders>
              <w:top w:val="single" w:sz="4" w:space="0" w:color="000000"/>
              <w:left w:val="single" w:sz="12" w:space="0" w:color="000000"/>
              <w:bottom w:val="single" w:sz="4" w:space="0" w:color="000000"/>
            </w:tcBorders>
            <w:vAlign w:val="center"/>
          </w:tcPr>
          <w:p w14:paraId="2784D483" w14:textId="77777777" w:rsidR="00DC3EA5" w:rsidRDefault="00DC3EA5">
            <w:pPr>
              <w:pStyle w:val="-7"/>
              <w:rPr>
                <w:rFonts w:ascii="Times New Roman" w:hAnsi="Times New Roman"/>
              </w:rPr>
            </w:pPr>
          </w:p>
        </w:tc>
        <w:tc>
          <w:tcPr>
            <w:tcW w:w="1883" w:type="dxa"/>
            <w:tcBorders>
              <w:top w:val="single" w:sz="4" w:space="0" w:color="000000"/>
              <w:bottom w:val="single" w:sz="4" w:space="0" w:color="000000"/>
            </w:tcBorders>
            <w:vAlign w:val="center"/>
          </w:tcPr>
          <w:p w14:paraId="2DD96954" w14:textId="77777777" w:rsidR="00DC3EA5" w:rsidRDefault="00000000">
            <w:pPr>
              <w:pStyle w:val="-7"/>
              <w:rPr>
                <w:rFonts w:ascii="Times New Roman" w:hAnsi="Times New Roman"/>
              </w:rPr>
            </w:pPr>
            <w:r>
              <w:rPr>
                <w:rFonts w:ascii="Times New Roman" w:hAnsi="Times New Roman"/>
                <w:position w:val="-6"/>
                <w:szCs w:val="22"/>
              </w:rPr>
              <w:object w:dxaOrig="320" w:dyaOrig="210" w14:anchorId="02082B80">
                <v:shape id="_x0000_i1026" type="#_x0000_t75" style="width:16pt;height:11pt" o:ole="">
                  <v:imagedata r:id="rId18" o:title=""/>
                </v:shape>
                <o:OLEObject Type="Embed" ProgID="Equation.3" ShapeID="_x0000_i1026" DrawAspect="Content" ObjectID="_1793207891" r:id="rId19"/>
              </w:object>
            </w:r>
          </w:p>
        </w:tc>
        <w:tc>
          <w:tcPr>
            <w:tcW w:w="2096" w:type="dxa"/>
            <w:tcBorders>
              <w:top w:val="single" w:sz="4" w:space="0" w:color="000000"/>
              <w:bottom w:val="single" w:sz="4" w:space="0" w:color="000000"/>
            </w:tcBorders>
            <w:vAlign w:val="center"/>
          </w:tcPr>
          <w:p w14:paraId="08AA76CA" w14:textId="77777777" w:rsidR="00DC3EA5" w:rsidRDefault="00000000">
            <w:pPr>
              <w:pStyle w:val="-7"/>
              <w:rPr>
                <w:rFonts w:ascii="Times New Roman" w:hAnsi="Times New Roman"/>
                <w:spacing w:val="-8"/>
              </w:rPr>
            </w:pPr>
            <w:r>
              <w:rPr>
                <w:rFonts w:ascii="Times New Roman" w:hAnsi="Times New Roman"/>
                <w:spacing w:val="-8"/>
              </w:rPr>
              <w:t>100</w:t>
            </w:r>
          </w:p>
        </w:tc>
        <w:tc>
          <w:tcPr>
            <w:tcW w:w="1686" w:type="dxa"/>
            <w:tcBorders>
              <w:top w:val="single" w:sz="4" w:space="0" w:color="000000"/>
              <w:bottom w:val="single" w:sz="4" w:space="0" w:color="000000"/>
              <w:right w:val="single" w:sz="12" w:space="0" w:color="000000"/>
            </w:tcBorders>
            <w:vAlign w:val="center"/>
          </w:tcPr>
          <w:p w14:paraId="0E9BCA80" w14:textId="77777777" w:rsidR="00DC3EA5" w:rsidRDefault="00000000">
            <w:pPr>
              <w:pStyle w:val="-7"/>
              <w:rPr>
                <w:rFonts w:ascii="Times New Roman" w:hAnsi="Times New Roman"/>
              </w:rPr>
            </w:pPr>
            <w:r>
              <w:rPr>
                <w:rFonts w:ascii="Times New Roman" w:hAnsi="Times New Roman"/>
              </w:rPr>
              <w:t>50</w:t>
            </w:r>
          </w:p>
        </w:tc>
      </w:tr>
      <w:tr w:rsidR="00DC3EA5" w14:paraId="3DF26824" w14:textId="77777777">
        <w:trPr>
          <w:cantSplit/>
          <w:trHeight w:hRule="exact" w:val="574"/>
          <w:jc w:val="center"/>
        </w:trPr>
        <w:tc>
          <w:tcPr>
            <w:tcW w:w="863" w:type="dxa"/>
            <w:vMerge w:val="restart"/>
            <w:tcBorders>
              <w:top w:val="single" w:sz="4" w:space="0" w:color="000000"/>
              <w:left w:val="single" w:sz="12" w:space="0" w:color="000000"/>
              <w:bottom w:val="single" w:sz="4" w:space="0" w:color="000000"/>
            </w:tcBorders>
            <w:vAlign w:val="center"/>
          </w:tcPr>
          <w:p w14:paraId="62926BA6" w14:textId="77777777" w:rsidR="00DC3EA5" w:rsidRDefault="00000000">
            <w:pPr>
              <w:pStyle w:val="-7"/>
              <w:rPr>
                <w:rFonts w:ascii="Times New Roman" w:hAnsi="Times New Roman"/>
              </w:rPr>
            </w:pPr>
            <w:r>
              <w:rPr>
                <w:rFonts w:ascii="Times New Roman" w:hAnsi="Times New Roman"/>
              </w:rPr>
              <w:t>≤35 kV</w:t>
            </w:r>
          </w:p>
        </w:tc>
        <w:tc>
          <w:tcPr>
            <w:tcW w:w="1994" w:type="dxa"/>
            <w:tcBorders>
              <w:top w:val="single" w:sz="4" w:space="0" w:color="000000"/>
              <w:bottom w:val="single" w:sz="4" w:space="0" w:color="000000"/>
            </w:tcBorders>
            <w:vAlign w:val="center"/>
          </w:tcPr>
          <w:p w14:paraId="26389C71" w14:textId="77777777" w:rsidR="00DC3EA5" w:rsidRDefault="00000000">
            <w:pPr>
              <w:pStyle w:val="-7"/>
              <w:rPr>
                <w:rFonts w:ascii="Times New Roman" w:hAnsi="Times New Roman"/>
              </w:rPr>
            </w:pPr>
            <w:r>
              <w:rPr>
                <w:rFonts w:ascii="Times New Roman" w:hAnsi="Times New Roman"/>
              </w:rPr>
              <w:t>全绝缘结构</w:t>
            </w:r>
            <w:r>
              <w:rPr>
                <w:rFonts w:ascii="Times New Roman" w:hAnsi="Times New Roman"/>
              </w:rPr>
              <w:t>(</w:t>
            </w:r>
            <w:r>
              <w:rPr>
                <w:rFonts w:ascii="Times New Roman" w:hAnsi="Times New Roman"/>
              </w:rPr>
              <w:t>一次绕</w:t>
            </w:r>
          </w:p>
          <w:p w14:paraId="64D66C6C" w14:textId="77777777" w:rsidR="00DC3EA5" w:rsidRDefault="00000000">
            <w:pPr>
              <w:pStyle w:val="-7"/>
              <w:rPr>
                <w:rFonts w:ascii="Times New Roman" w:hAnsi="Times New Roman"/>
              </w:rPr>
            </w:pPr>
            <w:r>
              <w:rPr>
                <w:rFonts w:ascii="Times New Roman" w:hAnsi="Times New Roman"/>
              </w:rPr>
              <w:t>组均接高电压</w:t>
            </w:r>
            <w:r>
              <w:rPr>
                <w:rFonts w:ascii="Times New Roman" w:hAnsi="Times New Roman"/>
              </w:rPr>
              <w:t>)</w:t>
            </w:r>
          </w:p>
        </w:tc>
        <w:tc>
          <w:tcPr>
            <w:tcW w:w="1883" w:type="dxa"/>
            <w:tcBorders>
              <w:top w:val="single" w:sz="4" w:space="0" w:color="000000"/>
              <w:bottom w:val="single" w:sz="4" w:space="0" w:color="000000"/>
            </w:tcBorders>
            <w:vAlign w:val="center"/>
          </w:tcPr>
          <w:p w14:paraId="110A4F1E" w14:textId="77777777" w:rsidR="00DC3EA5" w:rsidRDefault="00000000">
            <w:pPr>
              <w:pStyle w:val="-7"/>
              <w:rPr>
                <w:rFonts w:ascii="Times New Roman" w:hAnsi="Times New Roman"/>
              </w:rPr>
            </w:pPr>
            <w:r>
              <w:rPr>
                <w:rFonts w:ascii="Times New Roman" w:hAnsi="Times New Roman"/>
                <w:position w:val="-6"/>
                <w:szCs w:val="22"/>
              </w:rPr>
              <w:object w:dxaOrig="534" w:dyaOrig="210" w14:anchorId="0E797B6F">
                <v:shape id="_x0000_i1027" type="#_x0000_t75" style="width:27pt;height:11pt" o:ole="">
                  <v:imagedata r:id="rId20" o:title=""/>
                </v:shape>
                <o:OLEObject Type="Embed" ProgID="Equation.3" ShapeID="_x0000_i1027" DrawAspect="Content" ObjectID="_1793207892" r:id="rId21"/>
              </w:object>
            </w:r>
          </w:p>
        </w:tc>
        <w:tc>
          <w:tcPr>
            <w:tcW w:w="2096" w:type="dxa"/>
            <w:tcBorders>
              <w:top w:val="single" w:sz="4" w:space="0" w:color="000000"/>
              <w:bottom w:val="single" w:sz="4" w:space="0" w:color="000000"/>
            </w:tcBorders>
            <w:vAlign w:val="center"/>
          </w:tcPr>
          <w:p w14:paraId="5389EA3E" w14:textId="77777777" w:rsidR="00DC3EA5" w:rsidRDefault="00000000">
            <w:pPr>
              <w:pStyle w:val="-7"/>
              <w:rPr>
                <w:rFonts w:ascii="Times New Roman" w:hAnsi="Times New Roman"/>
                <w:spacing w:val="-8"/>
              </w:rPr>
            </w:pPr>
            <w:r>
              <w:rPr>
                <w:rFonts w:ascii="Times New Roman" w:hAnsi="Times New Roman"/>
                <w:spacing w:val="-8"/>
              </w:rPr>
              <w:t>100</w:t>
            </w:r>
          </w:p>
        </w:tc>
        <w:tc>
          <w:tcPr>
            <w:tcW w:w="1686" w:type="dxa"/>
            <w:tcBorders>
              <w:top w:val="single" w:sz="4" w:space="0" w:color="000000"/>
              <w:bottom w:val="single" w:sz="4" w:space="0" w:color="000000"/>
              <w:right w:val="single" w:sz="12" w:space="0" w:color="000000"/>
            </w:tcBorders>
            <w:vAlign w:val="center"/>
          </w:tcPr>
          <w:p w14:paraId="6CEC3D23" w14:textId="77777777" w:rsidR="00DC3EA5" w:rsidRDefault="00000000">
            <w:pPr>
              <w:pStyle w:val="-7"/>
              <w:rPr>
                <w:rFonts w:ascii="Times New Roman" w:hAnsi="Times New Roman"/>
              </w:rPr>
            </w:pPr>
            <w:r>
              <w:rPr>
                <w:rFonts w:ascii="Times New Roman" w:hAnsi="Times New Roman"/>
              </w:rPr>
              <w:t>50</w:t>
            </w:r>
          </w:p>
        </w:tc>
      </w:tr>
      <w:tr w:rsidR="00DC3EA5" w14:paraId="2CBCBFEA" w14:textId="77777777">
        <w:trPr>
          <w:cantSplit/>
          <w:trHeight w:hRule="exact" w:val="426"/>
          <w:jc w:val="center"/>
        </w:trPr>
        <w:tc>
          <w:tcPr>
            <w:tcW w:w="863" w:type="dxa"/>
            <w:vMerge/>
            <w:tcBorders>
              <w:top w:val="single" w:sz="4" w:space="0" w:color="000000"/>
              <w:left w:val="single" w:sz="12" w:space="0" w:color="000000"/>
              <w:bottom w:val="single" w:sz="4" w:space="0" w:color="000000"/>
            </w:tcBorders>
            <w:vAlign w:val="center"/>
          </w:tcPr>
          <w:p w14:paraId="179213CF" w14:textId="77777777" w:rsidR="00DC3EA5" w:rsidRDefault="00DC3EA5">
            <w:pPr>
              <w:pStyle w:val="-7"/>
              <w:rPr>
                <w:rFonts w:ascii="Times New Roman" w:hAnsi="Times New Roman"/>
              </w:rPr>
            </w:pPr>
          </w:p>
        </w:tc>
        <w:tc>
          <w:tcPr>
            <w:tcW w:w="1994" w:type="dxa"/>
            <w:vMerge w:val="restart"/>
            <w:tcBorders>
              <w:top w:val="single" w:sz="4" w:space="0" w:color="000000"/>
              <w:bottom w:val="single" w:sz="4" w:space="0" w:color="000000"/>
            </w:tcBorders>
            <w:vAlign w:val="center"/>
          </w:tcPr>
          <w:p w14:paraId="5A0EA0CC" w14:textId="77777777" w:rsidR="00DC3EA5" w:rsidRDefault="00000000">
            <w:pPr>
              <w:pStyle w:val="-7"/>
              <w:rPr>
                <w:rFonts w:ascii="Times New Roman" w:hAnsi="Times New Roman"/>
              </w:rPr>
            </w:pPr>
            <w:r>
              <w:rPr>
                <w:rFonts w:ascii="Times New Roman" w:hAnsi="Times New Roman"/>
              </w:rPr>
              <w:t>半绝缘结构</w:t>
            </w:r>
            <w:r>
              <w:rPr>
                <w:rFonts w:ascii="Times New Roman" w:hAnsi="Times New Roman"/>
              </w:rPr>
              <w:t>(</w:t>
            </w:r>
            <w:r>
              <w:rPr>
                <w:rFonts w:ascii="Times New Roman" w:hAnsi="Times New Roman"/>
              </w:rPr>
              <w:t>一次绕</w:t>
            </w:r>
          </w:p>
          <w:p w14:paraId="7E3B9F93" w14:textId="77777777" w:rsidR="00DC3EA5" w:rsidRDefault="00000000">
            <w:pPr>
              <w:pStyle w:val="-7"/>
              <w:rPr>
                <w:rFonts w:ascii="Times New Roman" w:hAnsi="Times New Roman"/>
              </w:rPr>
            </w:pPr>
            <w:r>
              <w:rPr>
                <w:rFonts w:ascii="Times New Roman" w:hAnsi="Times New Roman"/>
              </w:rPr>
              <w:t>组一端直接接地</w:t>
            </w:r>
            <w:r>
              <w:rPr>
                <w:rFonts w:ascii="Times New Roman" w:hAnsi="Times New Roman"/>
              </w:rPr>
              <w:t>)</w:t>
            </w:r>
          </w:p>
        </w:tc>
        <w:tc>
          <w:tcPr>
            <w:tcW w:w="1883" w:type="dxa"/>
            <w:tcBorders>
              <w:top w:val="single" w:sz="4" w:space="0" w:color="000000"/>
              <w:bottom w:val="single" w:sz="4" w:space="0" w:color="000000"/>
            </w:tcBorders>
            <w:vAlign w:val="center"/>
          </w:tcPr>
          <w:p w14:paraId="5065D911" w14:textId="77777777" w:rsidR="00DC3EA5" w:rsidRDefault="00000000">
            <w:pPr>
              <w:pStyle w:val="-7"/>
              <w:rPr>
                <w:rFonts w:ascii="Times New Roman" w:hAnsi="Times New Roman"/>
              </w:rPr>
            </w:pPr>
            <w:r>
              <w:rPr>
                <w:rFonts w:ascii="Times New Roman" w:hAnsi="Times New Roman"/>
                <w:position w:val="-8"/>
                <w:szCs w:val="22"/>
              </w:rPr>
              <w:object w:dxaOrig="853" w:dyaOrig="270" w14:anchorId="65811210">
                <v:shape id="_x0000_i1028" type="#_x0000_t75" style="width:43pt;height:14pt" o:ole="">
                  <v:imagedata r:id="rId16" o:title=""/>
                </v:shape>
                <o:OLEObject Type="Embed" ProgID="Equation.3" ShapeID="_x0000_i1028" DrawAspect="Content" ObjectID="_1793207893" r:id="rId22"/>
              </w:object>
            </w:r>
          </w:p>
        </w:tc>
        <w:tc>
          <w:tcPr>
            <w:tcW w:w="2096" w:type="dxa"/>
            <w:tcBorders>
              <w:top w:val="single" w:sz="4" w:space="0" w:color="000000"/>
              <w:bottom w:val="single" w:sz="4" w:space="0" w:color="000000"/>
            </w:tcBorders>
            <w:vAlign w:val="center"/>
          </w:tcPr>
          <w:p w14:paraId="6E453505" w14:textId="77777777" w:rsidR="00DC3EA5" w:rsidRDefault="00000000">
            <w:pPr>
              <w:pStyle w:val="-7"/>
              <w:rPr>
                <w:rFonts w:ascii="Times New Roman" w:hAnsi="Times New Roman"/>
                <w:spacing w:val="-8"/>
              </w:rPr>
            </w:pPr>
            <w:r>
              <w:rPr>
                <w:rFonts w:ascii="Times New Roman" w:hAnsi="Times New Roman"/>
                <w:spacing w:val="-8"/>
              </w:rPr>
              <w:t>50</w:t>
            </w:r>
          </w:p>
        </w:tc>
        <w:tc>
          <w:tcPr>
            <w:tcW w:w="1686" w:type="dxa"/>
            <w:tcBorders>
              <w:top w:val="single" w:sz="4" w:space="0" w:color="000000"/>
              <w:bottom w:val="single" w:sz="4" w:space="0" w:color="000000"/>
              <w:right w:val="single" w:sz="12" w:space="0" w:color="000000"/>
            </w:tcBorders>
            <w:vAlign w:val="center"/>
          </w:tcPr>
          <w:p w14:paraId="700FE478" w14:textId="77777777" w:rsidR="00DC3EA5" w:rsidRDefault="00000000">
            <w:pPr>
              <w:pStyle w:val="-7"/>
              <w:rPr>
                <w:rFonts w:ascii="Times New Roman" w:hAnsi="Times New Roman"/>
              </w:rPr>
            </w:pPr>
            <w:r>
              <w:rPr>
                <w:rFonts w:ascii="Times New Roman" w:hAnsi="Times New Roman"/>
              </w:rPr>
              <w:t>20</w:t>
            </w:r>
          </w:p>
        </w:tc>
      </w:tr>
      <w:tr w:rsidR="00DC3EA5" w14:paraId="534C3554" w14:textId="77777777">
        <w:trPr>
          <w:cantSplit/>
          <w:trHeight w:hRule="exact" w:val="419"/>
          <w:jc w:val="center"/>
        </w:trPr>
        <w:tc>
          <w:tcPr>
            <w:tcW w:w="863" w:type="dxa"/>
            <w:vMerge/>
            <w:tcBorders>
              <w:top w:val="single" w:sz="4" w:space="0" w:color="000000"/>
              <w:left w:val="single" w:sz="12" w:space="0" w:color="000000"/>
              <w:bottom w:val="single" w:sz="12" w:space="0" w:color="000000"/>
            </w:tcBorders>
            <w:vAlign w:val="center"/>
          </w:tcPr>
          <w:p w14:paraId="601B3246" w14:textId="77777777" w:rsidR="00DC3EA5" w:rsidRDefault="00DC3EA5">
            <w:pPr>
              <w:pStyle w:val="-7"/>
              <w:rPr>
                <w:rFonts w:ascii="Times New Roman" w:hAnsi="Times New Roman"/>
              </w:rPr>
            </w:pPr>
          </w:p>
        </w:tc>
        <w:tc>
          <w:tcPr>
            <w:tcW w:w="1994" w:type="dxa"/>
            <w:vMerge/>
            <w:tcBorders>
              <w:top w:val="single" w:sz="4" w:space="0" w:color="000000"/>
              <w:bottom w:val="single" w:sz="12" w:space="0" w:color="000000"/>
            </w:tcBorders>
            <w:vAlign w:val="center"/>
          </w:tcPr>
          <w:p w14:paraId="0E647F19" w14:textId="77777777" w:rsidR="00DC3EA5" w:rsidRDefault="00DC3EA5">
            <w:pPr>
              <w:pStyle w:val="-7"/>
              <w:rPr>
                <w:rFonts w:ascii="Times New Roman" w:hAnsi="Times New Roman"/>
              </w:rPr>
            </w:pPr>
          </w:p>
        </w:tc>
        <w:tc>
          <w:tcPr>
            <w:tcW w:w="1883" w:type="dxa"/>
            <w:tcBorders>
              <w:top w:val="single" w:sz="4" w:space="0" w:color="000000"/>
              <w:bottom w:val="single" w:sz="12" w:space="0" w:color="000000"/>
            </w:tcBorders>
            <w:vAlign w:val="center"/>
          </w:tcPr>
          <w:p w14:paraId="406CA97D" w14:textId="77777777" w:rsidR="00DC3EA5" w:rsidRDefault="00000000">
            <w:pPr>
              <w:pStyle w:val="-7"/>
              <w:rPr>
                <w:rFonts w:ascii="Times New Roman" w:hAnsi="Times New Roman"/>
              </w:rPr>
            </w:pPr>
            <w:r>
              <w:rPr>
                <w:rFonts w:ascii="Times New Roman" w:hAnsi="Times New Roman"/>
                <w:position w:val="-6"/>
                <w:szCs w:val="22"/>
              </w:rPr>
              <w:object w:dxaOrig="534" w:dyaOrig="210" w14:anchorId="239EDE42">
                <v:shape id="_x0000_i1029" type="#_x0000_t75" style="width:27pt;height:11pt" o:ole="">
                  <v:imagedata r:id="rId20" o:title=""/>
                </v:shape>
                <o:OLEObject Type="Embed" ProgID="Equation.3" ShapeID="_x0000_i1029" DrawAspect="Content" ObjectID="_1793207894" r:id="rId23"/>
              </w:object>
            </w:r>
            <w:r>
              <w:rPr>
                <w:rFonts w:ascii="Times New Roman" w:hAnsi="Times New Roman"/>
                <w:szCs w:val="22"/>
              </w:rPr>
              <w:t>（必要时）</w:t>
            </w:r>
          </w:p>
        </w:tc>
        <w:tc>
          <w:tcPr>
            <w:tcW w:w="2096" w:type="dxa"/>
            <w:tcBorders>
              <w:top w:val="single" w:sz="4" w:space="0" w:color="000000"/>
              <w:bottom w:val="single" w:sz="12" w:space="0" w:color="000000"/>
            </w:tcBorders>
            <w:vAlign w:val="center"/>
          </w:tcPr>
          <w:p w14:paraId="23AEFE39" w14:textId="77777777" w:rsidR="00DC3EA5" w:rsidRDefault="00000000">
            <w:pPr>
              <w:pStyle w:val="-7"/>
              <w:rPr>
                <w:rFonts w:ascii="Times New Roman" w:hAnsi="Times New Roman"/>
                <w:spacing w:val="-8"/>
              </w:rPr>
            </w:pPr>
            <w:r>
              <w:rPr>
                <w:rFonts w:ascii="Times New Roman" w:hAnsi="Times New Roman"/>
                <w:spacing w:val="-8"/>
              </w:rPr>
              <w:t>100</w:t>
            </w:r>
          </w:p>
        </w:tc>
        <w:tc>
          <w:tcPr>
            <w:tcW w:w="1686" w:type="dxa"/>
            <w:tcBorders>
              <w:top w:val="single" w:sz="4" w:space="0" w:color="000000"/>
              <w:bottom w:val="single" w:sz="12" w:space="0" w:color="000000"/>
              <w:right w:val="single" w:sz="12" w:space="0" w:color="000000"/>
            </w:tcBorders>
            <w:vAlign w:val="center"/>
          </w:tcPr>
          <w:p w14:paraId="0B5B9412" w14:textId="77777777" w:rsidR="00DC3EA5" w:rsidRDefault="00000000">
            <w:pPr>
              <w:pStyle w:val="-7"/>
              <w:rPr>
                <w:rFonts w:ascii="Times New Roman" w:hAnsi="Times New Roman"/>
              </w:rPr>
            </w:pPr>
            <w:r>
              <w:rPr>
                <w:rFonts w:ascii="Times New Roman" w:hAnsi="Times New Roman"/>
              </w:rPr>
              <w:t>50</w:t>
            </w:r>
          </w:p>
        </w:tc>
      </w:tr>
    </w:tbl>
    <w:p w14:paraId="2DA6B999" w14:textId="77777777" w:rsidR="00DC3EA5" w:rsidRDefault="00DC3EA5">
      <w:pPr>
        <w:rPr>
          <w:szCs w:val="21"/>
        </w:rPr>
      </w:pPr>
    </w:p>
    <w:p w14:paraId="702AF381" w14:textId="77777777" w:rsidR="00DC3EA5" w:rsidRDefault="00000000">
      <w:pPr>
        <w:pStyle w:val="a7"/>
        <w:ind w:left="0"/>
        <w:outlineLvl w:val="1"/>
        <w:rPr>
          <w:rFonts w:ascii="Times New Roman"/>
        </w:rPr>
      </w:pPr>
      <w:bookmarkStart w:id="118" w:name="_Toc151477191"/>
      <w:bookmarkStart w:id="119" w:name="_Toc6396"/>
      <w:r>
        <w:rPr>
          <w:rFonts w:ascii="Times New Roman"/>
        </w:rPr>
        <w:t>交流耐压试验</w:t>
      </w:r>
      <w:bookmarkEnd w:id="118"/>
      <w:bookmarkEnd w:id="119"/>
    </w:p>
    <w:p w14:paraId="3ACC7C4C" w14:textId="77777777" w:rsidR="00DC3EA5" w:rsidRDefault="00000000">
      <w:pPr>
        <w:pStyle w:val="affffffff2"/>
        <w:tabs>
          <w:tab w:val="center" w:pos="4201"/>
          <w:tab w:val="right" w:leader="dot" w:pos="9298"/>
        </w:tabs>
        <w:ind w:firstLine="420"/>
        <w:rPr>
          <w:rFonts w:ascii="Times New Roman"/>
        </w:rPr>
      </w:pPr>
      <w:r>
        <w:rPr>
          <w:rFonts w:ascii="Times New Roman"/>
        </w:rPr>
        <w:t>电压互感器的交流耐压试验，应符合下列规定：</w:t>
      </w:r>
    </w:p>
    <w:p w14:paraId="51C940C2" w14:textId="77777777" w:rsidR="00DC3EA5" w:rsidRDefault="00000000">
      <w:pPr>
        <w:numPr>
          <w:ilvl w:val="0"/>
          <w:numId w:val="57"/>
        </w:numPr>
        <w:rPr>
          <w:szCs w:val="21"/>
        </w:rPr>
      </w:pPr>
      <w:r>
        <w:rPr>
          <w:szCs w:val="21"/>
        </w:rPr>
        <w:t>一次绕组按出厂值的</w:t>
      </w:r>
      <w:r>
        <w:rPr>
          <w:szCs w:val="21"/>
        </w:rPr>
        <w:t>80%</w:t>
      </w:r>
      <w:r>
        <w:rPr>
          <w:szCs w:val="21"/>
        </w:rPr>
        <w:t>进行，并应在高压侧监视施加电压；</w:t>
      </w:r>
    </w:p>
    <w:p w14:paraId="30C62174" w14:textId="77777777" w:rsidR="00DC3EA5" w:rsidRDefault="00000000">
      <w:pPr>
        <w:numPr>
          <w:ilvl w:val="0"/>
          <w:numId w:val="57"/>
        </w:numPr>
        <w:rPr>
          <w:szCs w:val="21"/>
        </w:rPr>
      </w:pPr>
      <w:r>
        <w:rPr>
          <w:szCs w:val="21"/>
        </w:rPr>
        <w:t>二次绕组之间及其对地的工频耐受电压为</w:t>
      </w:r>
      <w:r>
        <w:rPr>
          <w:szCs w:val="21"/>
        </w:rPr>
        <w:t>2 kV</w:t>
      </w:r>
      <w:r>
        <w:rPr>
          <w:szCs w:val="21"/>
        </w:rPr>
        <w:t>，可用</w:t>
      </w:r>
      <w:r>
        <w:rPr>
          <w:szCs w:val="21"/>
        </w:rPr>
        <w:t>2500 V</w:t>
      </w:r>
      <w:r>
        <w:rPr>
          <w:szCs w:val="21"/>
        </w:rPr>
        <w:t>兆欧表代替；</w:t>
      </w:r>
    </w:p>
    <w:p w14:paraId="3BFE23DA" w14:textId="77777777" w:rsidR="00DC3EA5" w:rsidRDefault="00000000">
      <w:pPr>
        <w:numPr>
          <w:ilvl w:val="0"/>
          <w:numId w:val="57"/>
        </w:numPr>
        <w:rPr>
          <w:szCs w:val="21"/>
        </w:rPr>
      </w:pPr>
      <w:r>
        <w:rPr>
          <w:szCs w:val="21"/>
        </w:rPr>
        <w:t>电磁式电压互感器感应耐压的试验电压值应为出厂值的</w:t>
      </w:r>
      <w:r>
        <w:rPr>
          <w:szCs w:val="21"/>
        </w:rPr>
        <w:t>80%</w:t>
      </w:r>
      <w:r>
        <w:rPr>
          <w:szCs w:val="21"/>
        </w:rPr>
        <w:t>；当试验电压频率等于或小于</w:t>
      </w:r>
      <w:r>
        <w:rPr>
          <w:szCs w:val="21"/>
        </w:rPr>
        <w:t>2</w:t>
      </w:r>
      <w:r>
        <w:rPr>
          <w:szCs w:val="21"/>
        </w:rPr>
        <w:lastRenderedPageBreak/>
        <w:t>倍额定频率时，全电压下试验时间为</w:t>
      </w:r>
      <w:r>
        <w:rPr>
          <w:szCs w:val="21"/>
        </w:rPr>
        <w:t>60 s</w:t>
      </w:r>
      <w:r>
        <w:rPr>
          <w:szCs w:val="21"/>
        </w:rPr>
        <w:t>；当试验电压频率大于</w:t>
      </w:r>
      <w:r>
        <w:rPr>
          <w:szCs w:val="21"/>
        </w:rPr>
        <w:t>2</w:t>
      </w:r>
      <w:r>
        <w:rPr>
          <w:szCs w:val="21"/>
        </w:rPr>
        <w:t>倍额定频率时，全电压下试验时间为：</w:t>
      </w:r>
      <w:r>
        <w:rPr>
          <w:szCs w:val="21"/>
        </w:rPr>
        <w:t>120×</w:t>
      </w:r>
      <w:r>
        <w:rPr>
          <w:szCs w:val="21"/>
        </w:rPr>
        <w:t>额定频率／试验频率（</w:t>
      </w:r>
      <w:r>
        <w:rPr>
          <w:rFonts w:hint="eastAsia"/>
          <w:szCs w:val="21"/>
        </w:rPr>
        <w:t>s</w:t>
      </w:r>
      <w:r>
        <w:rPr>
          <w:szCs w:val="21"/>
        </w:rPr>
        <w:t>），但不少于</w:t>
      </w:r>
      <w:r>
        <w:rPr>
          <w:szCs w:val="21"/>
        </w:rPr>
        <w:t>15 s</w:t>
      </w:r>
      <w:r>
        <w:rPr>
          <w:szCs w:val="21"/>
        </w:rPr>
        <w:t>。</w:t>
      </w:r>
    </w:p>
    <w:p w14:paraId="1FB22B54" w14:textId="77777777" w:rsidR="00DC3EA5" w:rsidRDefault="00000000">
      <w:pPr>
        <w:pStyle w:val="a7"/>
        <w:ind w:left="0"/>
        <w:outlineLvl w:val="1"/>
        <w:rPr>
          <w:rFonts w:ascii="Times New Roman"/>
        </w:rPr>
      </w:pPr>
      <w:bookmarkStart w:id="120" w:name="_Toc10300"/>
      <w:bookmarkStart w:id="121" w:name="_Toc151477192"/>
      <w:r>
        <w:rPr>
          <w:rFonts w:ascii="Times New Roman"/>
        </w:rPr>
        <w:t>绝缘介质性能试验</w:t>
      </w:r>
      <w:bookmarkEnd w:id="120"/>
      <w:bookmarkEnd w:id="121"/>
    </w:p>
    <w:p w14:paraId="1134F3C9" w14:textId="77777777" w:rsidR="00DC3EA5" w:rsidRDefault="00000000">
      <w:pPr>
        <w:pStyle w:val="affffffff2"/>
        <w:tabs>
          <w:tab w:val="center" w:pos="4201"/>
          <w:tab w:val="right" w:leader="dot" w:pos="9298"/>
        </w:tabs>
        <w:ind w:firstLine="420"/>
        <w:rPr>
          <w:rFonts w:ascii="Times New Roman"/>
        </w:rPr>
      </w:pPr>
      <w:r>
        <w:rPr>
          <w:rFonts w:ascii="Times New Roman"/>
        </w:rPr>
        <w:t>充入</w:t>
      </w:r>
      <w:r>
        <w:rPr>
          <w:rFonts w:ascii="Times New Roman"/>
        </w:rPr>
        <w:t>SF</w:t>
      </w:r>
      <w:r>
        <w:rPr>
          <w:rFonts w:ascii="Times New Roman"/>
          <w:vertAlign w:val="subscript"/>
        </w:rPr>
        <w:t>6</w:t>
      </w:r>
      <w:r>
        <w:rPr>
          <w:rFonts w:ascii="Times New Roman"/>
        </w:rPr>
        <w:t>气体的互感器，应静放</w:t>
      </w:r>
      <w:r>
        <w:rPr>
          <w:rFonts w:ascii="Times New Roman"/>
        </w:rPr>
        <w:t>24 h</w:t>
      </w:r>
      <w:r>
        <w:rPr>
          <w:rFonts w:ascii="Times New Roman"/>
        </w:rPr>
        <w:t>后取样进行检测，气体水分含量不应大于</w:t>
      </w:r>
      <w:r>
        <w:rPr>
          <w:rFonts w:ascii="Times New Roman"/>
        </w:rPr>
        <w:t>250 μL/L(20 ℃</w:t>
      </w:r>
      <w:r>
        <w:rPr>
          <w:rFonts w:ascii="Times New Roman"/>
        </w:rPr>
        <w:t>体积百分数</w:t>
      </w:r>
      <w:r>
        <w:rPr>
          <w:rFonts w:ascii="Times New Roman"/>
        </w:rPr>
        <w:t>)</w:t>
      </w:r>
      <w:r>
        <w:rPr>
          <w:rFonts w:ascii="Times New Roman"/>
        </w:rPr>
        <w:t>。</w:t>
      </w:r>
    </w:p>
    <w:p w14:paraId="37791753" w14:textId="77777777" w:rsidR="00DC3EA5" w:rsidRDefault="00000000">
      <w:pPr>
        <w:pStyle w:val="a7"/>
        <w:ind w:left="0"/>
        <w:outlineLvl w:val="1"/>
        <w:rPr>
          <w:rFonts w:ascii="Times New Roman"/>
        </w:rPr>
      </w:pPr>
      <w:bookmarkStart w:id="122" w:name="_Toc24564"/>
      <w:bookmarkStart w:id="123" w:name="_Toc151477193"/>
      <w:r>
        <w:rPr>
          <w:rFonts w:ascii="Times New Roman"/>
        </w:rPr>
        <w:t>绕组的直流电阻测量</w:t>
      </w:r>
      <w:bookmarkEnd w:id="122"/>
      <w:bookmarkEnd w:id="123"/>
    </w:p>
    <w:p w14:paraId="3B80928F" w14:textId="77777777" w:rsidR="00DC3EA5" w:rsidRDefault="00000000">
      <w:pPr>
        <w:pStyle w:val="affffffff2"/>
        <w:tabs>
          <w:tab w:val="center" w:pos="4201"/>
          <w:tab w:val="right" w:leader="dot" w:pos="9298"/>
        </w:tabs>
        <w:ind w:firstLine="420"/>
        <w:rPr>
          <w:rFonts w:ascii="Times New Roman"/>
        </w:rPr>
      </w:pPr>
      <w:r>
        <w:rPr>
          <w:rFonts w:ascii="Times New Roman"/>
        </w:rPr>
        <w:t>电压互感器的绕组直阻测量，应符合下列规定：</w:t>
      </w:r>
    </w:p>
    <w:p w14:paraId="4E8355C2" w14:textId="77777777" w:rsidR="00DC3EA5" w:rsidRDefault="00000000">
      <w:pPr>
        <w:numPr>
          <w:ilvl w:val="0"/>
          <w:numId w:val="58"/>
        </w:numPr>
        <w:rPr>
          <w:szCs w:val="21"/>
        </w:rPr>
      </w:pPr>
      <w:r>
        <w:rPr>
          <w:szCs w:val="21"/>
        </w:rPr>
        <w:t>一次绕组直流电阻测量值，与换算到同一温度下的出厂值比较，不宜大于</w:t>
      </w:r>
      <w:r>
        <w:rPr>
          <w:szCs w:val="21"/>
        </w:rPr>
        <w:t>10%</w:t>
      </w:r>
      <w:r>
        <w:rPr>
          <w:szCs w:val="21"/>
        </w:rPr>
        <w:t>；</w:t>
      </w:r>
    </w:p>
    <w:p w14:paraId="1F7DDD34" w14:textId="77777777" w:rsidR="00DC3EA5" w:rsidRDefault="00000000">
      <w:pPr>
        <w:numPr>
          <w:ilvl w:val="0"/>
          <w:numId w:val="58"/>
        </w:numPr>
        <w:rPr>
          <w:szCs w:val="21"/>
        </w:rPr>
      </w:pPr>
      <w:r>
        <w:rPr>
          <w:szCs w:val="21"/>
        </w:rPr>
        <w:t>二次绕组直流电阻测量值，与换算到同一温度下的出厂值比较，不宜大于</w:t>
      </w:r>
      <w:r>
        <w:rPr>
          <w:szCs w:val="21"/>
        </w:rPr>
        <w:t>15%</w:t>
      </w:r>
      <w:r>
        <w:rPr>
          <w:szCs w:val="21"/>
        </w:rPr>
        <w:t>。</w:t>
      </w:r>
    </w:p>
    <w:p w14:paraId="3A9BD2AE" w14:textId="77777777" w:rsidR="00DC3EA5" w:rsidRDefault="00000000">
      <w:pPr>
        <w:pStyle w:val="a7"/>
        <w:ind w:left="0"/>
        <w:outlineLvl w:val="1"/>
        <w:rPr>
          <w:rFonts w:ascii="Times New Roman"/>
        </w:rPr>
      </w:pPr>
      <w:bookmarkStart w:id="124" w:name="_Toc151477194"/>
      <w:bookmarkStart w:id="125" w:name="_Toc26068"/>
      <w:r>
        <w:rPr>
          <w:rFonts w:ascii="Times New Roman"/>
        </w:rPr>
        <w:t>接线绕组组别和极性检查</w:t>
      </w:r>
      <w:bookmarkEnd w:id="124"/>
      <w:bookmarkEnd w:id="125"/>
    </w:p>
    <w:p w14:paraId="06EE3F4C" w14:textId="77777777" w:rsidR="00DC3EA5" w:rsidRDefault="00000000">
      <w:pPr>
        <w:pStyle w:val="affffffff2"/>
        <w:tabs>
          <w:tab w:val="center" w:pos="4201"/>
          <w:tab w:val="right" w:leader="dot" w:pos="9298"/>
        </w:tabs>
        <w:ind w:firstLine="420"/>
        <w:rPr>
          <w:rFonts w:ascii="Times New Roman"/>
        </w:rPr>
      </w:pPr>
      <w:r>
        <w:rPr>
          <w:rFonts w:ascii="Times New Roman"/>
        </w:rPr>
        <w:t>确认电压互感器的连接组别和极性，应与铭牌</w:t>
      </w:r>
      <w:r>
        <w:rPr>
          <w:rFonts w:ascii="Times New Roman"/>
          <w:color w:val="000000"/>
        </w:rPr>
        <w:t>和端子</w:t>
      </w:r>
      <w:r>
        <w:rPr>
          <w:rFonts w:ascii="Times New Roman"/>
        </w:rPr>
        <w:t>标志相符。</w:t>
      </w:r>
    </w:p>
    <w:p w14:paraId="7CFEF12A" w14:textId="77777777" w:rsidR="00DC3EA5" w:rsidRDefault="00000000">
      <w:pPr>
        <w:pStyle w:val="a7"/>
        <w:ind w:left="0"/>
        <w:outlineLvl w:val="1"/>
        <w:rPr>
          <w:rFonts w:ascii="Times New Roman"/>
        </w:rPr>
      </w:pPr>
      <w:bookmarkStart w:id="126" w:name="_Toc151477195"/>
      <w:bookmarkStart w:id="127" w:name="_Toc29905"/>
      <w:r>
        <w:rPr>
          <w:rFonts w:ascii="Times New Roman"/>
        </w:rPr>
        <w:t>误差及变比测量</w:t>
      </w:r>
      <w:bookmarkEnd w:id="126"/>
      <w:bookmarkEnd w:id="127"/>
    </w:p>
    <w:p w14:paraId="5B76DF0D" w14:textId="77777777" w:rsidR="00DC3EA5" w:rsidRDefault="00000000">
      <w:pPr>
        <w:pStyle w:val="affffffff2"/>
        <w:tabs>
          <w:tab w:val="center" w:pos="4201"/>
          <w:tab w:val="right" w:leader="dot" w:pos="9298"/>
        </w:tabs>
        <w:ind w:firstLine="420"/>
        <w:rPr>
          <w:rFonts w:ascii="Times New Roman"/>
        </w:rPr>
      </w:pPr>
      <w:r>
        <w:rPr>
          <w:rFonts w:ascii="Times New Roman"/>
        </w:rPr>
        <w:t>电压互感器的误差和变比测量，应符合下列规定：</w:t>
      </w:r>
    </w:p>
    <w:p w14:paraId="7A57ED3B" w14:textId="77777777" w:rsidR="00DC3EA5" w:rsidRDefault="00000000">
      <w:pPr>
        <w:numPr>
          <w:ilvl w:val="0"/>
          <w:numId w:val="59"/>
        </w:numPr>
        <w:rPr>
          <w:szCs w:val="21"/>
        </w:rPr>
      </w:pPr>
      <w:r>
        <w:rPr>
          <w:szCs w:val="21"/>
        </w:rPr>
        <w:t>用于关口计量的电压互感器应进行误差测量；用于非关口计量的互感器，应检查</w:t>
      </w:r>
      <w:r>
        <w:rPr>
          <w:rFonts w:hint="eastAsia"/>
          <w:szCs w:val="21"/>
        </w:rPr>
        <w:t>电压</w:t>
      </w:r>
      <w:r>
        <w:rPr>
          <w:szCs w:val="21"/>
        </w:rPr>
        <w:t>互感器变比，并应与制造厂铭牌值相符，对多抽头的互感器，可只检查使用分接的变比；</w:t>
      </w:r>
    </w:p>
    <w:p w14:paraId="1A34E5C6" w14:textId="77777777" w:rsidR="00DC3EA5" w:rsidRDefault="00000000">
      <w:pPr>
        <w:numPr>
          <w:ilvl w:val="0"/>
          <w:numId w:val="59"/>
        </w:numPr>
        <w:rPr>
          <w:szCs w:val="21"/>
        </w:rPr>
      </w:pPr>
      <w:r>
        <w:rPr>
          <w:szCs w:val="21"/>
        </w:rPr>
        <w:t>误差及变比测量的试验频率应为电压互感器的额定频率，其偏差不大于</w:t>
      </w:r>
      <w:r>
        <w:rPr>
          <w:szCs w:val="21"/>
        </w:rPr>
        <w:t>±5%</w:t>
      </w:r>
      <w:r>
        <w:rPr>
          <w:szCs w:val="21"/>
        </w:rPr>
        <w:t>；</w:t>
      </w:r>
    </w:p>
    <w:p w14:paraId="7A5FA1C9" w14:textId="77777777" w:rsidR="00DC3EA5" w:rsidRDefault="00000000">
      <w:pPr>
        <w:numPr>
          <w:ilvl w:val="0"/>
          <w:numId w:val="59"/>
        </w:numPr>
        <w:rPr>
          <w:szCs w:val="21"/>
        </w:rPr>
      </w:pPr>
      <w:r>
        <w:rPr>
          <w:szCs w:val="21"/>
        </w:rPr>
        <w:t>交接试验可在</w:t>
      </w:r>
      <w:r>
        <w:rPr>
          <w:szCs w:val="21"/>
        </w:rPr>
        <w:t>50 Hz</w:t>
      </w:r>
      <w:r>
        <w:rPr>
          <w:szCs w:val="21"/>
        </w:rPr>
        <w:t>频率下进行，电压幅值无需修正，但应记录试验频率；</w:t>
      </w:r>
    </w:p>
    <w:p w14:paraId="41CE9973" w14:textId="77777777" w:rsidR="00DC3EA5" w:rsidRDefault="00000000">
      <w:pPr>
        <w:numPr>
          <w:ilvl w:val="0"/>
          <w:numId w:val="59"/>
        </w:numPr>
        <w:rPr>
          <w:szCs w:val="21"/>
        </w:rPr>
      </w:pPr>
      <w:r>
        <w:rPr>
          <w:szCs w:val="21"/>
        </w:rPr>
        <w:t>比差值和相位差与制造厂试验值比较应无明显变化，并符合等级要求；</w:t>
      </w:r>
    </w:p>
    <w:p w14:paraId="2DE1AD51" w14:textId="77777777" w:rsidR="00DC3EA5" w:rsidRDefault="00000000">
      <w:pPr>
        <w:numPr>
          <w:ilvl w:val="0"/>
          <w:numId w:val="59"/>
        </w:numPr>
        <w:rPr>
          <w:szCs w:val="21"/>
        </w:rPr>
      </w:pPr>
      <w:r>
        <w:rPr>
          <w:szCs w:val="21"/>
        </w:rPr>
        <w:t>变比测量结果应与制造厂铭牌数据比较应无明显变化。</w:t>
      </w:r>
    </w:p>
    <w:p w14:paraId="45C2BC6A" w14:textId="77777777" w:rsidR="00DC3EA5" w:rsidRDefault="00000000">
      <w:pPr>
        <w:pStyle w:val="a7"/>
        <w:ind w:left="0"/>
        <w:outlineLvl w:val="1"/>
        <w:rPr>
          <w:rFonts w:ascii="Times New Roman"/>
        </w:rPr>
      </w:pPr>
      <w:bookmarkStart w:id="128" w:name="_Toc151477196"/>
      <w:bookmarkStart w:id="129" w:name="_Toc12017"/>
      <w:r>
        <w:rPr>
          <w:rFonts w:ascii="Times New Roman"/>
        </w:rPr>
        <w:t>励磁特性测量</w:t>
      </w:r>
      <w:bookmarkEnd w:id="128"/>
      <w:bookmarkEnd w:id="129"/>
    </w:p>
    <w:p w14:paraId="5AC30CFE" w14:textId="77777777" w:rsidR="00DC3EA5" w:rsidRDefault="00000000">
      <w:pPr>
        <w:pStyle w:val="affffffff2"/>
        <w:tabs>
          <w:tab w:val="center" w:pos="4201"/>
          <w:tab w:val="right" w:leader="dot" w:pos="9298"/>
        </w:tabs>
        <w:ind w:firstLine="420"/>
        <w:rPr>
          <w:rFonts w:ascii="Times New Roman"/>
        </w:rPr>
      </w:pPr>
      <w:r>
        <w:rPr>
          <w:rFonts w:ascii="Times New Roman"/>
        </w:rPr>
        <w:t>电压互感器的励磁特性测量，应符合下列规定：</w:t>
      </w:r>
    </w:p>
    <w:p w14:paraId="07D647FD" w14:textId="77777777" w:rsidR="00DC3EA5" w:rsidRDefault="00000000">
      <w:pPr>
        <w:numPr>
          <w:ilvl w:val="0"/>
          <w:numId w:val="60"/>
        </w:numPr>
        <w:rPr>
          <w:szCs w:val="21"/>
        </w:rPr>
      </w:pPr>
      <w:r>
        <w:rPr>
          <w:szCs w:val="21"/>
        </w:rPr>
        <w:t>试验频率应为电压互感器运行的额定频率，其偏差不大于</w:t>
      </w:r>
      <w:r>
        <w:rPr>
          <w:szCs w:val="21"/>
        </w:rPr>
        <w:t>±5%</w:t>
      </w:r>
      <w:r>
        <w:rPr>
          <w:szCs w:val="21"/>
        </w:rPr>
        <w:t>；</w:t>
      </w:r>
    </w:p>
    <w:p w14:paraId="429474F9" w14:textId="77777777" w:rsidR="00DC3EA5" w:rsidRDefault="00000000">
      <w:pPr>
        <w:numPr>
          <w:ilvl w:val="0"/>
          <w:numId w:val="60"/>
        </w:numPr>
        <w:rPr>
          <w:szCs w:val="21"/>
        </w:rPr>
      </w:pPr>
      <w:bookmarkStart w:id="130" w:name="OLE_LINK5"/>
      <w:r>
        <w:rPr>
          <w:szCs w:val="21"/>
        </w:rPr>
        <w:t>交接试验可在</w:t>
      </w:r>
      <w:r>
        <w:rPr>
          <w:szCs w:val="21"/>
        </w:rPr>
        <w:t>50 Hz</w:t>
      </w:r>
      <w:r>
        <w:rPr>
          <w:szCs w:val="21"/>
        </w:rPr>
        <w:t>频率下进行，电压幅值无需修正，但应记录试验频率</w:t>
      </w:r>
      <w:bookmarkEnd w:id="130"/>
      <w:r>
        <w:rPr>
          <w:szCs w:val="21"/>
        </w:rPr>
        <w:t>；</w:t>
      </w:r>
    </w:p>
    <w:p w14:paraId="545859E9" w14:textId="77777777" w:rsidR="00DC3EA5" w:rsidRDefault="00000000">
      <w:pPr>
        <w:numPr>
          <w:ilvl w:val="0"/>
          <w:numId w:val="60"/>
        </w:numPr>
        <w:rPr>
          <w:szCs w:val="21"/>
        </w:rPr>
      </w:pPr>
      <w:r>
        <w:rPr>
          <w:szCs w:val="21"/>
        </w:rPr>
        <w:t>一般情况下，励磁曲线测量点为额定电压的</w:t>
      </w:r>
      <w:r>
        <w:rPr>
          <w:szCs w:val="21"/>
        </w:rPr>
        <w:t>20%</w:t>
      </w:r>
      <w:r>
        <w:rPr>
          <w:szCs w:val="21"/>
        </w:rPr>
        <w:t>、</w:t>
      </w:r>
      <w:r>
        <w:rPr>
          <w:szCs w:val="21"/>
        </w:rPr>
        <w:t>50%</w:t>
      </w:r>
      <w:r>
        <w:rPr>
          <w:szCs w:val="21"/>
        </w:rPr>
        <w:t>、</w:t>
      </w:r>
      <w:r>
        <w:rPr>
          <w:szCs w:val="21"/>
        </w:rPr>
        <w:t>80%</w:t>
      </w:r>
      <w:r>
        <w:rPr>
          <w:szCs w:val="21"/>
        </w:rPr>
        <w:t>、</w:t>
      </w:r>
      <w:r>
        <w:rPr>
          <w:szCs w:val="21"/>
        </w:rPr>
        <w:t>100%</w:t>
      </w:r>
      <w:r>
        <w:rPr>
          <w:szCs w:val="21"/>
        </w:rPr>
        <w:t>和</w:t>
      </w:r>
      <w:r>
        <w:rPr>
          <w:szCs w:val="21"/>
        </w:rPr>
        <w:t>120%</w:t>
      </w:r>
      <w:r>
        <w:rPr>
          <w:szCs w:val="21"/>
        </w:rPr>
        <w:t>；</w:t>
      </w:r>
    </w:p>
    <w:p w14:paraId="5C7E173C" w14:textId="77777777" w:rsidR="00DC3EA5" w:rsidRDefault="00000000">
      <w:pPr>
        <w:numPr>
          <w:ilvl w:val="0"/>
          <w:numId w:val="60"/>
        </w:numPr>
        <w:rPr>
          <w:szCs w:val="21"/>
        </w:rPr>
      </w:pPr>
      <w:r>
        <w:rPr>
          <w:szCs w:val="21"/>
        </w:rPr>
        <w:t>用于励磁曲线测量的仪表应为方均根值表，测量结果与出厂试验报告和型式试验报告相差不大于</w:t>
      </w:r>
      <w:r>
        <w:rPr>
          <w:szCs w:val="21"/>
        </w:rPr>
        <w:t>30%</w:t>
      </w:r>
      <w:r>
        <w:rPr>
          <w:szCs w:val="21"/>
        </w:rPr>
        <w:t>；</w:t>
      </w:r>
    </w:p>
    <w:p w14:paraId="6C4E3F99" w14:textId="77777777" w:rsidR="00DC3EA5" w:rsidRDefault="00000000">
      <w:pPr>
        <w:numPr>
          <w:ilvl w:val="0"/>
          <w:numId w:val="60"/>
        </w:numPr>
        <w:rPr>
          <w:szCs w:val="21"/>
        </w:rPr>
      </w:pPr>
      <w:r>
        <w:rPr>
          <w:szCs w:val="21"/>
        </w:rPr>
        <w:t>与同批次、同型号的其他电磁式电压互感器相比，彼此差异不大于</w:t>
      </w:r>
      <w:r>
        <w:rPr>
          <w:szCs w:val="21"/>
        </w:rPr>
        <w:t>30%</w:t>
      </w:r>
      <w:r>
        <w:rPr>
          <w:szCs w:val="21"/>
        </w:rPr>
        <w:t>；</w:t>
      </w:r>
    </w:p>
    <w:p w14:paraId="10EAB284" w14:textId="77777777" w:rsidR="00DC3EA5" w:rsidRDefault="00000000">
      <w:pPr>
        <w:numPr>
          <w:ilvl w:val="0"/>
          <w:numId w:val="60"/>
        </w:numPr>
        <w:textAlignment w:val="center"/>
        <w:rPr>
          <w:szCs w:val="21"/>
        </w:rPr>
      </w:pPr>
      <w:r>
        <w:rPr>
          <w:szCs w:val="21"/>
        </w:rPr>
        <w:t>励磁特性的拐点电压应大于</w:t>
      </w:r>
      <w:r>
        <w:rPr>
          <w:szCs w:val="21"/>
        </w:rPr>
        <w:object w:dxaOrig="853" w:dyaOrig="270" w14:anchorId="20C159C7">
          <v:shape id="_x0000_i1030" type="#_x0000_t75" style="width:43pt;height:14pt" o:ole="">
            <v:imagedata r:id="rId24" o:title=""/>
          </v:shape>
          <o:OLEObject Type="Embed" ProgID="Equation.3" ShapeID="_x0000_i1030" DrawAspect="Content" ObjectID="_1793207895" r:id="rId25"/>
        </w:object>
      </w:r>
      <w:r>
        <w:rPr>
          <w:szCs w:val="21"/>
        </w:rPr>
        <w:t>(</w:t>
      </w:r>
      <w:r>
        <w:rPr>
          <w:szCs w:val="21"/>
        </w:rPr>
        <w:t>中性点有效接地系统）或</w:t>
      </w:r>
      <w:r>
        <w:rPr>
          <w:szCs w:val="21"/>
        </w:rPr>
        <w:object w:dxaOrig="853" w:dyaOrig="270" w14:anchorId="349DEBEE">
          <v:shape id="_x0000_i1031" type="#_x0000_t75" style="width:43pt;height:14pt" o:ole="">
            <v:imagedata r:id="rId26" o:title=""/>
          </v:shape>
          <o:OLEObject Type="Embed" ProgID="Equation.3" ShapeID="_x0000_i1031" DrawAspect="Content" ObjectID="_1793207896" r:id="rId27"/>
        </w:object>
      </w:r>
      <w:r>
        <w:rPr>
          <w:szCs w:val="21"/>
        </w:rPr>
        <w:t>(</w:t>
      </w:r>
      <w:r>
        <w:rPr>
          <w:szCs w:val="21"/>
        </w:rPr>
        <w:t>中性点非有效接地系统）。</w:t>
      </w:r>
    </w:p>
    <w:p w14:paraId="16CF3504" w14:textId="77777777" w:rsidR="00DC3EA5" w:rsidRDefault="00000000">
      <w:pPr>
        <w:pStyle w:val="a7"/>
        <w:ind w:left="0"/>
        <w:outlineLvl w:val="1"/>
        <w:rPr>
          <w:rFonts w:ascii="Times New Roman"/>
        </w:rPr>
      </w:pPr>
      <w:bookmarkStart w:id="131" w:name="_Toc151477197"/>
      <w:bookmarkStart w:id="132" w:name="_Toc12408"/>
      <w:r>
        <w:rPr>
          <w:rFonts w:ascii="Times New Roman"/>
        </w:rPr>
        <w:t>密封性能检查</w:t>
      </w:r>
      <w:bookmarkEnd w:id="131"/>
      <w:bookmarkEnd w:id="132"/>
    </w:p>
    <w:p w14:paraId="2631A3BC" w14:textId="77777777" w:rsidR="00DC3EA5" w:rsidRDefault="00000000">
      <w:pPr>
        <w:pStyle w:val="-"/>
        <w:numPr>
          <w:ilvl w:val="1"/>
          <w:numId w:val="0"/>
        </w:numPr>
        <w:ind w:firstLineChars="200" w:firstLine="420"/>
        <w:outlineLvl w:val="9"/>
        <w:rPr>
          <w:rFonts w:ascii="Times New Roman" w:eastAsia="宋体" w:hAnsi="Times New Roman"/>
          <w:szCs w:val="20"/>
        </w:rPr>
      </w:pPr>
      <w:bookmarkStart w:id="133" w:name="_Toc11416"/>
      <w:r>
        <w:rPr>
          <w:rFonts w:ascii="Times New Roman" w:eastAsia="宋体" w:hAnsi="Times New Roman"/>
          <w:szCs w:val="20"/>
        </w:rPr>
        <w:t>SF</w:t>
      </w:r>
      <w:r>
        <w:rPr>
          <w:rFonts w:ascii="Times New Roman" w:eastAsia="宋体" w:hAnsi="Times New Roman"/>
          <w:szCs w:val="20"/>
          <w:vertAlign w:val="subscript"/>
        </w:rPr>
        <w:t>6</w:t>
      </w:r>
      <w:r>
        <w:rPr>
          <w:rFonts w:ascii="Times New Roman" w:eastAsia="宋体" w:hAnsi="Times New Roman"/>
          <w:szCs w:val="20"/>
        </w:rPr>
        <w:t>气体绝缘电压互感器定性检漏应无泄漏点，怀疑有泄漏点时应进行定量检漏，年泄漏率应小于</w:t>
      </w:r>
      <w:r>
        <w:rPr>
          <w:rFonts w:ascii="Times New Roman" w:eastAsia="宋体" w:hAnsi="Times New Roman"/>
          <w:szCs w:val="20"/>
        </w:rPr>
        <w:t>1%</w:t>
      </w:r>
      <w:r>
        <w:rPr>
          <w:rFonts w:ascii="Times New Roman" w:eastAsia="宋体" w:hAnsi="Times New Roman"/>
          <w:szCs w:val="20"/>
        </w:rPr>
        <w:t>。</w:t>
      </w:r>
      <w:bookmarkEnd w:id="133"/>
    </w:p>
    <w:p w14:paraId="59632F7F" w14:textId="77777777" w:rsidR="00DC3EA5" w:rsidRDefault="00000000">
      <w:pPr>
        <w:pStyle w:val="a6"/>
        <w:outlineLvl w:val="0"/>
        <w:rPr>
          <w:rFonts w:ascii="Times New Roman"/>
        </w:rPr>
      </w:pPr>
      <w:bookmarkStart w:id="134" w:name="_Toc17614"/>
      <w:r>
        <w:rPr>
          <w:rFonts w:ascii="Times New Roman"/>
        </w:rPr>
        <w:t>电流互感器</w:t>
      </w:r>
      <w:bookmarkEnd w:id="134"/>
    </w:p>
    <w:p w14:paraId="4D2210EC" w14:textId="77777777" w:rsidR="00DC3EA5" w:rsidRDefault="00000000">
      <w:pPr>
        <w:pStyle w:val="a7"/>
        <w:ind w:left="0"/>
        <w:outlineLvl w:val="1"/>
        <w:rPr>
          <w:rFonts w:ascii="Times New Roman"/>
        </w:rPr>
      </w:pPr>
      <w:bookmarkStart w:id="135" w:name="_Toc151477199"/>
      <w:bookmarkStart w:id="136" w:name="_Toc27230"/>
      <w:r>
        <w:rPr>
          <w:rFonts w:ascii="Times New Roman"/>
        </w:rPr>
        <w:t>试验项目</w:t>
      </w:r>
      <w:bookmarkEnd w:id="135"/>
      <w:bookmarkEnd w:id="136"/>
    </w:p>
    <w:p w14:paraId="2EF01C41" w14:textId="77777777" w:rsidR="00DC3EA5" w:rsidRDefault="00000000">
      <w:pPr>
        <w:ind w:firstLine="420"/>
        <w:rPr>
          <w:szCs w:val="21"/>
        </w:rPr>
      </w:pPr>
      <w:r>
        <w:rPr>
          <w:szCs w:val="21"/>
        </w:rPr>
        <w:t>电流互感器的试验项目，应包括下列内容：</w:t>
      </w:r>
    </w:p>
    <w:p w14:paraId="4C78C061" w14:textId="77777777" w:rsidR="00DC3EA5" w:rsidRDefault="00000000">
      <w:pPr>
        <w:numPr>
          <w:ilvl w:val="0"/>
          <w:numId w:val="61"/>
        </w:numPr>
        <w:rPr>
          <w:szCs w:val="21"/>
        </w:rPr>
      </w:pPr>
      <w:r>
        <w:rPr>
          <w:szCs w:val="21"/>
        </w:rPr>
        <w:lastRenderedPageBreak/>
        <w:t>绝缘电阻测量；</w:t>
      </w:r>
    </w:p>
    <w:p w14:paraId="4F79301D" w14:textId="77777777" w:rsidR="00DC3EA5" w:rsidRDefault="00000000">
      <w:pPr>
        <w:numPr>
          <w:ilvl w:val="0"/>
          <w:numId w:val="61"/>
        </w:numPr>
        <w:rPr>
          <w:szCs w:val="21"/>
        </w:rPr>
      </w:pPr>
      <w:r>
        <w:rPr>
          <w:szCs w:val="21"/>
        </w:rPr>
        <w:t>绝缘介质性能试验；</w:t>
      </w:r>
    </w:p>
    <w:p w14:paraId="7737B16F" w14:textId="77777777" w:rsidR="00DC3EA5" w:rsidRDefault="00000000">
      <w:pPr>
        <w:numPr>
          <w:ilvl w:val="0"/>
          <w:numId w:val="61"/>
        </w:numPr>
        <w:rPr>
          <w:szCs w:val="21"/>
        </w:rPr>
      </w:pPr>
      <w:r>
        <w:rPr>
          <w:szCs w:val="21"/>
        </w:rPr>
        <w:t>绕组的直流电阻测量；</w:t>
      </w:r>
    </w:p>
    <w:p w14:paraId="2E9ED48E" w14:textId="77777777" w:rsidR="00DC3EA5" w:rsidRDefault="00000000">
      <w:pPr>
        <w:numPr>
          <w:ilvl w:val="0"/>
          <w:numId w:val="61"/>
        </w:numPr>
        <w:rPr>
          <w:szCs w:val="21"/>
        </w:rPr>
      </w:pPr>
      <w:r>
        <w:rPr>
          <w:szCs w:val="21"/>
        </w:rPr>
        <w:t>接线绕组组别和极性检查；</w:t>
      </w:r>
    </w:p>
    <w:p w14:paraId="1E4D0E59" w14:textId="77777777" w:rsidR="00DC3EA5" w:rsidRDefault="00000000">
      <w:pPr>
        <w:numPr>
          <w:ilvl w:val="0"/>
          <w:numId w:val="61"/>
        </w:numPr>
        <w:rPr>
          <w:szCs w:val="21"/>
        </w:rPr>
      </w:pPr>
      <w:r>
        <w:rPr>
          <w:szCs w:val="21"/>
        </w:rPr>
        <w:t>误差及变比测量；</w:t>
      </w:r>
    </w:p>
    <w:p w14:paraId="0D2C401B" w14:textId="77777777" w:rsidR="00DC3EA5" w:rsidRDefault="00000000">
      <w:pPr>
        <w:numPr>
          <w:ilvl w:val="0"/>
          <w:numId w:val="61"/>
        </w:numPr>
        <w:rPr>
          <w:szCs w:val="21"/>
        </w:rPr>
      </w:pPr>
      <w:r>
        <w:rPr>
          <w:szCs w:val="21"/>
        </w:rPr>
        <w:t>励磁特性曲线测量；</w:t>
      </w:r>
    </w:p>
    <w:p w14:paraId="75A40221" w14:textId="77777777" w:rsidR="00DC3EA5" w:rsidRDefault="00000000">
      <w:pPr>
        <w:numPr>
          <w:ilvl w:val="0"/>
          <w:numId w:val="61"/>
        </w:numPr>
        <w:rPr>
          <w:szCs w:val="21"/>
        </w:rPr>
      </w:pPr>
      <w:r>
        <w:rPr>
          <w:szCs w:val="21"/>
        </w:rPr>
        <w:t>密封性能检查；</w:t>
      </w:r>
    </w:p>
    <w:p w14:paraId="2FF2A047" w14:textId="77777777" w:rsidR="00DC3EA5" w:rsidRDefault="00000000">
      <w:pPr>
        <w:numPr>
          <w:ilvl w:val="0"/>
          <w:numId w:val="61"/>
        </w:numPr>
        <w:rPr>
          <w:szCs w:val="21"/>
        </w:rPr>
      </w:pPr>
      <w:r>
        <w:rPr>
          <w:szCs w:val="21"/>
        </w:rPr>
        <w:t>局部放电试验；</w:t>
      </w:r>
    </w:p>
    <w:p w14:paraId="09FB9A0A" w14:textId="77777777" w:rsidR="00DC3EA5" w:rsidRDefault="00000000">
      <w:pPr>
        <w:numPr>
          <w:ilvl w:val="0"/>
          <w:numId w:val="61"/>
        </w:numPr>
        <w:rPr>
          <w:szCs w:val="21"/>
        </w:rPr>
      </w:pPr>
      <w:r>
        <w:rPr>
          <w:szCs w:val="21"/>
        </w:rPr>
        <w:t>交流耐压试验。</w:t>
      </w:r>
    </w:p>
    <w:p w14:paraId="145127BC" w14:textId="77777777" w:rsidR="00DC3EA5" w:rsidRDefault="00000000">
      <w:pPr>
        <w:pStyle w:val="a7"/>
        <w:ind w:left="0"/>
        <w:outlineLvl w:val="1"/>
        <w:rPr>
          <w:rFonts w:ascii="Times New Roman"/>
        </w:rPr>
      </w:pPr>
      <w:bookmarkStart w:id="137" w:name="_Toc13125"/>
      <w:bookmarkStart w:id="138" w:name="_Toc151477200"/>
      <w:r>
        <w:rPr>
          <w:rFonts w:ascii="Times New Roman"/>
        </w:rPr>
        <w:t>绝缘电阻测量</w:t>
      </w:r>
      <w:bookmarkEnd w:id="137"/>
      <w:bookmarkEnd w:id="138"/>
    </w:p>
    <w:p w14:paraId="086E1052" w14:textId="77777777" w:rsidR="00DC3EA5" w:rsidRDefault="00000000">
      <w:pPr>
        <w:pStyle w:val="21"/>
        <w:numPr>
          <w:ilvl w:val="1"/>
          <w:numId w:val="0"/>
        </w:numPr>
        <w:spacing w:afterLines="0" w:after="0"/>
        <w:ind w:firstLineChars="200" w:firstLine="420"/>
        <w:outlineLvl w:val="9"/>
        <w:rPr>
          <w:rFonts w:ascii="Times New Roman"/>
          <w:color w:val="000000"/>
        </w:rPr>
      </w:pPr>
      <w:bookmarkStart w:id="139" w:name="_Toc24382"/>
      <w:r>
        <w:rPr>
          <w:rFonts w:ascii="Times New Roman" w:eastAsia="宋体"/>
          <w:color w:val="000000"/>
        </w:rPr>
        <w:t>电流互感器的绝缘电阻测量，应符合下列规定：</w:t>
      </w:r>
      <w:bookmarkEnd w:id="139"/>
    </w:p>
    <w:p w14:paraId="0174D609" w14:textId="77777777" w:rsidR="00DC3EA5" w:rsidRDefault="00000000">
      <w:pPr>
        <w:numPr>
          <w:ilvl w:val="0"/>
          <w:numId w:val="62"/>
        </w:numPr>
        <w:rPr>
          <w:szCs w:val="21"/>
        </w:rPr>
      </w:pPr>
      <w:r>
        <w:rPr>
          <w:szCs w:val="21"/>
        </w:rPr>
        <w:t>绝缘电阻测量采用</w:t>
      </w:r>
      <w:r>
        <w:rPr>
          <w:szCs w:val="21"/>
        </w:rPr>
        <w:t>2500 V</w:t>
      </w:r>
      <w:r>
        <w:rPr>
          <w:szCs w:val="21"/>
        </w:rPr>
        <w:t>兆欧表；</w:t>
      </w:r>
    </w:p>
    <w:p w14:paraId="7A43CC3E" w14:textId="77777777" w:rsidR="00DC3EA5" w:rsidRDefault="00000000">
      <w:pPr>
        <w:numPr>
          <w:ilvl w:val="0"/>
          <w:numId w:val="62"/>
        </w:numPr>
        <w:rPr>
          <w:szCs w:val="21"/>
        </w:rPr>
      </w:pPr>
      <w:r>
        <w:rPr>
          <w:szCs w:val="21"/>
        </w:rPr>
        <w:t>测量时非被试绕组（或末屏）、外壳应接地；</w:t>
      </w:r>
    </w:p>
    <w:p w14:paraId="15FF507A" w14:textId="77777777" w:rsidR="00DC3EA5" w:rsidRDefault="00000000">
      <w:pPr>
        <w:numPr>
          <w:ilvl w:val="0"/>
          <w:numId w:val="62"/>
        </w:numPr>
        <w:rPr>
          <w:szCs w:val="21"/>
        </w:rPr>
      </w:pPr>
      <w:r>
        <w:rPr>
          <w:szCs w:val="21"/>
        </w:rPr>
        <w:t>电流互感器具有两个一次绕组时，应测量一次绕组间的绝缘电阻；</w:t>
      </w:r>
    </w:p>
    <w:p w14:paraId="7EBF1130" w14:textId="77777777" w:rsidR="00DC3EA5" w:rsidRDefault="00000000">
      <w:pPr>
        <w:numPr>
          <w:ilvl w:val="0"/>
          <w:numId w:val="62"/>
        </w:numPr>
        <w:rPr>
          <w:szCs w:val="21"/>
        </w:rPr>
      </w:pPr>
      <w:r>
        <w:rPr>
          <w:szCs w:val="21"/>
        </w:rPr>
        <w:t>一次绕组对二次绕组及外壳的绝缘电阻不宜小于</w:t>
      </w:r>
      <w:r>
        <w:rPr>
          <w:szCs w:val="21"/>
        </w:rPr>
        <w:t>1000 MΩ</w:t>
      </w:r>
      <w:r>
        <w:rPr>
          <w:szCs w:val="21"/>
        </w:rPr>
        <w:t>，各二次绕组间及其对外壳的绝缘电阻不宜小于</w:t>
      </w:r>
      <w:r>
        <w:rPr>
          <w:szCs w:val="21"/>
        </w:rPr>
        <w:t>1000 MΩ</w:t>
      </w:r>
      <w:r>
        <w:rPr>
          <w:szCs w:val="21"/>
        </w:rPr>
        <w:t>；</w:t>
      </w:r>
    </w:p>
    <w:p w14:paraId="03035979" w14:textId="77777777" w:rsidR="00DC3EA5" w:rsidRDefault="00000000">
      <w:pPr>
        <w:numPr>
          <w:ilvl w:val="0"/>
          <w:numId w:val="62"/>
        </w:numPr>
        <w:rPr>
          <w:szCs w:val="21"/>
        </w:rPr>
      </w:pPr>
      <w:r>
        <w:rPr>
          <w:szCs w:val="21"/>
        </w:rPr>
        <w:t>测量电流互感器一次绕组段间的绝缘电阻，绝缘电阻值不宜低于</w:t>
      </w:r>
      <w:r>
        <w:rPr>
          <w:szCs w:val="21"/>
        </w:rPr>
        <w:t>1000 MΩ</w:t>
      </w:r>
      <w:r>
        <w:rPr>
          <w:szCs w:val="21"/>
        </w:rPr>
        <w:t>，由于结构原因无法测量时可不测量；</w:t>
      </w:r>
    </w:p>
    <w:p w14:paraId="328C3453" w14:textId="77777777" w:rsidR="00DC3EA5" w:rsidRDefault="00000000">
      <w:pPr>
        <w:numPr>
          <w:ilvl w:val="0"/>
          <w:numId w:val="62"/>
        </w:numPr>
        <w:rPr>
          <w:szCs w:val="21"/>
        </w:rPr>
      </w:pPr>
      <w:r>
        <w:rPr>
          <w:szCs w:val="21"/>
        </w:rPr>
        <w:t>末屏的绝缘电阻不宜小于</w:t>
      </w:r>
      <w:r>
        <w:rPr>
          <w:szCs w:val="21"/>
        </w:rPr>
        <w:t>1000 MΩ</w:t>
      </w:r>
      <w:r>
        <w:rPr>
          <w:szCs w:val="21"/>
        </w:rPr>
        <w:t>。</w:t>
      </w:r>
    </w:p>
    <w:p w14:paraId="47C024ED" w14:textId="77777777" w:rsidR="00DC3EA5" w:rsidRDefault="00000000">
      <w:pPr>
        <w:pStyle w:val="a7"/>
        <w:ind w:left="0"/>
        <w:outlineLvl w:val="1"/>
        <w:rPr>
          <w:rFonts w:ascii="Times New Roman"/>
        </w:rPr>
      </w:pPr>
      <w:bookmarkStart w:id="140" w:name="_Toc27896"/>
      <w:r>
        <w:rPr>
          <w:rFonts w:ascii="Times New Roman"/>
        </w:rPr>
        <w:t>绝缘介质性能试验</w:t>
      </w:r>
      <w:bookmarkEnd w:id="140"/>
    </w:p>
    <w:p w14:paraId="31558199" w14:textId="77777777" w:rsidR="00DC3EA5" w:rsidRDefault="00000000">
      <w:pPr>
        <w:pStyle w:val="affffffff2"/>
        <w:tabs>
          <w:tab w:val="center" w:pos="4201"/>
          <w:tab w:val="right" w:leader="dot" w:pos="9298"/>
        </w:tabs>
        <w:ind w:firstLine="420"/>
        <w:rPr>
          <w:rFonts w:ascii="Times New Roman"/>
        </w:rPr>
      </w:pPr>
      <w:r>
        <w:rPr>
          <w:rFonts w:ascii="Times New Roman"/>
          <w:szCs w:val="21"/>
        </w:rPr>
        <w:t>充入</w:t>
      </w:r>
      <w:r>
        <w:rPr>
          <w:rFonts w:ascii="Times New Roman"/>
          <w:szCs w:val="21"/>
        </w:rPr>
        <w:t>SF</w:t>
      </w:r>
      <w:r>
        <w:rPr>
          <w:rFonts w:ascii="Times New Roman"/>
          <w:szCs w:val="21"/>
          <w:vertAlign w:val="subscript"/>
        </w:rPr>
        <w:t>6</w:t>
      </w:r>
      <w:r>
        <w:rPr>
          <w:rFonts w:ascii="Times New Roman"/>
          <w:szCs w:val="21"/>
        </w:rPr>
        <w:t>气体的</w:t>
      </w:r>
      <w:r>
        <w:rPr>
          <w:rFonts w:ascii="Times New Roman" w:hint="eastAsia"/>
          <w:szCs w:val="21"/>
        </w:rPr>
        <w:t>电流</w:t>
      </w:r>
      <w:r>
        <w:rPr>
          <w:rFonts w:ascii="Times New Roman"/>
          <w:szCs w:val="21"/>
        </w:rPr>
        <w:t>互感器，应静放</w:t>
      </w:r>
      <w:r>
        <w:rPr>
          <w:rFonts w:ascii="Times New Roman"/>
          <w:szCs w:val="21"/>
        </w:rPr>
        <w:t>24 h</w:t>
      </w:r>
      <w:r>
        <w:rPr>
          <w:rFonts w:ascii="Times New Roman"/>
          <w:szCs w:val="21"/>
        </w:rPr>
        <w:t>后取样进行检测，气体水分含量不应大于</w:t>
      </w:r>
      <w:r>
        <w:rPr>
          <w:rFonts w:ascii="Times New Roman"/>
          <w:szCs w:val="21"/>
        </w:rPr>
        <w:t>250 μL/L</w:t>
      </w:r>
      <w:r>
        <w:rPr>
          <w:rFonts w:ascii="Times New Roman"/>
          <w:szCs w:val="21"/>
        </w:rPr>
        <w:t>（</w:t>
      </w:r>
      <w:r>
        <w:rPr>
          <w:rFonts w:ascii="Times New Roman"/>
          <w:szCs w:val="21"/>
        </w:rPr>
        <w:t>20 ℃</w:t>
      </w:r>
      <w:r>
        <w:rPr>
          <w:rFonts w:ascii="Times New Roman"/>
          <w:szCs w:val="21"/>
        </w:rPr>
        <w:t>体积百分数）。</w:t>
      </w:r>
    </w:p>
    <w:p w14:paraId="38599AD5" w14:textId="77777777" w:rsidR="00DC3EA5" w:rsidRDefault="00000000">
      <w:pPr>
        <w:pStyle w:val="a7"/>
        <w:ind w:left="0"/>
        <w:outlineLvl w:val="1"/>
        <w:rPr>
          <w:rFonts w:ascii="Times New Roman"/>
        </w:rPr>
      </w:pPr>
      <w:bookmarkStart w:id="141" w:name="_Toc24007"/>
      <w:bookmarkStart w:id="142" w:name="_Toc151477202"/>
      <w:r>
        <w:rPr>
          <w:rFonts w:ascii="Times New Roman"/>
        </w:rPr>
        <w:t>绕组的直流电阻测量</w:t>
      </w:r>
      <w:bookmarkEnd w:id="141"/>
      <w:bookmarkEnd w:id="142"/>
    </w:p>
    <w:p w14:paraId="6095A575" w14:textId="77777777" w:rsidR="00DC3EA5" w:rsidRDefault="00000000">
      <w:pPr>
        <w:pStyle w:val="affffffff2"/>
        <w:tabs>
          <w:tab w:val="center" w:pos="4201"/>
          <w:tab w:val="right" w:leader="dot" w:pos="9298"/>
        </w:tabs>
        <w:ind w:firstLine="420"/>
        <w:rPr>
          <w:rFonts w:ascii="Times New Roman"/>
        </w:rPr>
      </w:pPr>
      <w:r>
        <w:rPr>
          <w:rFonts w:ascii="Times New Roman"/>
        </w:rPr>
        <w:t>电流互感器的绕组直阻测量，应符合下列规定：</w:t>
      </w:r>
    </w:p>
    <w:p w14:paraId="67F96FAA" w14:textId="77777777" w:rsidR="00DC3EA5" w:rsidRDefault="00000000">
      <w:pPr>
        <w:numPr>
          <w:ilvl w:val="0"/>
          <w:numId w:val="63"/>
        </w:numPr>
        <w:rPr>
          <w:szCs w:val="21"/>
        </w:rPr>
      </w:pPr>
      <w:r>
        <w:rPr>
          <w:szCs w:val="21"/>
        </w:rPr>
        <w:t>与出厂值比较，应无明显差别；</w:t>
      </w:r>
    </w:p>
    <w:p w14:paraId="673DB7C1" w14:textId="77777777" w:rsidR="00DC3EA5" w:rsidRDefault="00000000">
      <w:pPr>
        <w:numPr>
          <w:ilvl w:val="0"/>
          <w:numId w:val="63"/>
        </w:numPr>
        <w:rPr>
          <w:szCs w:val="21"/>
        </w:rPr>
      </w:pPr>
      <w:r>
        <w:rPr>
          <w:szCs w:val="21"/>
        </w:rPr>
        <w:t>同型号、同规格、同批次电流互感器的一、二次直阻和平均值的差异不宜大于</w:t>
      </w:r>
      <w:r>
        <w:rPr>
          <w:szCs w:val="21"/>
        </w:rPr>
        <w:t>10%</w:t>
      </w:r>
      <w:r>
        <w:rPr>
          <w:szCs w:val="21"/>
        </w:rPr>
        <w:t>；</w:t>
      </w:r>
    </w:p>
    <w:p w14:paraId="45BF4FA3" w14:textId="77777777" w:rsidR="00DC3EA5" w:rsidRDefault="00000000">
      <w:pPr>
        <w:numPr>
          <w:ilvl w:val="0"/>
          <w:numId w:val="63"/>
        </w:numPr>
        <w:rPr>
          <w:szCs w:val="21"/>
        </w:rPr>
      </w:pPr>
      <w:r>
        <w:rPr>
          <w:szCs w:val="21"/>
        </w:rPr>
        <w:t>一次绕组有串、并联接线方式时，对电流互感器一次绕组的直流电阻测量应在正常运行方式下测量，或同时测量两种接线方式下的一次绕组的直流电阻，倒立式电流互感器单匝一次绕组的直流电阻之间不宜大于</w:t>
      </w:r>
      <w:r>
        <w:rPr>
          <w:szCs w:val="21"/>
        </w:rPr>
        <w:t>30%</w:t>
      </w:r>
      <w:r>
        <w:rPr>
          <w:szCs w:val="21"/>
        </w:rPr>
        <w:t>；</w:t>
      </w:r>
    </w:p>
    <w:p w14:paraId="575F08F7" w14:textId="77777777" w:rsidR="00DC3EA5" w:rsidRDefault="00000000">
      <w:pPr>
        <w:numPr>
          <w:ilvl w:val="0"/>
          <w:numId w:val="63"/>
        </w:numPr>
        <w:rPr>
          <w:szCs w:val="21"/>
        </w:rPr>
      </w:pPr>
      <w:r>
        <w:rPr>
          <w:szCs w:val="21"/>
        </w:rPr>
        <w:t>当有怀疑时，应提高施加的测量电流，测量电流（直流值）一般不宜超过额定电流（方均根值）</w:t>
      </w:r>
      <w:r>
        <w:rPr>
          <w:szCs w:val="21"/>
        </w:rPr>
        <w:t>50%</w:t>
      </w:r>
      <w:r>
        <w:rPr>
          <w:szCs w:val="21"/>
        </w:rPr>
        <w:t>。</w:t>
      </w:r>
    </w:p>
    <w:p w14:paraId="73E7C305" w14:textId="77777777" w:rsidR="00DC3EA5" w:rsidRDefault="00000000">
      <w:pPr>
        <w:pStyle w:val="a7"/>
        <w:ind w:left="0"/>
        <w:outlineLvl w:val="1"/>
        <w:rPr>
          <w:rFonts w:ascii="Times New Roman"/>
        </w:rPr>
      </w:pPr>
      <w:bookmarkStart w:id="143" w:name="_Toc4248"/>
      <w:bookmarkStart w:id="144" w:name="_Toc151477203"/>
      <w:r>
        <w:rPr>
          <w:rFonts w:ascii="Times New Roman"/>
        </w:rPr>
        <w:t>接线绕组组别和极性检查</w:t>
      </w:r>
      <w:bookmarkEnd w:id="143"/>
      <w:bookmarkEnd w:id="144"/>
    </w:p>
    <w:p w14:paraId="1D31881C" w14:textId="77777777" w:rsidR="00DC3EA5" w:rsidRDefault="00000000">
      <w:pPr>
        <w:pStyle w:val="affffffff2"/>
        <w:tabs>
          <w:tab w:val="center" w:pos="4201"/>
          <w:tab w:val="right" w:leader="dot" w:pos="9298"/>
        </w:tabs>
        <w:ind w:firstLine="420"/>
        <w:rPr>
          <w:rFonts w:ascii="Times New Roman"/>
        </w:rPr>
      </w:pPr>
      <w:r>
        <w:rPr>
          <w:rFonts w:ascii="Times New Roman"/>
        </w:rPr>
        <w:t>确认电流互感器的连接组别和极性，应与铭牌</w:t>
      </w:r>
      <w:r>
        <w:rPr>
          <w:rFonts w:ascii="Times New Roman"/>
          <w:color w:val="000000"/>
        </w:rPr>
        <w:t>和端子</w:t>
      </w:r>
      <w:r>
        <w:rPr>
          <w:rFonts w:ascii="Times New Roman"/>
        </w:rPr>
        <w:t>标志相符。</w:t>
      </w:r>
    </w:p>
    <w:p w14:paraId="103F663A" w14:textId="77777777" w:rsidR="00DC3EA5" w:rsidRDefault="00000000">
      <w:pPr>
        <w:pStyle w:val="a7"/>
        <w:ind w:left="0"/>
        <w:outlineLvl w:val="1"/>
        <w:rPr>
          <w:rFonts w:ascii="Times New Roman"/>
        </w:rPr>
      </w:pPr>
      <w:bookmarkStart w:id="145" w:name="_Toc151477204"/>
      <w:bookmarkStart w:id="146" w:name="_Toc11992"/>
      <w:r>
        <w:rPr>
          <w:rFonts w:ascii="Times New Roman"/>
        </w:rPr>
        <w:t>误差及变比测量</w:t>
      </w:r>
      <w:bookmarkEnd w:id="145"/>
      <w:bookmarkEnd w:id="146"/>
    </w:p>
    <w:p w14:paraId="6B41808E" w14:textId="77777777" w:rsidR="00DC3EA5" w:rsidRDefault="00000000">
      <w:pPr>
        <w:pStyle w:val="affffffff2"/>
        <w:tabs>
          <w:tab w:val="center" w:pos="4201"/>
          <w:tab w:val="right" w:leader="dot" w:pos="9298"/>
        </w:tabs>
        <w:ind w:firstLine="420"/>
        <w:rPr>
          <w:rFonts w:ascii="Times New Roman"/>
        </w:rPr>
      </w:pPr>
      <w:r>
        <w:rPr>
          <w:rFonts w:ascii="Times New Roman"/>
        </w:rPr>
        <w:t>电流互感器的误差和变比测量，应符合下列规定：</w:t>
      </w:r>
    </w:p>
    <w:p w14:paraId="4AEDBE59" w14:textId="77777777" w:rsidR="00DC3EA5" w:rsidRDefault="00000000">
      <w:pPr>
        <w:numPr>
          <w:ilvl w:val="0"/>
          <w:numId w:val="64"/>
        </w:numPr>
        <w:rPr>
          <w:szCs w:val="21"/>
        </w:rPr>
      </w:pPr>
      <w:r>
        <w:rPr>
          <w:szCs w:val="21"/>
        </w:rPr>
        <w:t>用于关口计量的电流互感器应进行误差测量；用于非关口计量的互感器，应检查</w:t>
      </w:r>
      <w:r>
        <w:rPr>
          <w:rFonts w:hint="eastAsia"/>
          <w:szCs w:val="21"/>
        </w:rPr>
        <w:t>电流</w:t>
      </w:r>
      <w:r>
        <w:rPr>
          <w:szCs w:val="21"/>
        </w:rPr>
        <w:t>互感器变比，并应与制造厂铭牌值相符，对多抽头的互感器，可只检查使用分接的变比；</w:t>
      </w:r>
    </w:p>
    <w:p w14:paraId="1DAC326D" w14:textId="77777777" w:rsidR="00DC3EA5" w:rsidRDefault="00000000">
      <w:pPr>
        <w:numPr>
          <w:ilvl w:val="0"/>
          <w:numId w:val="64"/>
        </w:numPr>
        <w:rPr>
          <w:szCs w:val="21"/>
        </w:rPr>
      </w:pPr>
      <w:r>
        <w:rPr>
          <w:szCs w:val="21"/>
        </w:rPr>
        <w:t>误差及变比测量的试验频率应为电流互感器的额定频率，其偏差不大于</w:t>
      </w:r>
      <w:r>
        <w:rPr>
          <w:szCs w:val="21"/>
        </w:rPr>
        <w:t>±5%</w:t>
      </w:r>
      <w:r>
        <w:rPr>
          <w:szCs w:val="21"/>
        </w:rPr>
        <w:t>；</w:t>
      </w:r>
    </w:p>
    <w:p w14:paraId="72174E1F" w14:textId="77777777" w:rsidR="00DC3EA5" w:rsidRDefault="00000000">
      <w:pPr>
        <w:numPr>
          <w:ilvl w:val="0"/>
          <w:numId w:val="64"/>
        </w:numPr>
        <w:rPr>
          <w:szCs w:val="21"/>
        </w:rPr>
      </w:pPr>
      <w:r>
        <w:rPr>
          <w:szCs w:val="21"/>
        </w:rPr>
        <w:lastRenderedPageBreak/>
        <w:t>交接试验可在</w:t>
      </w:r>
      <w:r>
        <w:rPr>
          <w:szCs w:val="21"/>
        </w:rPr>
        <w:t>50 Hz</w:t>
      </w:r>
      <w:r>
        <w:rPr>
          <w:szCs w:val="21"/>
        </w:rPr>
        <w:t>频率下进行，电压幅值无需修正，但应记录试验频率；</w:t>
      </w:r>
    </w:p>
    <w:p w14:paraId="031CE2E4" w14:textId="77777777" w:rsidR="00DC3EA5" w:rsidRDefault="00000000">
      <w:pPr>
        <w:numPr>
          <w:ilvl w:val="0"/>
          <w:numId w:val="64"/>
        </w:numPr>
        <w:rPr>
          <w:szCs w:val="21"/>
        </w:rPr>
      </w:pPr>
      <w:r>
        <w:rPr>
          <w:szCs w:val="21"/>
        </w:rPr>
        <w:t>比差值和相位差与制造厂试验值比较应无明显变化，并符合等级要求；</w:t>
      </w:r>
    </w:p>
    <w:p w14:paraId="06390066" w14:textId="77777777" w:rsidR="00DC3EA5" w:rsidRDefault="00000000">
      <w:pPr>
        <w:numPr>
          <w:ilvl w:val="0"/>
          <w:numId w:val="64"/>
        </w:numPr>
        <w:rPr>
          <w:szCs w:val="21"/>
        </w:rPr>
      </w:pPr>
      <w:r>
        <w:rPr>
          <w:szCs w:val="21"/>
        </w:rPr>
        <w:t>变比测量结果应与制造厂铭牌数据比较应无明显变化。</w:t>
      </w:r>
    </w:p>
    <w:p w14:paraId="53D10C0B" w14:textId="77777777" w:rsidR="00DC3EA5" w:rsidRDefault="00000000">
      <w:pPr>
        <w:pStyle w:val="a7"/>
        <w:ind w:left="0"/>
        <w:outlineLvl w:val="1"/>
        <w:rPr>
          <w:rFonts w:ascii="Times New Roman"/>
        </w:rPr>
      </w:pPr>
      <w:bookmarkStart w:id="147" w:name="_Toc7343"/>
      <w:r>
        <w:rPr>
          <w:rFonts w:ascii="Times New Roman"/>
        </w:rPr>
        <w:t>励磁特性曲线测量</w:t>
      </w:r>
      <w:bookmarkEnd w:id="147"/>
    </w:p>
    <w:p w14:paraId="15C7DB4E" w14:textId="77777777" w:rsidR="00DC3EA5" w:rsidRDefault="00000000">
      <w:pPr>
        <w:pStyle w:val="affffffff2"/>
        <w:tabs>
          <w:tab w:val="center" w:pos="4201"/>
          <w:tab w:val="right" w:leader="dot" w:pos="9298"/>
        </w:tabs>
        <w:ind w:firstLine="420"/>
        <w:rPr>
          <w:rFonts w:ascii="Times New Roman"/>
        </w:rPr>
      </w:pPr>
      <w:r>
        <w:rPr>
          <w:rFonts w:ascii="Times New Roman"/>
        </w:rPr>
        <w:t>电流互感器的励磁特性曲线测量，应符合下列规定：</w:t>
      </w:r>
    </w:p>
    <w:p w14:paraId="2F34F74F" w14:textId="77777777" w:rsidR="00DC3EA5" w:rsidRDefault="00000000">
      <w:pPr>
        <w:numPr>
          <w:ilvl w:val="0"/>
          <w:numId w:val="65"/>
        </w:numPr>
        <w:rPr>
          <w:szCs w:val="21"/>
        </w:rPr>
      </w:pPr>
      <w:r>
        <w:rPr>
          <w:szCs w:val="21"/>
        </w:rPr>
        <w:t>试验频率应为电流互感器运行的额定频率，其偏差不大于</w:t>
      </w:r>
      <w:r>
        <w:rPr>
          <w:szCs w:val="21"/>
        </w:rPr>
        <w:t>±5%</w:t>
      </w:r>
      <w:r>
        <w:rPr>
          <w:szCs w:val="21"/>
        </w:rPr>
        <w:t>。</w:t>
      </w:r>
    </w:p>
    <w:p w14:paraId="1E005F7A" w14:textId="77777777" w:rsidR="00DC3EA5" w:rsidRDefault="00000000">
      <w:pPr>
        <w:numPr>
          <w:ilvl w:val="0"/>
          <w:numId w:val="65"/>
        </w:numPr>
        <w:rPr>
          <w:szCs w:val="21"/>
        </w:rPr>
      </w:pPr>
      <w:r>
        <w:rPr>
          <w:szCs w:val="21"/>
        </w:rPr>
        <w:t>交接试验可在</w:t>
      </w:r>
      <w:r>
        <w:rPr>
          <w:szCs w:val="21"/>
        </w:rPr>
        <w:t>50 Hz</w:t>
      </w:r>
      <w:r>
        <w:rPr>
          <w:szCs w:val="21"/>
        </w:rPr>
        <w:t>频率下进行，电压幅值无需修正，但应记录试验频率。</w:t>
      </w:r>
    </w:p>
    <w:p w14:paraId="0F5B93A1" w14:textId="77777777" w:rsidR="00DC3EA5" w:rsidRDefault="00000000">
      <w:pPr>
        <w:numPr>
          <w:ilvl w:val="0"/>
          <w:numId w:val="65"/>
        </w:numPr>
        <w:rPr>
          <w:szCs w:val="21"/>
        </w:rPr>
      </w:pPr>
      <w:r>
        <w:rPr>
          <w:szCs w:val="21"/>
        </w:rPr>
        <w:t>多抽头电流互感器可对在使用抽头或最大抽头进行测量。</w:t>
      </w:r>
    </w:p>
    <w:p w14:paraId="473B45D4" w14:textId="77777777" w:rsidR="00DC3EA5" w:rsidRDefault="00000000">
      <w:pPr>
        <w:numPr>
          <w:ilvl w:val="0"/>
          <w:numId w:val="65"/>
        </w:numPr>
        <w:rPr>
          <w:szCs w:val="21"/>
        </w:rPr>
      </w:pPr>
      <w:r>
        <w:rPr>
          <w:szCs w:val="21"/>
        </w:rPr>
        <w:t>应在曲线拐点前后附近测量不少于</w:t>
      </w:r>
      <w:r>
        <w:rPr>
          <w:szCs w:val="21"/>
        </w:rPr>
        <w:t>5</w:t>
      </w:r>
      <w:r>
        <w:rPr>
          <w:szCs w:val="21"/>
        </w:rPr>
        <w:t>个点；对于拐点较高的绕组，现场的试验电压不宜超过</w:t>
      </w:r>
      <w:r>
        <w:rPr>
          <w:szCs w:val="21"/>
        </w:rPr>
        <w:t>4.5 kV</w:t>
      </w:r>
      <w:r>
        <w:rPr>
          <w:szCs w:val="21"/>
        </w:rPr>
        <w:t>。</w:t>
      </w:r>
    </w:p>
    <w:p w14:paraId="47F2B4A6" w14:textId="77777777" w:rsidR="00DC3EA5" w:rsidRDefault="00000000">
      <w:pPr>
        <w:numPr>
          <w:ilvl w:val="0"/>
          <w:numId w:val="65"/>
        </w:numPr>
        <w:rPr>
          <w:szCs w:val="21"/>
        </w:rPr>
      </w:pPr>
      <w:r>
        <w:rPr>
          <w:szCs w:val="21"/>
        </w:rPr>
        <w:t>测试仪表应采用方均根值表。</w:t>
      </w:r>
    </w:p>
    <w:p w14:paraId="45092DF4" w14:textId="77777777" w:rsidR="00DC3EA5" w:rsidRDefault="00000000">
      <w:pPr>
        <w:numPr>
          <w:ilvl w:val="0"/>
          <w:numId w:val="65"/>
        </w:numPr>
        <w:rPr>
          <w:szCs w:val="21"/>
        </w:rPr>
      </w:pPr>
      <w:r>
        <w:rPr>
          <w:szCs w:val="21"/>
        </w:rPr>
        <w:t>与同类型互感器特性曲线或制造厂提供的特性曲线相比较，彼此差异不大于</w:t>
      </w:r>
      <w:r>
        <w:rPr>
          <w:szCs w:val="21"/>
        </w:rPr>
        <w:t>30%</w:t>
      </w:r>
      <w:r>
        <w:rPr>
          <w:szCs w:val="21"/>
        </w:rPr>
        <w:t>。</w:t>
      </w:r>
    </w:p>
    <w:p w14:paraId="0C34C7D4" w14:textId="77777777" w:rsidR="00DC3EA5" w:rsidRDefault="00000000">
      <w:pPr>
        <w:pStyle w:val="a7"/>
        <w:ind w:left="0"/>
        <w:outlineLvl w:val="1"/>
        <w:rPr>
          <w:rFonts w:ascii="Times New Roman"/>
        </w:rPr>
      </w:pPr>
      <w:bookmarkStart w:id="148" w:name="_Toc29527"/>
      <w:bookmarkStart w:id="149" w:name="_Toc151477206"/>
      <w:r>
        <w:rPr>
          <w:rFonts w:ascii="Times New Roman"/>
        </w:rPr>
        <w:t>密封性能检查</w:t>
      </w:r>
      <w:bookmarkEnd w:id="148"/>
      <w:bookmarkEnd w:id="149"/>
    </w:p>
    <w:p w14:paraId="5FE2CFDA" w14:textId="77777777" w:rsidR="00DC3EA5" w:rsidRDefault="00000000">
      <w:pPr>
        <w:pStyle w:val="-"/>
        <w:numPr>
          <w:ilvl w:val="1"/>
          <w:numId w:val="0"/>
        </w:numPr>
        <w:ind w:firstLineChars="200" w:firstLine="420"/>
        <w:outlineLvl w:val="9"/>
        <w:rPr>
          <w:rFonts w:ascii="Times New Roman" w:eastAsia="宋体" w:hAnsi="Times New Roman"/>
          <w:szCs w:val="20"/>
        </w:rPr>
      </w:pPr>
      <w:bookmarkStart w:id="150" w:name="_Toc24836"/>
      <w:r>
        <w:rPr>
          <w:rFonts w:ascii="Times New Roman" w:eastAsia="宋体" w:hAnsi="Times New Roman"/>
          <w:szCs w:val="20"/>
        </w:rPr>
        <w:t>SF</w:t>
      </w:r>
      <w:r>
        <w:rPr>
          <w:rFonts w:ascii="Times New Roman" w:eastAsia="宋体" w:hAnsi="Times New Roman"/>
          <w:szCs w:val="20"/>
          <w:vertAlign w:val="subscript"/>
        </w:rPr>
        <w:t>6</w:t>
      </w:r>
      <w:r>
        <w:rPr>
          <w:rFonts w:ascii="Times New Roman" w:eastAsia="宋体" w:hAnsi="Times New Roman"/>
          <w:szCs w:val="20"/>
        </w:rPr>
        <w:t>气体绝缘电流互感器定性检漏应无泄漏点，怀疑有泄漏点时应进行定量检漏，年泄漏率应小于</w:t>
      </w:r>
      <w:r>
        <w:rPr>
          <w:rFonts w:ascii="Times New Roman" w:eastAsia="宋体" w:hAnsi="Times New Roman"/>
          <w:szCs w:val="20"/>
        </w:rPr>
        <w:t>1%</w:t>
      </w:r>
      <w:r>
        <w:rPr>
          <w:rFonts w:ascii="Times New Roman" w:eastAsia="宋体" w:hAnsi="Times New Roman"/>
          <w:szCs w:val="20"/>
        </w:rPr>
        <w:t>。</w:t>
      </w:r>
      <w:bookmarkEnd w:id="150"/>
    </w:p>
    <w:p w14:paraId="1B4CD51C" w14:textId="77777777" w:rsidR="00DC3EA5" w:rsidRDefault="00000000">
      <w:pPr>
        <w:pStyle w:val="a7"/>
        <w:ind w:left="0"/>
        <w:outlineLvl w:val="1"/>
        <w:rPr>
          <w:rFonts w:ascii="Times New Roman"/>
        </w:rPr>
      </w:pPr>
      <w:bookmarkStart w:id="151" w:name="_Toc151477207"/>
      <w:bookmarkStart w:id="152" w:name="_Toc30826"/>
      <w:bookmarkStart w:id="153" w:name="_Toc3202"/>
      <w:r>
        <w:rPr>
          <w:rFonts w:ascii="Times New Roman"/>
        </w:rPr>
        <w:t>局部放电试验</w:t>
      </w:r>
      <w:bookmarkEnd w:id="151"/>
      <w:bookmarkEnd w:id="152"/>
      <w:bookmarkEnd w:id="153"/>
    </w:p>
    <w:p w14:paraId="6D9850C3" w14:textId="77777777" w:rsidR="00DC3EA5" w:rsidRDefault="00000000">
      <w:pPr>
        <w:pStyle w:val="affffffff2"/>
        <w:tabs>
          <w:tab w:val="center" w:pos="4201"/>
          <w:tab w:val="right" w:leader="dot" w:pos="9298"/>
        </w:tabs>
        <w:ind w:firstLine="420"/>
        <w:rPr>
          <w:rFonts w:ascii="Times New Roman"/>
        </w:rPr>
      </w:pPr>
      <w:r>
        <w:rPr>
          <w:rFonts w:ascii="Times New Roman"/>
        </w:rPr>
        <w:t>电流互感器的局部放电试验，应符合下列规定：</w:t>
      </w:r>
    </w:p>
    <w:p w14:paraId="075F2E85" w14:textId="77777777" w:rsidR="00DC3EA5" w:rsidRDefault="00000000">
      <w:pPr>
        <w:pStyle w:val="-8"/>
        <w:numPr>
          <w:ilvl w:val="1"/>
          <w:numId w:val="66"/>
        </w:numPr>
        <w:ind w:leftChars="200" w:left="840" w:hangingChars="200" w:hanging="420"/>
        <w:rPr>
          <w:rFonts w:ascii="Times New Roman" w:hAnsi="Times New Roman" w:cs="Times New Roman"/>
        </w:rPr>
      </w:pPr>
      <w:r>
        <w:rPr>
          <w:rFonts w:ascii="Times New Roman" w:hAnsi="Times New Roman" w:cs="Times New Roman"/>
        </w:rPr>
        <w:t>交流耐压试验的同时进行局部放电检测；</w:t>
      </w:r>
    </w:p>
    <w:p w14:paraId="69886A86" w14:textId="77777777" w:rsidR="00DC3EA5" w:rsidRDefault="00000000">
      <w:pPr>
        <w:pStyle w:val="-8"/>
        <w:numPr>
          <w:ilvl w:val="1"/>
          <w:numId w:val="66"/>
        </w:numPr>
        <w:ind w:leftChars="200" w:left="840" w:hangingChars="200" w:hanging="420"/>
        <w:rPr>
          <w:rFonts w:ascii="Times New Roman" w:hAnsi="Times New Roman" w:cs="Times New Roman"/>
        </w:rPr>
      </w:pPr>
      <w:r>
        <w:rPr>
          <w:rFonts w:ascii="Times New Roman" w:hAnsi="Times New Roman" w:cs="Times New Roman"/>
        </w:rPr>
        <w:t>电压等级为</w:t>
      </w:r>
      <w:r>
        <w:rPr>
          <w:rFonts w:ascii="Times New Roman" w:hAnsi="Times New Roman" w:cs="Times New Roman"/>
        </w:rPr>
        <w:t>10 kV</w:t>
      </w:r>
      <w:r>
        <w:rPr>
          <w:rFonts w:ascii="Times New Roman" w:hAnsi="Times New Roman" w:cs="Times New Roman"/>
        </w:rPr>
        <w:t>～</w:t>
      </w:r>
      <w:r>
        <w:rPr>
          <w:rFonts w:ascii="Times New Roman" w:hAnsi="Times New Roman" w:cs="Times New Roman"/>
        </w:rPr>
        <w:t>110 kV</w:t>
      </w:r>
      <w:r>
        <w:rPr>
          <w:rFonts w:ascii="Times New Roman" w:hAnsi="Times New Roman" w:cs="Times New Roman"/>
        </w:rPr>
        <w:t>电压互感器的局部放电测量可按</w:t>
      </w:r>
      <w:r>
        <w:rPr>
          <w:rFonts w:ascii="Times New Roman" w:hAnsi="Times New Roman" w:cs="Times New Roman"/>
        </w:rPr>
        <w:t>10%</w:t>
      </w:r>
      <w:r>
        <w:rPr>
          <w:rFonts w:ascii="Times New Roman" w:hAnsi="Times New Roman" w:cs="Times New Roman"/>
        </w:rPr>
        <w:t>进行抽测，抽测数量则应按不小于供货电流互感器数量立方根的最小整数；；</w:t>
      </w:r>
    </w:p>
    <w:p w14:paraId="316B7816" w14:textId="77777777" w:rsidR="00DC3EA5" w:rsidRDefault="00000000">
      <w:pPr>
        <w:pStyle w:val="-8"/>
        <w:numPr>
          <w:ilvl w:val="1"/>
          <w:numId w:val="66"/>
        </w:numPr>
        <w:ind w:leftChars="200" w:left="840" w:hangingChars="200" w:hanging="420"/>
        <w:rPr>
          <w:rFonts w:ascii="Times New Roman" w:hAnsi="Times New Roman" w:cs="Times New Roman"/>
        </w:rPr>
      </w:pPr>
      <w:r>
        <w:rPr>
          <w:rFonts w:ascii="Times New Roman" w:hAnsi="Times New Roman" w:cs="Times New Roman"/>
        </w:rPr>
        <w:t>电压等级</w:t>
      </w:r>
      <w:r>
        <w:rPr>
          <w:rFonts w:ascii="Times New Roman" w:hAnsi="Times New Roman" w:cs="Times New Roman"/>
        </w:rPr>
        <w:t>220 kV</w:t>
      </w:r>
      <w:r>
        <w:rPr>
          <w:rFonts w:ascii="Times New Roman" w:hAnsi="Times New Roman" w:cs="Times New Roman"/>
        </w:rPr>
        <w:t>电压互感器在绝缘性能存在怀疑时宜进行局部放电测量；</w:t>
      </w:r>
    </w:p>
    <w:p w14:paraId="02EAC2EE" w14:textId="77777777" w:rsidR="00DC3EA5" w:rsidRDefault="00000000">
      <w:pPr>
        <w:pStyle w:val="-8"/>
        <w:numPr>
          <w:ilvl w:val="1"/>
          <w:numId w:val="66"/>
        </w:numPr>
        <w:ind w:leftChars="200" w:left="840" w:hangingChars="200" w:hanging="420"/>
        <w:rPr>
          <w:rFonts w:ascii="Times New Roman" w:hAnsi="Times New Roman" w:cs="Times New Roman"/>
        </w:rPr>
      </w:pPr>
      <w:r>
        <w:rPr>
          <w:rFonts w:ascii="Times New Roman" w:hAnsi="Times New Roman" w:cs="Times New Roman"/>
        </w:rPr>
        <w:t>局部放电测量的测量电压及允许的视在放电量水平应按表</w:t>
      </w:r>
      <w:r>
        <w:rPr>
          <w:rFonts w:ascii="Times New Roman" w:hAnsi="Times New Roman" w:cs="Times New Roman"/>
        </w:rPr>
        <w:t>2</w:t>
      </w:r>
      <w:r>
        <w:rPr>
          <w:rFonts w:ascii="Times New Roman" w:hAnsi="Times New Roman" w:cs="Times New Roman"/>
        </w:rPr>
        <w:t>确定。</w:t>
      </w:r>
    </w:p>
    <w:p w14:paraId="0344DD43" w14:textId="77777777" w:rsidR="00DC3EA5" w:rsidRDefault="00000000">
      <w:pPr>
        <w:pStyle w:val="-0"/>
        <w:numPr>
          <w:ilvl w:val="0"/>
          <w:numId w:val="56"/>
        </w:numPr>
        <w:rPr>
          <w:rFonts w:ascii="Times New Roman" w:hAnsi="Times New Roman" w:cs="Times New Roman"/>
        </w:rPr>
      </w:pPr>
      <w:r>
        <w:rPr>
          <w:rFonts w:ascii="Times New Roman" w:hAnsi="Times New Roman" w:cs="Times New Roman"/>
        </w:rPr>
        <w:t>测量电压及允许的视在放电量水平</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985"/>
        <w:gridCol w:w="1984"/>
        <w:gridCol w:w="1985"/>
      </w:tblGrid>
      <w:tr w:rsidR="00DC3EA5" w14:paraId="02927AA8" w14:textId="77777777">
        <w:trPr>
          <w:trHeight w:val="340"/>
          <w:jc w:val="center"/>
        </w:trPr>
        <w:tc>
          <w:tcPr>
            <w:tcW w:w="2268" w:type="dxa"/>
            <w:vMerge w:val="restart"/>
            <w:tcBorders>
              <w:top w:val="single" w:sz="12" w:space="0" w:color="auto"/>
              <w:left w:val="single" w:sz="12" w:space="0" w:color="auto"/>
              <w:bottom w:val="single" w:sz="4" w:space="0" w:color="auto"/>
              <w:right w:val="single" w:sz="4" w:space="0" w:color="auto"/>
            </w:tcBorders>
            <w:vAlign w:val="center"/>
          </w:tcPr>
          <w:p w14:paraId="03E8FAAF" w14:textId="77777777" w:rsidR="00DC3EA5" w:rsidRDefault="00000000">
            <w:pPr>
              <w:pStyle w:val="-7"/>
              <w:rPr>
                <w:rFonts w:ascii="Times New Roman" w:hAnsi="Times New Roman"/>
                <w:kern w:val="0"/>
              </w:rPr>
            </w:pPr>
            <w:r>
              <w:rPr>
                <w:rFonts w:ascii="Times New Roman" w:hAnsi="Times New Roman"/>
              </w:rPr>
              <w:t>种类</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14:paraId="1BE5BD8D" w14:textId="77777777" w:rsidR="00DC3EA5" w:rsidRDefault="00000000">
            <w:pPr>
              <w:pStyle w:val="-7"/>
              <w:rPr>
                <w:rFonts w:ascii="Times New Roman" w:hAnsi="Times New Roman"/>
                <w:kern w:val="0"/>
              </w:rPr>
            </w:pPr>
            <w:r>
              <w:rPr>
                <w:rFonts w:ascii="Times New Roman" w:hAnsi="Times New Roman"/>
              </w:rPr>
              <w:t>测量电压（</w:t>
            </w:r>
            <w:r>
              <w:rPr>
                <w:rFonts w:ascii="Times New Roman" w:hAnsi="Times New Roman"/>
              </w:rPr>
              <w:t>kV</w:t>
            </w:r>
            <w:r>
              <w:rPr>
                <w:rFonts w:ascii="Times New Roman" w:hAnsi="Times New Roman"/>
              </w:rPr>
              <w:t>）</w:t>
            </w:r>
          </w:p>
        </w:tc>
        <w:tc>
          <w:tcPr>
            <w:tcW w:w="4535" w:type="dxa"/>
            <w:gridSpan w:val="2"/>
            <w:tcBorders>
              <w:top w:val="single" w:sz="12" w:space="0" w:color="auto"/>
              <w:left w:val="single" w:sz="4" w:space="0" w:color="auto"/>
              <w:bottom w:val="single" w:sz="4" w:space="0" w:color="auto"/>
              <w:right w:val="single" w:sz="12" w:space="0" w:color="auto"/>
            </w:tcBorders>
            <w:vAlign w:val="center"/>
          </w:tcPr>
          <w:p w14:paraId="57A57BFD" w14:textId="77777777" w:rsidR="00DC3EA5" w:rsidRDefault="00000000">
            <w:pPr>
              <w:pStyle w:val="-7"/>
              <w:rPr>
                <w:rFonts w:ascii="Times New Roman" w:hAnsi="Times New Roman"/>
                <w:kern w:val="0"/>
              </w:rPr>
            </w:pPr>
            <w:r>
              <w:rPr>
                <w:rFonts w:ascii="Times New Roman" w:hAnsi="Times New Roman"/>
              </w:rPr>
              <w:t>允许的视在放电量水平（</w:t>
            </w:r>
            <w:r>
              <w:rPr>
                <w:rFonts w:ascii="Times New Roman" w:hAnsi="Times New Roman"/>
              </w:rPr>
              <w:t>pC</w:t>
            </w:r>
            <w:r>
              <w:rPr>
                <w:rFonts w:ascii="Times New Roman" w:hAnsi="Times New Roman"/>
              </w:rPr>
              <w:t>）</w:t>
            </w:r>
          </w:p>
        </w:tc>
      </w:tr>
      <w:tr w:rsidR="00DC3EA5" w14:paraId="219B2B81" w14:textId="77777777">
        <w:trPr>
          <w:trHeight w:val="340"/>
          <w:jc w:val="center"/>
        </w:trPr>
        <w:tc>
          <w:tcPr>
            <w:tcW w:w="2268" w:type="dxa"/>
            <w:vMerge/>
            <w:tcBorders>
              <w:top w:val="single" w:sz="4" w:space="0" w:color="auto"/>
              <w:left w:val="single" w:sz="12" w:space="0" w:color="auto"/>
              <w:bottom w:val="single" w:sz="12" w:space="0" w:color="auto"/>
              <w:right w:val="single" w:sz="4" w:space="0" w:color="auto"/>
            </w:tcBorders>
            <w:vAlign w:val="center"/>
          </w:tcPr>
          <w:p w14:paraId="487843D1" w14:textId="77777777" w:rsidR="00DC3EA5" w:rsidRDefault="00DC3EA5">
            <w:pPr>
              <w:pStyle w:val="-7"/>
              <w:numPr>
                <w:ilvl w:val="0"/>
                <w:numId w:val="34"/>
              </w:numPr>
              <w:ind w:left="0" w:firstLine="0"/>
              <w:rPr>
                <w:rFonts w:ascii="Times New Roman" w:hAnsi="Times New Roman"/>
                <w:kern w:val="0"/>
              </w:rPr>
            </w:pPr>
          </w:p>
        </w:tc>
        <w:tc>
          <w:tcPr>
            <w:tcW w:w="2268" w:type="dxa"/>
            <w:vMerge/>
            <w:tcBorders>
              <w:top w:val="single" w:sz="4" w:space="0" w:color="auto"/>
              <w:left w:val="single" w:sz="4" w:space="0" w:color="auto"/>
              <w:bottom w:val="single" w:sz="12" w:space="0" w:color="auto"/>
              <w:right w:val="single" w:sz="4" w:space="0" w:color="auto"/>
            </w:tcBorders>
            <w:vAlign w:val="center"/>
          </w:tcPr>
          <w:p w14:paraId="48CE7907" w14:textId="77777777" w:rsidR="00DC3EA5" w:rsidRDefault="00DC3EA5">
            <w:pPr>
              <w:pStyle w:val="-7"/>
              <w:numPr>
                <w:ilvl w:val="0"/>
                <w:numId w:val="34"/>
              </w:numPr>
              <w:ind w:left="0" w:firstLine="0"/>
              <w:rPr>
                <w:rFonts w:ascii="Times New Roman" w:hAnsi="Times New Roman"/>
                <w:kern w:val="0"/>
              </w:rPr>
            </w:pPr>
          </w:p>
        </w:tc>
        <w:tc>
          <w:tcPr>
            <w:tcW w:w="2267" w:type="dxa"/>
            <w:tcBorders>
              <w:top w:val="single" w:sz="4" w:space="0" w:color="auto"/>
              <w:left w:val="single" w:sz="4" w:space="0" w:color="auto"/>
              <w:bottom w:val="single" w:sz="12" w:space="0" w:color="auto"/>
              <w:right w:val="single" w:sz="4" w:space="0" w:color="auto"/>
            </w:tcBorders>
            <w:vAlign w:val="center"/>
          </w:tcPr>
          <w:p w14:paraId="3405D2B1" w14:textId="77777777" w:rsidR="00DC3EA5" w:rsidRDefault="00000000">
            <w:pPr>
              <w:pStyle w:val="-7"/>
              <w:rPr>
                <w:rFonts w:ascii="Times New Roman" w:hAnsi="Times New Roman"/>
                <w:kern w:val="0"/>
              </w:rPr>
            </w:pPr>
            <w:r>
              <w:rPr>
                <w:rFonts w:ascii="Times New Roman" w:hAnsi="Times New Roman"/>
              </w:rPr>
              <w:t>环氧树脂及其他干式</w:t>
            </w:r>
          </w:p>
        </w:tc>
        <w:tc>
          <w:tcPr>
            <w:tcW w:w="2268" w:type="dxa"/>
            <w:tcBorders>
              <w:top w:val="single" w:sz="4" w:space="0" w:color="auto"/>
              <w:left w:val="single" w:sz="4" w:space="0" w:color="auto"/>
              <w:bottom w:val="single" w:sz="12" w:space="0" w:color="auto"/>
              <w:right w:val="single" w:sz="12" w:space="0" w:color="auto"/>
            </w:tcBorders>
            <w:vAlign w:val="center"/>
          </w:tcPr>
          <w:p w14:paraId="5E709F46" w14:textId="77777777" w:rsidR="00DC3EA5" w:rsidRDefault="00000000">
            <w:pPr>
              <w:pStyle w:val="-7"/>
              <w:rPr>
                <w:rFonts w:ascii="Times New Roman" w:hAnsi="Times New Roman"/>
                <w:kern w:val="0"/>
              </w:rPr>
            </w:pPr>
            <w:r>
              <w:rPr>
                <w:rFonts w:ascii="Times New Roman" w:hAnsi="Times New Roman"/>
              </w:rPr>
              <w:t>气体式</w:t>
            </w:r>
          </w:p>
        </w:tc>
      </w:tr>
      <w:tr w:rsidR="00DC3EA5" w14:paraId="4D040F5D" w14:textId="77777777">
        <w:trPr>
          <w:trHeight w:val="340"/>
          <w:jc w:val="center"/>
        </w:trPr>
        <w:tc>
          <w:tcPr>
            <w:tcW w:w="2268" w:type="dxa"/>
            <w:vMerge w:val="restart"/>
            <w:tcBorders>
              <w:top w:val="single" w:sz="12" w:space="0" w:color="auto"/>
              <w:left w:val="single" w:sz="12" w:space="0" w:color="auto"/>
              <w:bottom w:val="single" w:sz="4" w:space="0" w:color="auto"/>
              <w:right w:val="single" w:sz="4" w:space="0" w:color="auto"/>
            </w:tcBorders>
            <w:vAlign w:val="center"/>
          </w:tcPr>
          <w:p w14:paraId="58E0BCFE" w14:textId="77777777" w:rsidR="00DC3EA5" w:rsidRDefault="00000000">
            <w:pPr>
              <w:pStyle w:val="-7"/>
              <w:rPr>
                <w:rFonts w:ascii="Times New Roman" w:hAnsi="Times New Roman"/>
                <w:kern w:val="0"/>
              </w:rPr>
            </w:pPr>
            <w:r>
              <w:rPr>
                <w:rFonts w:ascii="Times New Roman" w:hAnsi="Times New Roman"/>
              </w:rPr>
              <w:t>电流互感器</w:t>
            </w:r>
          </w:p>
        </w:tc>
        <w:tc>
          <w:tcPr>
            <w:tcW w:w="2268" w:type="dxa"/>
            <w:tcBorders>
              <w:top w:val="single" w:sz="12" w:space="0" w:color="auto"/>
              <w:left w:val="single" w:sz="4" w:space="0" w:color="auto"/>
              <w:bottom w:val="single" w:sz="4" w:space="0" w:color="auto"/>
              <w:right w:val="single" w:sz="4" w:space="0" w:color="auto"/>
            </w:tcBorders>
            <w:vAlign w:val="center"/>
          </w:tcPr>
          <w:p w14:paraId="40BF40E7" w14:textId="77777777" w:rsidR="00DC3EA5" w:rsidRDefault="00000000">
            <w:pPr>
              <w:pStyle w:val="-7"/>
              <w:rPr>
                <w:rFonts w:ascii="Times New Roman" w:hAnsi="Times New Roman"/>
                <w:kern w:val="0"/>
              </w:rPr>
            </w:pPr>
            <w:r>
              <w:rPr>
                <w:rFonts w:ascii="Times New Roman" w:hAnsi="Times New Roman"/>
                <w:position w:val="-10"/>
                <w:szCs w:val="22"/>
              </w:rPr>
              <w:object w:dxaOrig="863" w:dyaOrig="328" w14:anchorId="2970CBA0">
                <v:shape id="_x0000_i1032" type="#_x0000_t75" style="width:43pt;height:16pt" o:ole="">
                  <v:imagedata r:id="rId28" o:title=""/>
                </v:shape>
                <o:OLEObject Type="Embed" ProgID="Equation.DSMT4" ShapeID="_x0000_i1032" DrawAspect="Content" ObjectID="_1793207897" r:id="rId29"/>
              </w:object>
            </w:r>
          </w:p>
        </w:tc>
        <w:tc>
          <w:tcPr>
            <w:tcW w:w="2267" w:type="dxa"/>
            <w:tcBorders>
              <w:top w:val="single" w:sz="12" w:space="0" w:color="auto"/>
              <w:left w:val="single" w:sz="4" w:space="0" w:color="auto"/>
              <w:bottom w:val="single" w:sz="4" w:space="0" w:color="auto"/>
              <w:right w:val="single" w:sz="4" w:space="0" w:color="auto"/>
            </w:tcBorders>
            <w:vAlign w:val="center"/>
          </w:tcPr>
          <w:p w14:paraId="0429B597" w14:textId="77777777" w:rsidR="00DC3EA5" w:rsidRDefault="00000000">
            <w:pPr>
              <w:pStyle w:val="-7"/>
              <w:rPr>
                <w:rFonts w:ascii="Times New Roman" w:hAnsi="Times New Roman"/>
                <w:kern w:val="0"/>
              </w:rPr>
            </w:pPr>
            <w:r>
              <w:rPr>
                <w:rFonts w:ascii="Times New Roman" w:hAnsi="Times New Roman"/>
                <w:spacing w:val="-8"/>
              </w:rPr>
              <w:t>50</w:t>
            </w:r>
          </w:p>
        </w:tc>
        <w:tc>
          <w:tcPr>
            <w:tcW w:w="2268" w:type="dxa"/>
            <w:tcBorders>
              <w:top w:val="single" w:sz="12" w:space="0" w:color="auto"/>
              <w:left w:val="single" w:sz="4" w:space="0" w:color="auto"/>
              <w:bottom w:val="single" w:sz="4" w:space="0" w:color="auto"/>
              <w:right w:val="single" w:sz="12" w:space="0" w:color="auto"/>
            </w:tcBorders>
            <w:vAlign w:val="center"/>
          </w:tcPr>
          <w:p w14:paraId="4F2802E6" w14:textId="77777777" w:rsidR="00DC3EA5" w:rsidRDefault="00000000">
            <w:pPr>
              <w:pStyle w:val="-7"/>
              <w:rPr>
                <w:rFonts w:ascii="Times New Roman" w:hAnsi="Times New Roman"/>
                <w:kern w:val="0"/>
              </w:rPr>
            </w:pPr>
            <w:r>
              <w:rPr>
                <w:rFonts w:ascii="Times New Roman" w:hAnsi="Times New Roman"/>
              </w:rPr>
              <w:t>20</w:t>
            </w:r>
          </w:p>
        </w:tc>
      </w:tr>
      <w:tr w:rsidR="00DC3EA5" w14:paraId="034A878E" w14:textId="77777777">
        <w:trPr>
          <w:trHeight w:val="340"/>
          <w:jc w:val="center"/>
        </w:trPr>
        <w:tc>
          <w:tcPr>
            <w:tcW w:w="2268" w:type="dxa"/>
            <w:vMerge/>
            <w:tcBorders>
              <w:top w:val="single" w:sz="4" w:space="0" w:color="auto"/>
              <w:left w:val="single" w:sz="12" w:space="0" w:color="auto"/>
              <w:bottom w:val="single" w:sz="12" w:space="0" w:color="auto"/>
              <w:right w:val="single" w:sz="4" w:space="0" w:color="auto"/>
            </w:tcBorders>
            <w:vAlign w:val="center"/>
          </w:tcPr>
          <w:p w14:paraId="2FCE4C83" w14:textId="77777777" w:rsidR="00DC3EA5" w:rsidRDefault="00DC3EA5">
            <w:pPr>
              <w:pStyle w:val="-7"/>
              <w:numPr>
                <w:ilvl w:val="0"/>
                <w:numId w:val="34"/>
              </w:numPr>
              <w:ind w:left="0" w:firstLine="0"/>
              <w:rPr>
                <w:rFonts w:ascii="Times New Roman" w:hAnsi="Times New Roman"/>
                <w:kern w:val="0"/>
              </w:rPr>
            </w:pPr>
          </w:p>
        </w:tc>
        <w:tc>
          <w:tcPr>
            <w:tcW w:w="2268" w:type="dxa"/>
            <w:tcBorders>
              <w:top w:val="single" w:sz="4" w:space="0" w:color="auto"/>
              <w:left w:val="single" w:sz="4" w:space="0" w:color="auto"/>
              <w:bottom w:val="single" w:sz="12" w:space="0" w:color="auto"/>
              <w:right w:val="single" w:sz="4" w:space="0" w:color="auto"/>
            </w:tcBorders>
            <w:vAlign w:val="center"/>
          </w:tcPr>
          <w:p w14:paraId="1859FC62" w14:textId="77777777" w:rsidR="00DC3EA5" w:rsidRDefault="00000000">
            <w:pPr>
              <w:pStyle w:val="-7"/>
              <w:rPr>
                <w:rFonts w:ascii="Times New Roman" w:hAnsi="Times New Roman"/>
                <w:kern w:val="0"/>
              </w:rPr>
            </w:pPr>
            <w:r>
              <w:rPr>
                <w:rFonts w:ascii="Times New Roman" w:hAnsi="Times New Roman"/>
                <w:position w:val="-10"/>
                <w:szCs w:val="22"/>
              </w:rPr>
              <w:object w:dxaOrig="299" w:dyaOrig="271" w14:anchorId="67407B82">
                <v:shape id="_x0000_i1033" type="#_x0000_t75" style="width:15pt;height:14pt" o:ole="">
                  <v:imagedata r:id="rId30" o:title=""/>
                </v:shape>
                <o:OLEObject Type="Embed" ProgID="Equation.DSMT4" ShapeID="_x0000_i1033" DrawAspect="Content" ObjectID="_1793207898" r:id="rId31"/>
              </w:object>
            </w:r>
          </w:p>
        </w:tc>
        <w:tc>
          <w:tcPr>
            <w:tcW w:w="2267" w:type="dxa"/>
            <w:tcBorders>
              <w:top w:val="single" w:sz="4" w:space="0" w:color="auto"/>
              <w:left w:val="single" w:sz="4" w:space="0" w:color="auto"/>
              <w:bottom w:val="single" w:sz="12" w:space="0" w:color="auto"/>
              <w:right w:val="single" w:sz="4" w:space="0" w:color="auto"/>
            </w:tcBorders>
            <w:vAlign w:val="center"/>
          </w:tcPr>
          <w:p w14:paraId="4F33F752" w14:textId="77777777" w:rsidR="00DC3EA5" w:rsidRDefault="00000000">
            <w:pPr>
              <w:pStyle w:val="-7"/>
              <w:rPr>
                <w:rFonts w:ascii="Times New Roman" w:hAnsi="Times New Roman"/>
                <w:kern w:val="0"/>
              </w:rPr>
            </w:pPr>
            <w:r>
              <w:rPr>
                <w:rFonts w:ascii="Times New Roman" w:hAnsi="Times New Roman"/>
                <w:spacing w:val="-8"/>
              </w:rPr>
              <w:t>100</w:t>
            </w:r>
          </w:p>
        </w:tc>
        <w:tc>
          <w:tcPr>
            <w:tcW w:w="2268" w:type="dxa"/>
            <w:tcBorders>
              <w:top w:val="single" w:sz="4" w:space="0" w:color="auto"/>
              <w:left w:val="single" w:sz="4" w:space="0" w:color="auto"/>
              <w:bottom w:val="single" w:sz="12" w:space="0" w:color="auto"/>
              <w:right w:val="single" w:sz="12" w:space="0" w:color="auto"/>
            </w:tcBorders>
            <w:vAlign w:val="center"/>
          </w:tcPr>
          <w:p w14:paraId="17A3D5B7" w14:textId="77777777" w:rsidR="00DC3EA5" w:rsidRDefault="00000000">
            <w:pPr>
              <w:pStyle w:val="-7"/>
              <w:rPr>
                <w:rFonts w:ascii="Times New Roman" w:hAnsi="Times New Roman"/>
                <w:kern w:val="0"/>
              </w:rPr>
            </w:pPr>
            <w:r>
              <w:rPr>
                <w:rFonts w:ascii="Times New Roman" w:hAnsi="Times New Roman"/>
              </w:rPr>
              <w:t>50</w:t>
            </w:r>
          </w:p>
        </w:tc>
      </w:tr>
    </w:tbl>
    <w:p w14:paraId="5D3EFD4B" w14:textId="77777777" w:rsidR="00DC3EA5" w:rsidRDefault="00DC3EA5">
      <w:pPr>
        <w:pStyle w:val="-8"/>
        <w:ind w:firstLineChars="0" w:firstLine="0"/>
        <w:rPr>
          <w:rFonts w:ascii="Times New Roman" w:hAnsi="Times New Roman" w:cs="Times New Roman"/>
        </w:rPr>
      </w:pPr>
    </w:p>
    <w:p w14:paraId="5488149E" w14:textId="77777777" w:rsidR="00DC3EA5" w:rsidRDefault="00000000">
      <w:pPr>
        <w:pStyle w:val="a7"/>
        <w:ind w:left="0"/>
        <w:outlineLvl w:val="1"/>
        <w:rPr>
          <w:rFonts w:ascii="Times New Roman"/>
        </w:rPr>
      </w:pPr>
      <w:bookmarkStart w:id="154" w:name="_Toc4137"/>
      <w:bookmarkStart w:id="155" w:name="_Toc151477208"/>
      <w:bookmarkStart w:id="156" w:name="_Toc17362"/>
      <w:r>
        <w:rPr>
          <w:rFonts w:ascii="Times New Roman"/>
        </w:rPr>
        <w:t>交流耐压试验</w:t>
      </w:r>
      <w:bookmarkEnd w:id="154"/>
      <w:bookmarkEnd w:id="155"/>
      <w:bookmarkEnd w:id="156"/>
    </w:p>
    <w:p w14:paraId="038BD13C" w14:textId="77777777" w:rsidR="00DC3EA5" w:rsidRDefault="00000000">
      <w:pPr>
        <w:pStyle w:val="affffffff2"/>
        <w:tabs>
          <w:tab w:val="center" w:pos="4201"/>
          <w:tab w:val="right" w:leader="dot" w:pos="9298"/>
        </w:tabs>
        <w:ind w:firstLine="420"/>
        <w:rPr>
          <w:rFonts w:ascii="Times New Roman"/>
        </w:rPr>
      </w:pPr>
      <w:r>
        <w:rPr>
          <w:rFonts w:ascii="Times New Roman"/>
        </w:rPr>
        <w:t>电流互感器的的交流耐压试验，应符合下列规定：</w:t>
      </w:r>
    </w:p>
    <w:p w14:paraId="25E6AA7D" w14:textId="77777777" w:rsidR="00DC3EA5" w:rsidRDefault="00000000">
      <w:pPr>
        <w:pStyle w:val="-8"/>
        <w:numPr>
          <w:ilvl w:val="1"/>
          <w:numId w:val="67"/>
        </w:numPr>
        <w:ind w:leftChars="200" w:left="840" w:hangingChars="200" w:hanging="420"/>
        <w:rPr>
          <w:rFonts w:ascii="Times New Roman" w:hAnsi="Times New Roman" w:cs="Times New Roman"/>
        </w:rPr>
      </w:pPr>
      <w:r>
        <w:rPr>
          <w:rFonts w:ascii="Times New Roman" w:hAnsi="Times New Roman" w:cs="Times New Roman"/>
        </w:rPr>
        <w:t>一次绕组按出厂值的</w:t>
      </w:r>
      <w:r>
        <w:rPr>
          <w:rFonts w:ascii="Times New Roman" w:hAnsi="Times New Roman" w:cs="Times New Roman"/>
        </w:rPr>
        <w:t>80%</w:t>
      </w:r>
      <w:r>
        <w:rPr>
          <w:rFonts w:ascii="Times New Roman" w:hAnsi="Times New Roman" w:cs="Times New Roman"/>
        </w:rPr>
        <w:t>进行，并应在高压侧监视施加电压；</w:t>
      </w:r>
    </w:p>
    <w:p w14:paraId="1D274006" w14:textId="77777777" w:rsidR="00DC3EA5" w:rsidRDefault="00000000">
      <w:pPr>
        <w:pStyle w:val="-8"/>
        <w:numPr>
          <w:ilvl w:val="1"/>
          <w:numId w:val="67"/>
        </w:numPr>
        <w:ind w:leftChars="200" w:left="840" w:hangingChars="200" w:hanging="420"/>
        <w:rPr>
          <w:rFonts w:ascii="Times New Roman" w:hAnsi="Times New Roman" w:cs="Times New Roman"/>
        </w:rPr>
      </w:pPr>
      <w:r>
        <w:rPr>
          <w:rFonts w:ascii="Times New Roman" w:hAnsi="Times New Roman" w:cs="Times New Roman"/>
        </w:rPr>
        <w:t>二次绕组之间及其对地的工频耐受电压为</w:t>
      </w:r>
      <w:r>
        <w:rPr>
          <w:rFonts w:ascii="Times New Roman" w:hAnsi="Times New Roman" w:cs="Times New Roman"/>
        </w:rPr>
        <w:t>2 kV</w:t>
      </w:r>
      <w:r>
        <w:rPr>
          <w:rFonts w:ascii="Times New Roman" w:hAnsi="Times New Roman" w:cs="Times New Roman"/>
        </w:rPr>
        <w:t>，可用</w:t>
      </w:r>
      <w:r>
        <w:rPr>
          <w:rFonts w:ascii="Times New Roman" w:hAnsi="Times New Roman" w:cs="Times New Roman"/>
        </w:rPr>
        <w:t>2500 V</w:t>
      </w:r>
      <w:r>
        <w:rPr>
          <w:rFonts w:ascii="Times New Roman" w:hAnsi="Times New Roman" w:cs="Times New Roman"/>
        </w:rPr>
        <w:t>兆欧表代替；</w:t>
      </w:r>
    </w:p>
    <w:p w14:paraId="05CFEC04" w14:textId="77777777" w:rsidR="00DC3EA5" w:rsidRDefault="00000000">
      <w:pPr>
        <w:pStyle w:val="-8"/>
        <w:numPr>
          <w:ilvl w:val="1"/>
          <w:numId w:val="67"/>
        </w:numPr>
        <w:ind w:leftChars="200" w:left="840" w:hangingChars="200" w:hanging="420"/>
        <w:rPr>
          <w:rFonts w:ascii="Times New Roman" w:hAnsi="Times New Roman" w:cs="Times New Roman"/>
        </w:rPr>
      </w:pPr>
      <w:r>
        <w:rPr>
          <w:rFonts w:ascii="Times New Roman" w:hAnsi="Times New Roman" w:cs="Times New Roman"/>
        </w:rPr>
        <w:t>电压等级</w:t>
      </w:r>
      <w:r>
        <w:rPr>
          <w:rFonts w:ascii="Times New Roman" w:hAnsi="Times New Roman" w:cs="Times New Roman"/>
        </w:rPr>
        <w:t>110 kV</w:t>
      </w:r>
      <w:r>
        <w:rPr>
          <w:rFonts w:ascii="Times New Roman" w:hAnsi="Times New Roman" w:cs="Times New Roman"/>
        </w:rPr>
        <w:t>及以上的电流互感器末屏的工频耐受电压应为</w:t>
      </w:r>
      <w:r>
        <w:rPr>
          <w:rFonts w:ascii="Times New Roman" w:hAnsi="Times New Roman" w:cs="Times New Roman"/>
        </w:rPr>
        <w:t>2 kV</w:t>
      </w:r>
      <w:r>
        <w:rPr>
          <w:rFonts w:ascii="Times New Roman" w:hAnsi="Times New Roman" w:cs="Times New Roman"/>
        </w:rPr>
        <w:t>，可用</w:t>
      </w:r>
      <w:r>
        <w:rPr>
          <w:rFonts w:ascii="Times New Roman" w:hAnsi="Times New Roman" w:cs="Times New Roman"/>
        </w:rPr>
        <w:t>2500 V</w:t>
      </w:r>
      <w:r>
        <w:rPr>
          <w:rFonts w:ascii="Times New Roman" w:hAnsi="Times New Roman" w:cs="Times New Roman"/>
        </w:rPr>
        <w:t>兆欧表测量绝缘电阻试验替代。</w:t>
      </w:r>
    </w:p>
    <w:p w14:paraId="149E1405" w14:textId="77777777" w:rsidR="00DC3EA5" w:rsidRDefault="00000000">
      <w:pPr>
        <w:pStyle w:val="a6"/>
        <w:outlineLvl w:val="0"/>
        <w:rPr>
          <w:rFonts w:ascii="Times New Roman"/>
        </w:rPr>
      </w:pPr>
      <w:bookmarkStart w:id="157" w:name="_Toc1986"/>
      <w:bookmarkStart w:id="158" w:name="_Toc151477209"/>
      <w:r>
        <w:rPr>
          <w:rFonts w:ascii="Times New Roman"/>
        </w:rPr>
        <w:t>真空断路器</w:t>
      </w:r>
      <w:bookmarkEnd w:id="157"/>
      <w:bookmarkEnd w:id="158"/>
    </w:p>
    <w:p w14:paraId="0F72D0FF" w14:textId="77777777" w:rsidR="00DC3EA5" w:rsidRDefault="00000000">
      <w:pPr>
        <w:pStyle w:val="a7"/>
        <w:ind w:left="0"/>
        <w:outlineLvl w:val="1"/>
        <w:rPr>
          <w:rFonts w:ascii="Times New Roman"/>
        </w:rPr>
      </w:pPr>
      <w:bookmarkStart w:id="159" w:name="_Toc6780"/>
      <w:bookmarkStart w:id="160" w:name="_Toc151477210"/>
      <w:r>
        <w:rPr>
          <w:rFonts w:ascii="Times New Roman"/>
        </w:rPr>
        <w:lastRenderedPageBreak/>
        <w:t>试验项目</w:t>
      </w:r>
      <w:bookmarkEnd w:id="159"/>
      <w:bookmarkEnd w:id="160"/>
    </w:p>
    <w:p w14:paraId="42C87D8F"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color w:val="000000"/>
          <w:szCs w:val="21"/>
        </w:rPr>
        <w:t>真空断路器的试验项目，应包括下列内容：</w:t>
      </w:r>
    </w:p>
    <w:p w14:paraId="2085B643" w14:textId="77777777" w:rsidR="00DC3EA5" w:rsidRDefault="00000000">
      <w:pPr>
        <w:numPr>
          <w:ilvl w:val="0"/>
          <w:numId w:val="68"/>
        </w:numPr>
        <w:rPr>
          <w:szCs w:val="21"/>
        </w:rPr>
      </w:pPr>
      <w:r>
        <w:rPr>
          <w:szCs w:val="21"/>
        </w:rPr>
        <w:t>绝缘电阻测量；</w:t>
      </w:r>
    </w:p>
    <w:p w14:paraId="44ADDD9D" w14:textId="77777777" w:rsidR="00DC3EA5" w:rsidRDefault="00000000">
      <w:pPr>
        <w:numPr>
          <w:ilvl w:val="0"/>
          <w:numId w:val="68"/>
        </w:numPr>
        <w:rPr>
          <w:szCs w:val="21"/>
        </w:rPr>
      </w:pPr>
      <w:r>
        <w:rPr>
          <w:szCs w:val="21"/>
        </w:rPr>
        <w:t>每相导电回路的电阻测量；</w:t>
      </w:r>
    </w:p>
    <w:p w14:paraId="5D1BAF7E" w14:textId="77777777" w:rsidR="00DC3EA5" w:rsidRDefault="00000000">
      <w:pPr>
        <w:numPr>
          <w:ilvl w:val="0"/>
          <w:numId w:val="68"/>
        </w:numPr>
        <w:rPr>
          <w:szCs w:val="21"/>
        </w:rPr>
      </w:pPr>
      <w:r>
        <w:rPr>
          <w:szCs w:val="21"/>
        </w:rPr>
        <w:t>交流耐压试验；</w:t>
      </w:r>
    </w:p>
    <w:p w14:paraId="0A285E5A" w14:textId="77777777" w:rsidR="00DC3EA5" w:rsidRDefault="00000000">
      <w:pPr>
        <w:numPr>
          <w:ilvl w:val="0"/>
          <w:numId w:val="68"/>
        </w:numPr>
        <w:rPr>
          <w:szCs w:val="21"/>
        </w:rPr>
      </w:pPr>
      <w:r>
        <w:rPr>
          <w:szCs w:val="21"/>
        </w:rPr>
        <w:t>分、合闸线圈及合闸接触器线圈的绝缘电阻和直流电阻测量；</w:t>
      </w:r>
    </w:p>
    <w:p w14:paraId="49B8538C" w14:textId="77777777" w:rsidR="00DC3EA5" w:rsidRDefault="00000000">
      <w:pPr>
        <w:numPr>
          <w:ilvl w:val="0"/>
          <w:numId w:val="68"/>
        </w:numPr>
        <w:rPr>
          <w:szCs w:val="21"/>
        </w:rPr>
      </w:pPr>
      <w:r>
        <w:rPr>
          <w:szCs w:val="21"/>
        </w:rPr>
        <w:t>主触头的分合闸时间和同期性测量；</w:t>
      </w:r>
    </w:p>
    <w:p w14:paraId="3F6A0C2F" w14:textId="77777777" w:rsidR="00DC3EA5" w:rsidRDefault="00000000">
      <w:pPr>
        <w:numPr>
          <w:ilvl w:val="0"/>
          <w:numId w:val="68"/>
        </w:numPr>
        <w:rPr>
          <w:szCs w:val="21"/>
        </w:rPr>
      </w:pPr>
      <w:r>
        <w:rPr>
          <w:szCs w:val="21"/>
        </w:rPr>
        <w:t>操动机构的试验；</w:t>
      </w:r>
    </w:p>
    <w:p w14:paraId="6262373F" w14:textId="77777777" w:rsidR="00DC3EA5" w:rsidRDefault="00000000">
      <w:pPr>
        <w:numPr>
          <w:ilvl w:val="0"/>
          <w:numId w:val="68"/>
        </w:numPr>
        <w:rPr>
          <w:szCs w:val="21"/>
        </w:rPr>
      </w:pPr>
      <w:r>
        <w:rPr>
          <w:szCs w:val="21"/>
        </w:rPr>
        <w:t>辅助回路和控制回路的绝缘电阻测量。</w:t>
      </w:r>
    </w:p>
    <w:p w14:paraId="6CEE535C" w14:textId="77777777" w:rsidR="00DC3EA5" w:rsidRDefault="00000000">
      <w:pPr>
        <w:pStyle w:val="a7"/>
        <w:ind w:left="0"/>
        <w:outlineLvl w:val="1"/>
        <w:rPr>
          <w:rFonts w:ascii="Times New Roman"/>
        </w:rPr>
      </w:pPr>
      <w:bookmarkStart w:id="161" w:name="_Toc12847"/>
      <w:bookmarkStart w:id="162" w:name="_Toc151477211"/>
      <w:r>
        <w:rPr>
          <w:rFonts w:ascii="Times New Roman"/>
        </w:rPr>
        <w:t>绝缘电阻测量</w:t>
      </w:r>
      <w:bookmarkEnd w:id="161"/>
      <w:bookmarkEnd w:id="162"/>
    </w:p>
    <w:p w14:paraId="0E00EAB5" w14:textId="77777777" w:rsidR="00DC3EA5" w:rsidRDefault="00000000">
      <w:pPr>
        <w:pStyle w:val="affffffff2"/>
        <w:tabs>
          <w:tab w:val="center" w:pos="4201"/>
          <w:tab w:val="right" w:leader="dot" w:pos="9298"/>
        </w:tabs>
        <w:ind w:firstLine="420"/>
        <w:rPr>
          <w:rFonts w:ascii="Times New Roman"/>
        </w:rPr>
      </w:pPr>
      <w:r>
        <w:rPr>
          <w:rFonts w:ascii="Times New Roman"/>
        </w:rPr>
        <w:t>真空断路器主回路对地的绝缘电阻测量应使用</w:t>
      </w:r>
      <w:r>
        <w:rPr>
          <w:rFonts w:ascii="Times New Roman"/>
        </w:rPr>
        <w:t>2500 V</w:t>
      </w:r>
      <w:r>
        <w:rPr>
          <w:rFonts w:ascii="Times New Roman"/>
        </w:rPr>
        <w:t>兆欧表，其值应符合产品技术文件的规定。</w:t>
      </w:r>
    </w:p>
    <w:p w14:paraId="5438E603" w14:textId="77777777" w:rsidR="00DC3EA5" w:rsidRDefault="00000000">
      <w:pPr>
        <w:pStyle w:val="a7"/>
        <w:ind w:left="0"/>
        <w:outlineLvl w:val="1"/>
        <w:rPr>
          <w:rFonts w:ascii="Times New Roman"/>
        </w:rPr>
      </w:pPr>
      <w:bookmarkStart w:id="163" w:name="_Toc1567"/>
      <w:bookmarkStart w:id="164" w:name="_Toc151477212"/>
      <w:r>
        <w:rPr>
          <w:rFonts w:ascii="Times New Roman"/>
        </w:rPr>
        <w:t>每相导电回路的电阻测量</w:t>
      </w:r>
      <w:bookmarkEnd w:id="163"/>
      <w:bookmarkEnd w:id="164"/>
    </w:p>
    <w:p w14:paraId="25DCED23" w14:textId="77777777" w:rsidR="00DC3EA5" w:rsidRDefault="00000000">
      <w:pPr>
        <w:pStyle w:val="affffffff2"/>
        <w:tabs>
          <w:tab w:val="center" w:pos="4201"/>
          <w:tab w:val="right" w:leader="dot" w:pos="9298"/>
        </w:tabs>
        <w:ind w:firstLine="420"/>
        <w:rPr>
          <w:rFonts w:ascii="Times New Roman"/>
        </w:rPr>
      </w:pPr>
      <w:r>
        <w:rPr>
          <w:rFonts w:ascii="Times New Roman"/>
          <w:color w:val="000000"/>
          <w:szCs w:val="21"/>
        </w:rPr>
        <w:t>真空断路器</w:t>
      </w:r>
      <w:r>
        <w:rPr>
          <w:rFonts w:ascii="Times New Roman"/>
        </w:rPr>
        <w:t>每相导电回路的电阻测量</w:t>
      </w:r>
      <w:r>
        <w:rPr>
          <w:rFonts w:ascii="Times New Roman"/>
          <w:color w:val="000000"/>
          <w:szCs w:val="21"/>
        </w:rPr>
        <w:t>，</w:t>
      </w:r>
      <w:r>
        <w:rPr>
          <w:rFonts w:ascii="Times New Roman"/>
        </w:rPr>
        <w:t>应符合下列规定：</w:t>
      </w:r>
    </w:p>
    <w:p w14:paraId="27822EB5" w14:textId="77777777" w:rsidR="00DC3EA5" w:rsidRDefault="00000000">
      <w:pPr>
        <w:numPr>
          <w:ilvl w:val="0"/>
          <w:numId w:val="69"/>
        </w:numPr>
        <w:rPr>
          <w:szCs w:val="21"/>
        </w:rPr>
      </w:pPr>
      <w:r>
        <w:rPr>
          <w:szCs w:val="21"/>
        </w:rPr>
        <w:t>应采用直流压降法进行，电流不小于</w:t>
      </w:r>
      <w:r>
        <w:rPr>
          <w:szCs w:val="21"/>
        </w:rPr>
        <w:t>100 A</w:t>
      </w:r>
      <w:r>
        <w:rPr>
          <w:szCs w:val="21"/>
        </w:rPr>
        <w:t>；</w:t>
      </w:r>
    </w:p>
    <w:p w14:paraId="4846AB2C" w14:textId="77777777" w:rsidR="00DC3EA5" w:rsidRDefault="00000000">
      <w:pPr>
        <w:numPr>
          <w:ilvl w:val="0"/>
          <w:numId w:val="69"/>
        </w:numPr>
        <w:rPr>
          <w:szCs w:val="21"/>
        </w:rPr>
      </w:pPr>
      <w:r>
        <w:rPr>
          <w:szCs w:val="21"/>
        </w:rPr>
        <w:t>应不大于出厂值的</w:t>
      </w:r>
      <w:r>
        <w:rPr>
          <w:szCs w:val="21"/>
        </w:rPr>
        <w:t>120%</w:t>
      </w:r>
      <w:r>
        <w:rPr>
          <w:szCs w:val="21"/>
        </w:rPr>
        <w:t>，且不超过产品技术文件的规定值。</w:t>
      </w:r>
    </w:p>
    <w:p w14:paraId="5A219385" w14:textId="77777777" w:rsidR="00DC3EA5" w:rsidRDefault="00000000">
      <w:pPr>
        <w:pStyle w:val="a7"/>
        <w:ind w:left="0"/>
        <w:outlineLvl w:val="1"/>
        <w:rPr>
          <w:rFonts w:ascii="Times New Roman"/>
        </w:rPr>
      </w:pPr>
      <w:bookmarkStart w:id="165" w:name="_Toc22824"/>
      <w:bookmarkStart w:id="166" w:name="_Toc151477213"/>
      <w:r>
        <w:rPr>
          <w:rFonts w:ascii="Times New Roman"/>
        </w:rPr>
        <w:t>交流耐压试验</w:t>
      </w:r>
      <w:bookmarkEnd w:id="165"/>
      <w:bookmarkEnd w:id="166"/>
    </w:p>
    <w:p w14:paraId="55253BAB" w14:textId="77777777" w:rsidR="00DC3EA5" w:rsidRDefault="00000000">
      <w:pPr>
        <w:pStyle w:val="affffffff2"/>
        <w:tabs>
          <w:tab w:val="center" w:pos="4201"/>
          <w:tab w:val="right" w:leader="dot" w:pos="9298"/>
        </w:tabs>
        <w:ind w:firstLine="420"/>
        <w:rPr>
          <w:rFonts w:ascii="Times New Roman"/>
        </w:rPr>
      </w:pPr>
      <w:r>
        <w:rPr>
          <w:rFonts w:ascii="Times New Roman"/>
          <w:color w:val="000000"/>
          <w:szCs w:val="21"/>
        </w:rPr>
        <w:t>真空断路器主回路的</w:t>
      </w:r>
      <w:r>
        <w:rPr>
          <w:rFonts w:ascii="Times New Roman"/>
        </w:rPr>
        <w:t>交流耐压试验</w:t>
      </w:r>
      <w:r>
        <w:rPr>
          <w:rFonts w:ascii="Times New Roman"/>
          <w:color w:val="000000"/>
          <w:szCs w:val="21"/>
        </w:rPr>
        <w:t>，</w:t>
      </w:r>
      <w:r>
        <w:rPr>
          <w:rFonts w:ascii="Times New Roman"/>
        </w:rPr>
        <w:t>应符合下列规定：</w:t>
      </w:r>
    </w:p>
    <w:p w14:paraId="106EED9C" w14:textId="77777777" w:rsidR="00DC3EA5" w:rsidRDefault="00000000">
      <w:pPr>
        <w:numPr>
          <w:ilvl w:val="0"/>
          <w:numId w:val="70"/>
        </w:numPr>
        <w:rPr>
          <w:szCs w:val="21"/>
        </w:rPr>
      </w:pPr>
      <w:r>
        <w:rPr>
          <w:szCs w:val="21"/>
        </w:rPr>
        <w:t>真空灭弧室断口间的试验电压按产品技术文件的规定，如无特殊规定，试验电压参照表</w:t>
      </w:r>
      <w:r>
        <w:rPr>
          <w:szCs w:val="21"/>
        </w:rPr>
        <w:t>3</w:t>
      </w:r>
      <w:r>
        <w:rPr>
          <w:szCs w:val="21"/>
        </w:rPr>
        <w:t>：</w:t>
      </w:r>
    </w:p>
    <w:p w14:paraId="0A9E2F06" w14:textId="77777777" w:rsidR="00DC3EA5" w:rsidRDefault="00000000">
      <w:pPr>
        <w:numPr>
          <w:ilvl w:val="0"/>
          <w:numId w:val="70"/>
        </w:numPr>
        <w:rPr>
          <w:szCs w:val="22"/>
        </w:rPr>
      </w:pPr>
      <w:r>
        <w:rPr>
          <w:szCs w:val="22"/>
        </w:rPr>
        <w:t>在分、合闸状态下分别进行；</w:t>
      </w:r>
    </w:p>
    <w:p w14:paraId="717EB93E" w14:textId="77777777" w:rsidR="00DC3EA5" w:rsidRDefault="00000000">
      <w:pPr>
        <w:numPr>
          <w:ilvl w:val="0"/>
          <w:numId w:val="70"/>
        </w:numPr>
        <w:rPr>
          <w:szCs w:val="22"/>
        </w:rPr>
      </w:pPr>
      <w:r>
        <w:rPr>
          <w:szCs w:val="22"/>
        </w:rPr>
        <w:t>更换或干燥后的绝缘提升杆应进行耐压试验；</w:t>
      </w:r>
    </w:p>
    <w:p w14:paraId="259564FA" w14:textId="77777777" w:rsidR="00DC3EA5" w:rsidRDefault="00000000">
      <w:pPr>
        <w:numPr>
          <w:ilvl w:val="0"/>
          <w:numId w:val="70"/>
        </w:numPr>
        <w:rPr>
          <w:szCs w:val="22"/>
        </w:rPr>
      </w:pPr>
      <w:r>
        <w:rPr>
          <w:szCs w:val="22"/>
        </w:rPr>
        <w:t>试验中不应发生贯穿性放电。</w:t>
      </w:r>
    </w:p>
    <w:p w14:paraId="6F4FA28F" w14:textId="77777777" w:rsidR="00DC3EA5" w:rsidRDefault="00000000">
      <w:pPr>
        <w:pStyle w:val="-0"/>
        <w:numPr>
          <w:ilvl w:val="0"/>
          <w:numId w:val="56"/>
        </w:numPr>
        <w:rPr>
          <w:rFonts w:ascii="Times New Roman" w:hAnsi="Times New Roman" w:cs="Times New Roman"/>
        </w:rPr>
      </w:pPr>
      <w:r>
        <w:rPr>
          <w:rFonts w:ascii="Times New Roman" w:hAnsi="Times New Roman" w:cs="Times New Roman"/>
        </w:rPr>
        <w:t>真空断路器的交流耐受电压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14"/>
        <w:gridCol w:w="1350"/>
        <w:gridCol w:w="1190"/>
        <w:gridCol w:w="1994"/>
        <w:gridCol w:w="1674"/>
      </w:tblGrid>
      <w:tr w:rsidR="00DC3EA5" w14:paraId="025774F8" w14:textId="77777777">
        <w:trPr>
          <w:trHeight w:val="385"/>
          <w:jc w:val="center"/>
        </w:trPr>
        <w:tc>
          <w:tcPr>
            <w:tcW w:w="2314" w:type="dxa"/>
            <w:vMerge w:val="restart"/>
            <w:tcBorders>
              <w:top w:val="single" w:sz="12" w:space="0" w:color="auto"/>
              <w:left w:val="single" w:sz="12" w:space="0" w:color="auto"/>
              <w:bottom w:val="single" w:sz="4" w:space="0" w:color="auto"/>
              <w:right w:val="single" w:sz="4" w:space="0" w:color="auto"/>
            </w:tcBorders>
            <w:vAlign w:val="center"/>
          </w:tcPr>
          <w:p w14:paraId="5D1C3CB0" w14:textId="77777777" w:rsidR="00DC3EA5" w:rsidRDefault="00000000">
            <w:pPr>
              <w:spacing w:line="240" w:lineRule="exact"/>
              <w:jc w:val="center"/>
              <w:rPr>
                <w:sz w:val="18"/>
                <w:szCs w:val="18"/>
              </w:rPr>
            </w:pPr>
            <w:r>
              <w:rPr>
                <w:sz w:val="18"/>
                <w:szCs w:val="18"/>
              </w:rPr>
              <w:t>额定电压</w:t>
            </w:r>
            <w:r>
              <w:rPr>
                <w:sz w:val="18"/>
                <w:szCs w:val="18"/>
              </w:rPr>
              <w:t>(kV)</w:t>
            </w:r>
          </w:p>
        </w:tc>
        <w:tc>
          <w:tcPr>
            <w:tcW w:w="6208" w:type="dxa"/>
            <w:gridSpan w:val="4"/>
            <w:tcBorders>
              <w:top w:val="single" w:sz="12" w:space="0" w:color="auto"/>
              <w:left w:val="single" w:sz="4" w:space="0" w:color="auto"/>
              <w:bottom w:val="single" w:sz="4" w:space="0" w:color="auto"/>
              <w:right w:val="single" w:sz="12" w:space="0" w:color="auto"/>
            </w:tcBorders>
            <w:vAlign w:val="center"/>
          </w:tcPr>
          <w:p w14:paraId="1F5105C7" w14:textId="77777777" w:rsidR="00DC3EA5" w:rsidRDefault="00000000">
            <w:pPr>
              <w:spacing w:line="240" w:lineRule="exact"/>
              <w:jc w:val="center"/>
              <w:rPr>
                <w:sz w:val="18"/>
                <w:szCs w:val="18"/>
              </w:rPr>
            </w:pPr>
            <w:r>
              <w:rPr>
                <w:sz w:val="18"/>
                <w:szCs w:val="18"/>
              </w:rPr>
              <w:t>1 min</w:t>
            </w:r>
            <w:r>
              <w:rPr>
                <w:sz w:val="18"/>
                <w:szCs w:val="18"/>
              </w:rPr>
              <w:t>交流耐受电压</w:t>
            </w:r>
            <w:r>
              <w:rPr>
                <w:sz w:val="18"/>
                <w:szCs w:val="18"/>
              </w:rPr>
              <w:t>(kV)</w:t>
            </w:r>
            <w:r>
              <w:rPr>
                <w:sz w:val="18"/>
                <w:szCs w:val="18"/>
              </w:rPr>
              <w:t>有效值</w:t>
            </w:r>
          </w:p>
        </w:tc>
      </w:tr>
      <w:tr w:rsidR="00DC3EA5" w14:paraId="26AE8E2F" w14:textId="77777777">
        <w:trPr>
          <w:trHeight w:val="131"/>
          <w:jc w:val="center"/>
        </w:trPr>
        <w:tc>
          <w:tcPr>
            <w:tcW w:w="2314" w:type="dxa"/>
            <w:vMerge/>
            <w:tcBorders>
              <w:top w:val="single" w:sz="4" w:space="0" w:color="auto"/>
              <w:left w:val="single" w:sz="12" w:space="0" w:color="auto"/>
              <w:bottom w:val="single" w:sz="12" w:space="0" w:color="auto"/>
              <w:right w:val="single" w:sz="4" w:space="0" w:color="auto"/>
            </w:tcBorders>
            <w:vAlign w:val="center"/>
          </w:tcPr>
          <w:p w14:paraId="702F011E" w14:textId="77777777" w:rsidR="00DC3EA5" w:rsidRDefault="00DC3EA5">
            <w:pPr>
              <w:spacing w:line="240" w:lineRule="exact"/>
              <w:jc w:val="center"/>
              <w:rPr>
                <w:sz w:val="18"/>
                <w:szCs w:val="18"/>
              </w:rPr>
            </w:pPr>
          </w:p>
        </w:tc>
        <w:tc>
          <w:tcPr>
            <w:tcW w:w="1350" w:type="dxa"/>
            <w:tcBorders>
              <w:top w:val="single" w:sz="4" w:space="0" w:color="auto"/>
              <w:left w:val="single" w:sz="4" w:space="0" w:color="auto"/>
              <w:bottom w:val="single" w:sz="12" w:space="0" w:color="auto"/>
              <w:right w:val="single" w:sz="4" w:space="0" w:color="auto"/>
            </w:tcBorders>
            <w:vAlign w:val="center"/>
          </w:tcPr>
          <w:p w14:paraId="564AD07D" w14:textId="77777777" w:rsidR="00DC3EA5" w:rsidRDefault="00000000">
            <w:pPr>
              <w:spacing w:line="240" w:lineRule="exact"/>
              <w:jc w:val="center"/>
              <w:rPr>
                <w:sz w:val="18"/>
                <w:szCs w:val="18"/>
              </w:rPr>
            </w:pPr>
            <w:r>
              <w:rPr>
                <w:sz w:val="18"/>
                <w:szCs w:val="18"/>
              </w:rPr>
              <w:t>相对地</w:t>
            </w:r>
          </w:p>
        </w:tc>
        <w:tc>
          <w:tcPr>
            <w:tcW w:w="1190" w:type="dxa"/>
            <w:tcBorders>
              <w:top w:val="single" w:sz="4" w:space="0" w:color="auto"/>
              <w:left w:val="single" w:sz="4" w:space="0" w:color="auto"/>
              <w:bottom w:val="single" w:sz="12" w:space="0" w:color="auto"/>
              <w:right w:val="single" w:sz="4" w:space="0" w:color="auto"/>
            </w:tcBorders>
            <w:vAlign w:val="center"/>
          </w:tcPr>
          <w:p w14:paraId="0F2D2E3E" w14:textId="77777777" w:rsidR="00DC3EA5" w:rsidRDefault="00000000">
            <w:pPr>
              <w:spacing w:line="240" w:lineRule="exact"/>
              <w:jc w:val="center"/>
              <w:rPr>
                <w:sz w:val="18"/>
                <w:szCs w:val="18"/>
              </w:rPr>
            </w:pPr>
            <w:r>
              <w:rPr>
                <w:sz w:val="18"/>
                <w:szCs w:val="18"/>
              </w:rPr>
              <w:t>相间</w:t>
            </w:r>
          </w:p>
        </w:tc>
        <w:tc>
          <w:tcPr>
            <w:tcW w:w="1994" w:type="dxa"/>
            <w:tcBorders>
              <w:top w:val="single" w:sz="4" w:space="0" w:color="auto"/>
              <w:left w:val="single" w:sz="4" w:space="0" w:color="auto"/>
              <w:bottom w:val="single" w:sz="12" w:space="0" w:color="auto"/>
              <w:right w:val="single" w:sz="4" w:space="0" w:color="auto"/>
            </w:tcBorders>
            <w:vAlign w:val="center"/>
          </w:tcPr>
          <w:p w14:paraId="5353CA67" w14:textId="77777777" w:rsidR="00DC3EA5" w:rsidRDefault="00000000">
            <w:pPr>
              <w:spacing w:line="240" w:lineRule="exact"/>
              <w:jc w:val="center"/>
              <w:rPr>
                <w:sz w:val="18"/>
                <w:szCs w:val="18"/>
              </w:rPr>
            </w:pPr>
            <w:r>
              <w:rPr>
                <w:sz w:val="18"/>
                <w:szCs w:val="18"/>
              </w:rPr>
              <w:t>断路器断口</w:t>
            </w:r>
          </w:p>
        </w:tc>
        <w:tc>
          <w:tcPr>
            <w:tcW w:w="1674" w:type="dxa"/>
            <w:tcBorders>
              <w:top w:val="single" w:sz="4" w:space="0" w:color="auto"/>
              <w:left w:val="single" w:sz="4" w:space="0" w:color="auto"/>
              <w:bottom w:val="single" w:sz="12" w:space="0" w:color="auto"/>
              <w:right w:val="single" w:sz="12" w:space="0" w:color="auto"/>
            </w:tcBorders>
            <w:vAlign w:val="center"/>
          </w:tcPr>
          <w:p w14:paraId="5088AF01" w14:textId="77777777" w:rsidR="00DC3EA5" w:rsidRDefault="00000000">
            <w:pPr>
              <w:spacing w:line="240" w:lineRule="exact"/>
              <w:jc w:val="center"/>
              <w:rPr>
                <w:sz w:val="18"/>
                <w:szCs w:val="18"/>
              </w:rPr>
            </w:pPr>
            <w:r>
              <w:rPr>
                <w:sz w:val="18"/>
                <w:szCs w:val="18"/>
              </w:rPr>
              <w:t>隔离断口</w:t>
            </w:r>
          </w:p>
        </w:tc>
      </w:tr>
      <w:tr w:rsidR="00DC3EA5" w14:paraId="7E0F5DF9" w14:textId="77777777">
        <w:trPr>
          <w:trHeight w:val="153"/>
          <w:jc w:val="center"/>
        </w:trPr>
        <w:tc>
          <w:tcPr>
            <w:tcW w:w="2314" w:type="dxa"/>
            <w:tcBorders>
              <w:top w:val="single" w:sz="12" w:space="0" w:color="auto"/>
              <w:left w:val="single" w:sz="12" w:space="0" w:color="auto"/>
              <w:bottom w:val="single" w:sz="4" w:space="0" w:color="auto"/>
              <w:right w:val="single" w:sz="4" w:space="0" w:color="auto"/>
            </w:tcBorders>
            <w:vAlign w:val="center"/>
          </w:tcPr>
          <w:p w14:paraId="11916C3B" w14:textId="77777777" w:rsidR="00DC3EA5" w:rsidRDefault="00000000">
            <w:pPr>
              <w:spacing w:line="240" w:lineRule="exact"/>
              <w:jc w:val="center"/>
              <w:rPr>
                <w:sz w:val="18"/>
                <w:szCs w:val="18"/>
              </w:rPr>
            </w:pPr>
            <w:r>
              <w:rPr>
                <w:sz w:val="18"/>
                <w:szCs w:val="18"/>
              </w:rPr>
              <w:t>12</w:t>
            </w:r>
          </w:p>
        </w:tc>
        <w:tc>
          <w:tcPr>
            <w:tcW w:w="1350" w:type="dxa"/>
            <w:tcBorders>
              <w:top w:val="single" w:sz="12" w:space="0" w:color="auto"/>
              <w:left w:val="single" w:sz="4" w:space="0" w:color="auto"/>
              <w:bottom w:val="single" w:sz="4" w:space="0" w:color="auto"/>
              <w:right w:val="single" w:sz="4" w:space="0" w:color="auto"/>
            </w:tcBorders>
            <w:vAlign w:val="center"/>
          </w:tcPr>
          <w:p w14:paraId="12F1CE08" w14:textId="77777777" w:rsidR="00DC3EA5" w:rsidRDefault="00000000">
            <w:pPr>
              <w:spacing w:line="240" w:lineRule="exact"/>
              <w:jc w:val="center"/>
              <w:rPr>
                <w:sz w:val="18"/>
                <w:szCs w:val="18"/>
              </w:rPr>
            </w:pPr>
            <w:r>
              <w:rPr>
                <w:sz w:val="18"/>
                <w:szCs w:val="18"/>
              </w:rPr>
              <w:t>42/30</w:t>
            </w:r>
          </w:p>
        </w:tc>
        <w:tc>
          <w:tcPr>
            <w:tcW w:w="1190" w:type="dxa"/>
            <w:tcBorders>
              <w:top w:val="single" w:sz="12" w:space="0" w:color="auto"/>
              <w:left w:val="single" w:sz="4" w:space="0" w:color="auto"/>
              <w:bottom w:val="single" w:sz="4" w:space="0" w:color="auto"/>
              <w:right w:val="single" w:sz="4" w:space="0" w:color="auto"/>
            </w:tcBorders>
            <w:vAlign w:val="center"/>
          </w:tcPr>
          <w:p w14:paraId="6179BE07" w14:textId="77777777" w:rsidR="00DC3EA5" w:rsidRDefault="00000000">
            <w:pPr>
              <w:spacing w:line="240" w:lineRule="exact"/>
              <w:jc w:val="center"/>
              <w:rPr>
                <w:sz w:val="18"/>
                <w:szCs w:val="18"/>
              </w:rPr>
            </w:pPr>
            <w:r>
              <w:rPr>
                <w:sz w:val="18"/>
                <w:szCs w:val="18"/>
              </w:rPr>
              <w:t>42/30</w:t>
            </w:r>
          </w:p>
        </w:tc>
        <w:tc>
          <w:tcPr>
            <w:tcW w:w="1994" w:type="dxa"/>
            <w:tcBorders>
              <w:top w:val="single" w:sz="12" w:space="0" w:color="auto"/>
              <w:left w:val="single" w:sz="4" w:space="0" w:color="auto"/>
              <w:bottom w:val="single" w:sz="4" w:space="0" w:color="auto"/>
              <w:right w:val="single" w:sz="4" w:space="0" w:color="auto"/>
            </w:tcBorders>
            <w:vAlign w:val="center"/>
          </w:tcPr>
          <w:p w14:paraId="167C0A6E" w14:textId="77777777" w:rsidR="00DC3EA5" w:rsidRDefault="00000000">
            <w:pPr>
              <w:spacing w:line="240" w:lineRule="exact"/>
              <w:jc w:val="center"/>
              <w:rPr>
                <w:sz w:val="18"/>
                <w:szCs w:val="18"/>
              </w:rPr>
            </w:pPr>
            <w:r>
              <w:rPr>
                <w:sz w:val="18"/>
                <w:szCs w:val="18"/>
              </w:rPr>
              <w:t>42/30</w:t>
            </w:r>
          </w:p>
        </w:tc>
        <w:tc>
          <w:tcPr>
            <w:tcW w:w="1674" w:type="dxa"/>
            <w:tcBorders>
              <w:top w:val="single" w:sz="12" w:space="0" w:color="auto"/>
              <w:left w:val="single" w:sz="4" w:space="0" w:color="auto"/>
              <w:bottom w:val="single" w:sz="4" w:space="0" w:color="auto"/>
              <w:right w:val="single" w:sz="12" w:space="0" w:color="auto"/>
            </w:tcBorders>
            <w:vAlign w:val="center"/>
          </w:tcPr>
          <w:p w14:paraId="2FA8E96A" w14:textId="77777777" w:rsidR="00DC3EA5" w:rsidRDefault="00000000">
            <w:pPr>
              <w:spacing w:line="240" w:lineRule="exact"/>
              <w:jc w:val="center"/>
              <w:rPr>
                <w:sz w:val="18"/>
                <w:szCs w:val="18"/>
              </w:rPr>
            </w:pPr>
            <w:r>
              <w:rPr>
                <w:sz w:val="18"/>
                <w:szCs w:val="18"/>
              </w:rPr>
              <w:t>48/36</w:t>
            </w:r>
          </w:p>
        </w:tc>
      </w:tr>
      <w:tr w:rsidR="00DC3EA5" w14:paraId="5DA3EA5B" w14:textId="77777777">
        <w:trPr>
          <w:trHeight w:val="50"/>
          <w:jc w:val="center"/>
        </w:trPr>
        <w:tc>
          <w:tcPr>
            <w:tcW w:w="2314" w:type="dxa"/>
            <w:tcBorders>
              <w:top w:val="single" w:sz="4" w:space="0" w:color="auto"/>
              <w:left w:val="single" w:sz="12" w:space="0" w:color="auto"/>
              <w:bottom w:val="single" w:sz="4" w:space="0" w:color="auto"/>
              <w:right w:val="single" w:sz="4" w:space="0" w:color="auto"/>
            </w:tcBorders>
            <w:vAlign w:val="center"/>
          </w:tcPr>
          <w:p w14:paraId="2E950AD3" w14:textId="77777777" w:rsidR="00DC3EA5" w:rsidRDefault="00000000">
            <w:pPr>
              <w:spacing w:line="240" w:lineRule="exact"/>
              <w:jc w:val="center"/>
              <w:rPr>
                <w:sz w:val="18"/>
                <w:szCs w:val="18"/>
              </w:rPr>
            </w:pPr>
            <w:r>
              <w:rPr>
                <w:sz w:val="18"/>
                <w:szCs w:val="18"/>
              </w:rPr>
              <w:t>24</w:t>
            </w:r>
          </w:p>
        </w:tc>
        <w:tc>
          <w:tcPr>
            <w:tcW w:w="1350" w:type="dxa"/>
            <w:tcBorders>
              <w:top w:val="single" w:sz="4" w:space="0" w:color="auto"/>
              <w:left w:val="single" w:sz="4" w:space="0" w:color="auto"/>
              <w:bottom w:val="single" w:sz="4" w:space="0" w:color="auto"/>
              <w:right w:val="single" w:sz="4" w:space="0" w:color="auto"/>
            </w:tcBorders>
            <w:vAlign w:val="center"/>
          </w:tcPr>
          <w:p w14:paraId="26CD13C0" w14:textId="77777777" w:rsidR="00DC3EA5" w:rsidRDefault="00000000">
            <w:pPr>
              <w:spacing w:line="240" w:lineRule="exact"/>
              <w:jc w:val="center"/>
              <w:rPr>
                <w:sz w:val="18"/>
                <w:szCs w:val="18"/>
              </w:rPr>
            </w:pPr>
            <w:r>
              <w:rPr>
                <w:sz w:val="18"/>
                <w:szCs w:val="18"/>
              </w:rPr>
              <w:t>65/50</w:t>
            </w:r>
          </w:p>
        </w:tc>
        <w:tc>
          <w:tcPr>
            <w:tcW w:w="1190" w:type="dxa"/>
            <w:tcBorders>
              <w:top w:val="single" w:sz="4" w:space="0" w:color="auto"/>
              <w:left w:val="single" w:sz="4" w:space="0" w:color="auto"/>
              <w:bottom w:val="single" w:sz="4" w:space="0" w:color="auto"/>
              <w:right w:val="single" w:sz="4" w:space="0" w:color="auto"/>
            </w:tcBorders>
            <w:vAlign w:val="center"/>
          </w:tcPr>
          <w:p w14:paraId="247B7116" w14:textId="77777777" w:rsidR="00DC3EA5" w:rsidRDefault="00000000">
            <w:pPr>
              <w:spacing w:line="240" w:lineRule="exact"/>
              <w:jc w:val="center"/>
              <w:rPr>
                <w:sz w:val="18"/>
                <w:szCs w:val="18"/>
              </w:rPr>
            </w:pPr>
            <w:r>
              <w:rPr>
                <w:sz w:val="18"/>
                <w:szCs w:val="18"/>
              </w:rPr>
              <w:t>65/50</w:t>
            </w:r>
          </w:p>
        </w:tc>
        <w:tc>
          <w:tcPr>
            <w:tcW w:w="1994" w:type="dxa"/>
            <w:tcBorders>
              <w:top w:val="single" w:sz="4" w:space="0" w:color="auto"/>
              <w:left w:val="single" w:sz="4" w:space="0" w:color="auto"/>
              <w:bottom w:val="single" w:sz="4" w:space="0" w:color="auto"/>
              <w:right w:val="single" w:sz="4" w:space="0" w:color="auto"/>
            </w:tcBorders>
            <w:vAlign w:val="center"/>
          </w:tcPr>
          <w:p w14:paraId="2EAE25A5" w14:textId="77777777" w:rsidR="00DC3EA5" w:rsidRDefault="00000000">
            <w:pPr>
              <w:spacing w:line="240" w:lineRule="exact"/>
              <w:jc w:val="center"/>
              <w:rPr>
                <w:sz w:val="18"/>
                <w:szCs w:val="18"/>
              </w:rPr>
            </w:pPr>
            <w:r>
              <w:rPr>
                <w:sz w:val="18"/>
                <w:szCs w:val="18"/>
              </w:rPr>
              <w:t>65/50</w:t>
            </w:r>
          </w:p>
        </w:tc>
        <w:tc>
          <w:tcPr>
            <w:tcW w:w="1674" w:type="dxa"/>
            <w:tcBorders>
              <w:top w:val="single" w:sz="4" w:space="0" w:color="auto"/>
              <w:left w:val="single" w:sz="4" w:space="0" w:color="auto"/>
              <w:bottom w:val="single" w:sz="4" w:space="0" w:color="auto"/>
              <w:right w:val="single" w:sz="12" w:space="0" w:color="auto"/>
            </w:tcBorders>
            <w:vAlign w:val="center"/>
          </w:tcPr>
          <w:p w14:paraId="69E6FDCF" w14:textId="77777777" w:rsidR="00DC3EA5" w:rsidRDefault="00000000">
            <w:pPr>
              <w:spacing w:line="240" w:lineRule="exact"/>
              <w:jc w:val="center"/>
              <w:rPr>
                <w:sz w:val="18"/>
                <w:szCs w:val="18"/>
              </w:rPr>
            </w:pPr>
            <w:r>
              <w:rPr>
                <w:sz w:val="18"/>
                <w:szCs w:val="18"/>
              </w:rPr>
              <w:t>79/64</w:t>
            </w:r>
          </w:p>
        </w:tc>
      </w:tr>
      <w:tr w:rsidR="00DC3EA5" w14:paraId="00AF9462" w14:textId="77777777">
        <w:trPr>
          <w:trHeight w:val="50"/>
          <w:jc w:val="center"/>
        </w:trPr>
        <w:tc>
          <w:tcPr>
            <w:tcW w:w="2314" w:type="dxa"/>
            <w:tcBorders>
              <w:top w:val="single" w:sz="4" w:space="0" w:color="auto"/>
              <w:left w:val="single" w:sz="12" w:space="0" w:color="auto"/>
              <w:bottom w:val="single" w:sz="4" w:space="0" w:color="auto"/>
              <w:right w:val="single" w:sz="4" w:space="0" w:color="auto"/>
            </w:tcBorders>
            <w:vAlign w:val="center"/>
          </w:tcPr>
          <w:p w14:paraId="74627E12" w14:textId="77777777" w:rsidR="00DC3EA5" w:rsidRDefault="00000000">
            <w:pPr>
              <w:spacing w:line="240" w:lineRule="exact"/>
              <w:jc w:val="center"/>
              <w:rPr>
                <w:sz w:val="18"/>
                <w:szCs w:val="18"/>
              </w:rPr>
            </w:pPr>
            <w:r>
              <w:rPr>
                <w:sz w:val="18"/>
                <w:szCs w:val="18"/>
              </w:rPr>
              <w:t>40.5</w:t>
            </w:r>
          </w:p>
        </w:tc>
        <w:tc>
          <w:tcPr>
            <w:tcW w:w="1350" w:type="dxa"/>
            <w:tcBorders>
              <w:top w:val="single" w:sz="4" w:space="0" w:color="auto"/>
              <w:left w:val="single" w:sz="4" w:space="0" w:color="auto"/>
              <w:bottom w:val="single" w:sz="4" w:space="0" w:color="auto"/>
              <w:right w:val="single" w:sz="4" w:space="0" w:color="auto"/>
            </w:tcBorders>
            <w:vAlign w:val="center"/>
          </w:tcPr>
          <w:p w14:paraId="018B70A7" w14:textId="77777777" w:rsidR="00DC3EA5" w:rsidRDefault="00000000">
            <w:pPr>
              <w:spacing w:line="240" w:lineRule="exact"/>
              <w:jc w:val="center"/>
              <w:rPr>
                <w:sz w:val="18"/>
                <w:szCs w:val="18"/>
              </w:rPr>
            </w:pPr>
            <w:r>
              <w:rPr>
                <w:sz w:val="18"/>
                <w:szCs w:val="18"/>
              </w:rPr>
              <w:t>95/80</w:t>
            </w:r>
          </w:p>
        </w:tc>
        <w:tc>
          <w:tcPr>
            <w:tcW w:w="1190" w:type="dxa"/>
            <w:tcBorders>
              <w:top w:val="single" w:sz="4" w:space="0" w:color="auto"/>
              <w:left w:val="single" w:sz="4" w:space="0" w:color="auto"/>
              <w:bottom w:val="single" w:sz="4" w:space="0" w:color="auto"/>
              <w:right w:val="single" w:sz="4" w:space="0" w:color="auto"/>
            </w:tcBorders>
            <w:vAlign w:val="center"/>
          </w:tcPr>
          <w:p w14:paraId="5D6D70BC" w14:textId="77777777" w:rsidR="00DC3EA5" w:rsidRDefault="00000000">
            <w:pPr>
              <w:spacing w:line="240" w:lineRule="exact"/>
              <w:jc w:val="center"/>
              <w:rPr>
                <w:sz w:val="18"/>
                <w:szCs w:val="18"/>
              </w:rPr>
            </w:pPr>
            <w:r>
              <w:rPr>
                <w:sz w:val="18"/>
                <w:szCs w:val="18"/>
              </w:rPr>
              <w:t>95/80</w:t>
            </w:r>
          </w:p>
        </w:tc>
        <w:tc>
          <w:tcPr>
            <w:tcW w:w="1994" w:type="dxa"/>
            <w:tcBorders>
              <w:top w:val="single" w:sz="4" w:space="0" w:color="auto"/>
              <w:left w:val="single" w:sz="4" w:space="0" w:color="auto"/>
              <w:bottom w:val="single" w:sz="4" w:space="0" w:color="auto"/>
              <w:right w:val="single" w:sz="4" w:space="0" w:color="auto"/>
            </w:tcBorders>
            <w:vAlign w:val="center"/>
          </w:tcPr>
          <w:p w14:paraId="4A8AD3BC" w14:textId="77777777" w:rsidR="00DC3EA5" w:rsidRDefault="00000000">
            <w:pPr>
              <w:spacing w:line="240" w:lineRule="exact"/>
              <w:jc w:val="center"/>
              <w:rPr>
                <w:sz w:val="18"/>
                <w:szCs w:val="18"/>
              </w:rPr>
            </w:pPr>
            <w:r>
              <w:rPr>
                <w:sz w:val="18"/>
                <w:szCs w:val="18"/>
              </w:rPr>
              <w:t>95/80</w:t>
            </w:r>
          </w:p>
        </w:tc>
        <w:tc>
          <w:tcPr>
            <w:tcW w:w="1674" w:type="dxa"/>
            <w:tcBorders>
              <w:top w:val="single" w:sz="4" w:space="0" w:color="auto"/>
              <w:left w:val="single" w:sz="4" w:space="0" w:color="auto"/>
              <w:bottom w:val="single" w:sz="4" w:space="0" w:color="auto"/>
              <w:right w:val="single" w:sz="12" w:space="0" w:color="auto"/>
            </w:tcBorders>
            <w:vAlign w:val="center"/>
          </w:tcPr>
          <w:p w14:paraId="4AE9A6C4" w14:textId="77777777" w:rsidR="00DC3EA5" w:rsidRDefault="00000000">
            <w:pPr>
              <w:spacing w:line="240" w:lineRule="exact"/>
              <w:jc w:val="center"/>
              <w:rPr>
                <w:sz w:val="18"/>
                <w:szCs w:val="18"/>
              </w:rPr>
            </w:pPr>
            <w:r>
              <w:rPr>
                <w:sz w:val="18"/>
                <w:szCs w:val="18"/>
              </w:rPr>
              <w:t>118/103</w:t>
            </w:r>
          </w:p>
        </w:tc>
      </w:tr>
      <w:tr w:rsidR="00DC3EA5" w14:paraId="5B09533E" w14:textId="77777777">
        <w:trPr>
          <w:trHeight w:val="50"/>
          <w:jc w:val="center"/>
        </w:trPr>
        <w:tc>
          <w:tcPr>
            <w:tcW w:w="2314" w:type="dxa"/>
            <w:vMerge w:val="restart"/>
            <w:tcBorders>
              <w:top w:val="single" w:sz="4" w:space="0" w:color="auto"/>
              <w:left w:val="single" w:sz="12" w:space="0" w:color="auto"/>
              <w:bottom w:val="single" w:sz="4" w:space="0" w:color="auto"/>
              <w:right w:val="single" w:sz="4" w:space="0" w:color="auto"/>
            </w:tcBorders>
            <w:vAlign w:val="center"/>
          </w:tcPr>
          <w:p w14:paraId="6ADC2BA5" w14:textId="77777777" w:rsidR="00DC3EA5" w:rsidRDefault="00000000">
            <w:pPr>
              <w:spacing w:line="240" w:lineRule="exact"/>
              <w:jc w:val="center"/>
              <w:rPr>
                <w:sz w:val="18"/>
                <w:szCs w:val="18"/>
              </w:rPr>
            </w:pPr>
            <w:r>
              <w:rPr>
                <w:sz w:val="18"/>
                <w:szCs w:val="18"/>
              </w:rPr>
              <w:t>72.5</w:t>
            </w:r>
          </w:p>
        </w:tc>
        <w:tc>
          <w:tcPr>
            <w:tcW w:w="1350" w:type="dxa"/>
            <w:tcBorders>
              <w:top w:val="single" w:sz="4" w:space="0" w:color="auto"/>
              <w:left w:val="single" w:sz="4" w:space="0" w:color="auto"/>
              <w:bottom w:val="single" w:sz="4" w:space="0" w:color="auto"/>
              <w:right w:val="single" w:sz="4" w:space="0" w:color="auto"/>
            </w:tcBorders>
            <w:vAlign w:val="center"/>
          </w:tcPr>
          <w:p w14:paraId="1B83540D" w14:textId="77777777" w:rsidR="00DC3EA5" w:rsidRDefault="00000000">
            <w:pPr>
              <w:spacing w:line="240" w:lineRule="exact"/>
              <w:jc w:val="center"/>
              <w:rPr>
                <w:sz w:val="18"/>
                <w:szCs w:val="18"/>
              </w:rPr>
            </w:pPr>
            <w:r>
              <w:rPr>
                <w:sz w:val="18"/>
                <w:szCs w:val="18"/>
              </w:rPr>
              <w:t>140</w:t>
            </w:r>
          </w:p>
        </w:tc>
        <w:tc>
          <w:tcPr>
            <w:tcW w:w="1190" w:type="dxa"/>
            <w:tcBorders>
              <w:top w:val="single" w:sz="4" w:space="0" w:color="auto"/>
              <w:left w:val="single" w:sz="4" w:space="0" w:color="auto"/>
              <w:bottom w:val="single" w:sz="4" w:space="0" w:color="auto"/>
              <w:right w:val="single" w:sz="4" w:space="0" w:color="auto"/>
            </w:tcBorders>
            <w:vAlign w:val="center"/>
          </w:tcPr>
          <w:p w14:paraId="183C4686" w14:textId="77777777" w:rsidR="00DC3EA5" w:rsidRDefault="00000000">
            <w:pPr>
              <w:spacing w:line="240" w:lineRule="exact"/>
              <w:jc w:val="center"/>
              <w:rPr>
                <w:sz w:val="18"/>
                <w:szCs w:val="18"/>
              </w:rPr>
            </w:pPr>
            <w:r>
              <w:rPr>
                <w:sz w:val="18"/>
                <w:szCs w:val="18"/>
              </w:rPr>
              <w:t>140</w:t>
            </w:r>
          </w:p>
        </w:tc>
        <w:tc>
          <w:tcPr>
            <w:tcW w:w="1994" w:type="dxa"/>
            <w:tcBorders>
              <w:top w:val="single" w:sz="4" w:space="0" w:color="auto"/>
              <w:left w:val="single" w:sz="4" w:space="0" w:color="auto"/>
              <w:bottom w:val="single" w:sz="4" w:space="0" w:color="auto"/>
              <w:right w:val="single" w:sz="4" w:space="0" w:color="auto"/>
            </w:tcBorders>
            <w:vAlign w:val="center"/>
          </w:tcPr>
          <w:p w14:paraId="5B6A4750" w14:textId="77777777" w:rsidR="00DC3EA5" w:rsidRDefault="00000000">
            <w:pPr>
              <w:spacing w:line="240" w:lineRule="exact"/>
              <w:jc w:val="center"/>
              <w:rPr>
                <w:sz w:val="18"/>
                <w:szCs w:val="18"/>
              </w:rPr>
            </w:pPr>
            <w:r>
              <w:rPr>
                <w:sz w:val="18"/>
                <w:szCs w:val="18"/>
              </w:rPr>
              <w:t>140</w:t>
            </w:r>
          </w:p>
        </w:tc>
        <w:tc>
          <w:tcPr>
            <w:tcW w:w="1674" w:type="dxa"/>
            <w:tcBorders>
              <w:top w:val="single" w:sz="4" w:space="0" w:color="auto"/>
              <w:left w:val="single" w:sz="4" w:space="0" w:color="auto"/>
              <w:bottom w:val="single" w:sz="4" w:space="0" w:color="auto"/>
              <w:right w:val="single" w:sz="12" w:space="0" w:color="auto"/>
            </w:tcBorders>
            <w:vAlign w:val="center"/>
          </w:tcPr>
          <w:p w14:paraId="173EB097" w14:textId="77777777" w:rsidR="00DC3EA5" w:rsidRDefault="00000000">
            <w:pPr>
              <w:spacing w:line="240" w:lineRule="exact"/>
              <w:jc w:val="center"/>
              <w:rPr>
                <w:sz w:val="18"/>
                <w:szCs w:val="18"/>
              </w:rPr>
            </w:pPr>
            <w:r>
              <w:rPr>
                <w:sz w:val="18"/>
                <w:szCs w:val="18"/>
              </w:rPr>
              <w:t>180</w:t>
            </w:r>
          </w:p>
        </w:tc>
      </w:tr>
      <w:tr w:rsidR="00DC3EA5" w14:paraId="008A234A" w14:textId="77777777">
        <w:trPr>
          <w:trHeight w:val="50"/>
          <w:jc w:val="center"/>
        </w:trPr>
        <w:tc>
          <w:tcPr>
            <w:tcW w:w="2314" w:type="dxa"/>
            <w:vMerge/>
            <w:tcBorders>
              <w:top w:val="single" w:sz="4" w:space="0" w:color="auto"/>
              <w:left w:val="single" w:sz="12" w:space="0" w:color="auto"/>
              <w:bottom w:val="single" w:sz="4" w:space="0" w:color="auto"/>
              <w:right w:val="single" w:sz="4" w:space="0" w:color="auto"/>
            </w:tcBorders>
            <w:vAlign w:val="center"/>
          </w:tcPr>
          <w:p w14:paraId="0FCB48D1" w14:textId="77777777" w:rsidR="00DC3EA5" w:rsidRDefault="00DC3EA5">
            <w:pPr>
              <w:spacing w:line="240" w:lineRule="exact"/>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04B544DC" w14:textId="77777777" w:rsidR="00DC3EA5" w:rsidRDefault="00000000">
            <w:pPr>
              <w:spacing w:line="240" w:lineRule="exact"/>
              <w:jc w:val="center"/>
              <w:rPr>
                <w:sz w:val="18"/>
                <w:szCs w:val="18"/>
              </w:rPr>
            </w:pPr>
            <w:r>
              <w:rPr>
                <w:sz w:val="18"/>
                <w:szCs w:val="18"/>
              </w:rPr>
              <w:t>160</w:t>
            </w:r>
          </w:p>
        </w:tc>
        <w:tc>
          <w:tcPr>
            <w:tcW w:w="1190" w:type="dxa"/>
            <w:tcBorders>
              <w:top w:val="single" w:sz="4" w:space="0" w:color="auto"/>
              <w:left w:val="single" w:sz="4" w:space="0" w:color="auto"/>
              <w:bottom w:val="single" w:sz="4" w:space="0" w:color="auto"/>
              <w:right w:val="single" w:sz="4" w:space="0" w:color="auto"/>
            </w:tcBorders>
            <w:vAlign w:val="center"/>
          </w:tcPr>
          <w:p w14:paraId="391F519D" w14:textId="77777777" w:rsidR="00DC3EA5" w:rsidRDefault="00000000">
            <w:pPr>
              <w:spacing w:line="240" w:lineRule="exact"/>
              <w:jc w:val="center"/>
              <w:rPr>
                <w:sz w:val="18"/>
                <w:szCs w:val="18"/>
              </w:rPr>
            </w:pPr>
            <w:r>
              <w:rPr>
                <w:sz w:val="18"/>
                <w:szCs w:val="18"/>
              </w:rPr>
              <w:t>160</w:t>
            </w:r>
          </w:p>
        </w:tc>
        <w:tc>
          <w:tcPr>
            <w:tcW w:w="1994" w:type="dxa"/>
            <w:tcBorders>
              <w:top w:val="single" w:sz="4" w:space="0" w:color="auto"/>
              <w:left w:val="single" w:sz="4" w:space="0" w:color="auto"/>
              <w:bottom w:val="single" w:sz="4" w:space="0" w:color="auto"/>
              <w:right w:val="single" w:sz="4" w:space="0" w:color="auto"/>
            </w:tcBorders>
            <w:vAlign w:val="center"/>
          </w:tcPr>
          <w:p w14:paraId="018AB587" w14:textId="77777777" w:rsidR="00DC3EA5" w:rsidRDefault="00000000">
            <w:pPr>
              <w:spacing w:line="240" w:lineRule="exact"/>
              <w:jc w:val="center"/>
              <w:rPr>
                <w:sz w:val="18"/>
                <w:szCs w:val="18"/>
              </w:rPr>
            </w:pPr>
            <w:r>
              <w:rPr>
                <w:sz w:val="18"/>
                <w:szCs w:val="18"/>
              </w:rPr>
              <w:t>160</w:t>
            </w:r>
          </w:p>
        </w:tc>
        <w:tc>
          <w:tcPr>
            <w:tcW w:w="1674" w:type="dxa"/>
            <w:tcBorders>
              <w:top w:val="single" w:sz="4" w:space="0" w:color="auto"/>
              <w:left w:val="single" w:sz="4" w:space="0" w:color="auto"/>
              <w:bottom w:val="single" w:sz="4" w:space="0" w:color="auto"/>
              <w:right w:val="single" w:sz="12" w:space="0" w:color="auto"/>
            </w:tcBorders>
            <w:vAlign w:val="center"/>
          </w:tcPr>
          <w:p w14:paraId="4162A614" w14:textId="77777777" w:rsidR="00DC3EA5" w:rsidRDefault="00000000">
            <w:pPr>
              <w:spacing w:line="240" w:lineRule="exact"/>
              <w:jc w:val="center"/>
              <w:rPr>
                <w:sz w:val="18"/>
                <w:szCs w:val="18"/>
              </w:rPr>
            </w:pPr>
            <w:r>
              <w:rPr>
                <w:sz w:val="18"/>
                <w:szCs w:val="18"/>
              </w:rPr>
              <w:t>200</w:t>
            </w:r>
          </w:p>
        </w:tc>
      </w:tr>
      <w:tr w:rsidR="00DC3EA5" w14:paraId="7F01E3DC" w14:textId="77777777">
        <w:trPr>
          <w:trHeight w:val="567"/>
          <w:jc w:val="center"/>
        </w:trPr>
        <w:tc>
          <w:tcPr>
            <w:tcW w:w="8522" w:type="dxa"/>
            <w:gridSpan w:val="5"/>
            <w:tcBorders>
              <w:top w:val="single" w:sz="4" w:space="0" w:color="auto"/>
              <w:left w:val="single" w:sz="12" w:space="0" w:color="auto"/>
              <w:bottom w:val="single" w:sz="12" w:space="0" w:color="auto"/>
              <w:right w:val="single" w:sz="12" w:space="0" w:color="auto"/>
            </w:tcBorders>
            <w:vAlign w:val="center"/>
          </w:tcPr>
          <w:p w14:paraId="4E787A8A" w14:textId="77777777" w:rsidR="00DC3EA5" w:rsidRDefault="00000000">
            <w:pPr>
              <w:pStyle w:val="af5"/>
              <w:numPr>
                <w:ilvl w:val="0"/>
                <w:numId w:val="0"/>
              </w:numPr>
              <w:ind w:firstLineChars="200" w:firstLine="360"/>
              <w:rPr>
                <w:rFonts w:ascii="Times New Roman"/>
                <w:sz w:val="18"/>
                <w:szCs w:val="18"/>
              </w:rPr>
            </w:pPr>
            <w:r>
              <w:rPr>
                <w:rFonts w:ascii="Times New Roman"/>
                <w:sz w:val="18"/>
                <w:szCs w:val="18"/>
              </w:rPr>
              <w:t>注：斜线下的数值为中性点接地系统使用的数值，亦为湿试时的数值。隔离断口是指隔离开关、负荷开关的断口以及起联络作用或作为热备用的负荷开关和断路器的断口。</w:t>
            </w:r>
          </w:p>
        </w:tc>
      </w:tr>
    </w:tbl>
    <w:p w14:paraId="068F7187" w14:textId="77777777" w:rsidR="00DC3EA5" w:rsidRDefault="00000000">
      <w:pPr>
        <w:pStyle w:val="a7"/>
        <w:ind w:left="0"/>
        <w:outlineLvl w:val="1"/>
        <w:rPr>
          <w:rFonts w:ascii="Times New Roman"/>
        </w:rPr>
      </w:pPr>
      <w:bookmarkStart w:id="167" w:name="_Toc21423"/>
      <w:bookmarkStart w:id="168" w:name="_Toc151477214"/>
      <w:r>
        <w:rPr>
          <w:rFonts w:ascii="Times New Roman"/>
        </w:rPr>
        <w:t>分、合闸线圈及合闸接触器线圈的绝缘电阻和直流电阻测量</w:t>
      </w:r>
      <w:bookmarkEnd w:id="167"/>
      <w:bookmarkEnd w:id="168"/>
    </w:p>
    <w:p w14:paraId="4802EC3C"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color w:val="000000"/>
          <w:szCs w:val="21"/>
        </w:rPr>
        <w:t>真空断路器</w:t>
      </w:r>
      <w:r>
        <w:rPr>
          <w:rFonts w:ascii="Times New Roman"/>
        </w:rPr>
        <w:t>分、合闸线圈及合闸接触器线圈的绝缘电阻和直流电阻测量</w:t>
      </w:r>
      <w:r>
        <w:rPr>
          <w:rFonts w:ascii="Times New Roman"/>
          <w:color w:val="000000"/>
          <w:szCs w:val="21"/>
        </w:rPr>
        <w:t>，应符合下列规定：</w:t>
      </w:r>
    </w:p>
    <w:p w14:paraId="332D895F" w14:textId="77777777" w:rsidR="00DC3EA5" w:rsidRDefault="00000000">
      <w:pPr>
        <w:numPr>
          <w:ilvl w:val="0"/>
          <w:numId w:val="71"/>
        </w:numPr>
      </w:pPr>
      <w:r>
        <w:rPr>
          <w:color w:val="000000"/>
          <w:szCs w:val="21"/>
        </w:rPr>
        <w:t>绝缘电阻值，不应低于</w:t>
      </w:r>
      <w:r>
        <w:rPr>
          <w:color w:val="000000"/>
          <w:szCs w:val="21"/>
        </w:rPr>
        <w:t>10 MΩ</w:t>
      </w:r>
      <w:r>
        <w:rPr>
          <w:color w:val="000000"/>
          <w:szCs w:val="21"/>
        </w:rPr>
        <w:t>；</w:t>
      </w:r>
    </w:p>
    <w:p w14:paraId="74FBD79A" w14:textId="77777777" w:rsidR="00DC3EA5" w:rsidRDefault="00000000">
      <w:pPr>
        <w:numPr>
          <w:ilvl w:val="0"/>
          <w:numId w:val="71"/>
        </w:numPr>
      </w:pPr>
      <w:r>
        <w:rPr>
          <w:color w:val="000000"/>
          <w:szCs w:val="21"/>
        </w:rPr>
        <w:t>直流电阻值应符合产品技术文件的规定。若无明确要求时，应不超过出厂值的</w:t>
      </w:r>
      <w:r>
        <w:rPr>
          <w:color w:val="000000"/>
          <w:szCs w:val="21"/>
        </w:rPr>
        <w:t>±5%</w:t>
      </w:r>
      <w:r>
        <w:rPr>
          <w:color w:val="000000"/>
          <w:szCs w:val="21"/>
        </w:rPr>
        <w:t>。</w:t>
      </w:r>
    </w:p>
    <w:p w14:paraId="7C8B23D4" w14:textId="77777777" w:rsidR="00DC3EA5" w:rsidRDefault="00000000">
      <w:pPr>
        <w:pStyle w:val="a7"/>
        <w:ind w:left="0"/>
        <w:outlineLvl w:val="1"/>
        <w:rPr>
          <w:rFonts w:ascii="Times New Roman"/>
        </w:rPr>
      </w:pPr>
      <w:bookmarkStart w:id="169" w:name="_Toc10408"/>
      <w:bookmarkStart w:id="170" w:name="_Toc151477215"/>
      <w:r>
        <w:rPr>
          <w:rFonts w:ascii="Times New Roman"/>
        </w:rPr>
        <w:t>主触头的分合闸时间和同期性测量</w:t>
      </w:r>
      <w:bookmarkEnd w:id="169"/>
      <w:bookmarkEnd w:id="170"/>
    </w:p>
    <w:p w14:paraId="00EA8A02" w14:textId="77777777" w:rsidR="00DC3EA5" w:rsidRDefault="00000000">
      <w:pPr>
        <w:pStyle w:val="affffffff2"/>
        <w:tabs>
          <w:tab w:val="center" w:pos="4201"/>
          <w:tab w:val="right" w:leader="dot" w:pos="9298"/>
        </w:tabs>
        <w:ind w:firstLine="420"/>
        <w:rPr>
          <w:rFonts w:ascii="Times New Roman"/>
        </w:rPr>
      </w:pPr>
      <w:r>
        <w:rPr>
          <w:rFonts w:ascii="Times New Roman"/>
        </w:rPr>
        <w:t>真空断路器主触头的分合闸时间和同期性测量，应符合下列规定：</w:t>
      </w:r>
    </w:p>
    <w:p w14:paraId="40BD2A4B" w14:textId="77777777" w:rsidR="00DC3EA5" w:rsidRDefault="00000000">
      <w:pPr>
        <w:numPr>
          <w:ilvl w:val="0"/>
          <w:numId w:val="72"/>
        </w:numPr>
      </w:pPr>
      <w:r>
        <w:rPr>
          <w:szCs w:val="22"/>
        </w:rPr>
        <w:lastRenderedPageBreak/>
        <w:t>在额定操作电压下进行；</w:t>
      </w:r>
    </w:p>
    <w:p w14:paraId="340C6899" w14:textId="77777777" w:rsidR="00DC3EA5" w:rsidRDefault="00000000">
      <w:pPr>
        <w:numPr>
          <w:ilvl w:val="0"/>
          <w:numId w:val="72"/>
        </w:numPr>
        <w:rPr>
          <w:szCs w:val="22"/>
        </w:rPr>
      </w:pPr>
      <w:r>
        <w:rPr>
          <w:szCs w:val="22"/>
        </w:rPr>
        <w:t>实测数值应符合产品技术文件的规定；</w:t>
      </w:r>
    </w:p>
    <w:p w14:paraId="5B15835B" w14:textId="77777777" w:rsidR="00DC3EA5" w:rsidRDefault="00000000">
      <w:pPr>
        <w:numPr>
          <w:ilvl w:val="0"/>
          <w:numId w:val="72"/>
        </w:numPr>
        <w:rPr>
          <w:szCs w:val="22"/>
        </w:rPr>
      </w:pPr>
      <w:r>
        <w:rPr>
          <w:szCs w:val="22"/>
        </w:rPr>
        <w:t>分闸不同期不大于</w:t>
      </w:r>
      <w:r>
        <w:rPr>
          <w:szCs w:val="22"/>
        </w:rPr>
        <w:t>2 ms</w:t>
      </w:r>
      <w:r>
        <w:rPr>
          <w:szCs w:val="22"/>
        </w:rPr>
        <w:t>，合闸不同期不大于</w:t>
      </w:r>
      <w:r>
        <w:rPr>
          <w:szCs w:val="22"/>
        </w:rPr>
        <w:t>3 ms</w:t>
      </w:r>
      <w:r>
        <w:rPr>
          <w:szCs w:val="22"/>
        </w:rPr>
        <w:t>；</w:t>
      </w:r>
    </w:p>
    <w:p w14:paraId="635D28BA" w14:textId="77777777" w:rsidR="00DC3EA5" w:rsidRDefault="00000000">
      <w:pPr>
        <w:numPr>
          <w:ilvl w:val="0"/>
          <w:numId w:val="72"/>
        </w:numPr>
        <w:rPr>
          <w:szCs w:val="22"/>
        </w:rPr>
      </w:pPr>
      <w:r>
        <w:rPr>
          <w:szCs w:val="22"/>
        </w:rPr>
        <w:t>合闸时触头的弹跳时间，</w:t>
      </w:r>
      <w:r>
        <w:rPr>
          <w:szCs w:val="22"/>
        </w:rPr>
        <w:t>40.5 kV</w:t>
      </w:r>
      <w:r>
        <w:rPr>
          <w:szCs w:val="22"/>
        </w:rPr>
        <w:t>及以上断路器不大于</w:t>
      </w:r>
      <w:r>
        <w:rPr>
          <w:szCs w:val="22"/>
        </w:rPr>
        <w:t>3 ms</w:t>
      </w:r>
      <w:r>
        <w:rPr>
          <w:szCs w:val="22"/>
        </w:rPr>
        <w:t>，</w:t>
      </w:r>
      <w:r>
        <w:rPr>
          <w:szCs w:val="22"/>
        </w:rPr>
        <w:t>40.5 kV</w:t>
      </w:r>
      <w:r>
        <w:rPr>
          <w:szCs w:val="22"/>
        </w:rPr>
        <w:t>以下断路器不大于</w:t>
      </w:r>
      <w:r>
        <w:rPr>
          <w:szCs w:val="22"/>
        </w:rPr>
        <w:t>2 ms</w:t>
      </w:r>
      <w:r>
        <w:rPr>
          <w:szCs w:val="22"/>
        </w:rPr>
        <w:t>；对于电流</w:t>
      </w:r>
      <w:r>
        <w:rPr>
          <w:szCs w:val="22"/>
        </w:rPr>
        <w:t>3 kA</w:t>
      </w:r>
      <w:r>
        <w:rPr>
          <w:szCs w:val="22"/>
        </w:rPr>
        <w:t>及以上的</w:t>
      </w:r>
      <w:r>
        <w:rPr>
          <w:szCs w:val="22"/>
        </w:rPr>
        <w:t>l0 kV</w:t>
      </w:r>
      <w:r>
        <w:rPr>
          <w:szCs w:val="22"/>
        </w:rPr>
        <w:t>真空断路器，弹跳时间如不满足小于</w:t>
      </w:r>
      <w:r>
        <w:rPr>
          <w:szCs w:val="22"/>
        </w:rPr>
        <w:t>2 ms</w:t>
      </w:r>
      <w:r>
        <w:rPr>
          <w:szCs w:val="22"/>
        </w:rPr>
        <w:t>的，应符合产品技术文件的规定。</w:t>
      </w:r>
    </w:p>
    <w:p w14:paraId="07F04C47" w14:textId="77777777" w:rsidR="00DC3EA5" w:rsidRDefault="00000000">
      <w:pPr>
        <w:pStyle w:val="a7"/>
        <w:ind w:left="0"/>
        <w:outlineLvl w:val="1"/>
        <w:rPr>
          <w:rFonts w:ascii="Times New Roman"/>
        </w:rPr>
      </w:pPr>
      <w:bookmarkStart w:id="171" w:name="_Toc151477216"/>
      <w:bookmarkStart w:id="172" w:name="_Toc15814"/>
      <w:r>
        <w:rPr>
          <w:rFonts w:ascii="Times New Roman"/>
        </w:rPr>
        <w:t>操动机构的试验</w:t>
      </w:r>
      <w:bookmarkEnd w:id="171"/>
      <w:bookmarkEnd w:id="172"/>
    </w:p>
    <w:p w14:paraId="28AAF811" w14:textId="77777777" w:rsidR="00DC3EA5" w:rsidRDefault="00000000">
      <w:pPr>
        <w:pStyle w:val="affffffff2"/>
        <w:tabs>
          <w:tab w:val="center" w:pos="4201"/>
          <w:tab w:val="right" w:leader="dot" w:pos="9298"/>
        </w:tabs>
        <w:ind w:firstLine="420"/>
        <w:rPr>
          <w:rFonts w:ascii="Times New Roman"/>
        </w:rPr>
      </w:pPr>
      <w:r>
        <w:rPr>
          <w:rFonts w:ascii="Times New Roman"/>
        </w:rPr>
        <w:t>真空断路器操动机构的试验类别、试验项目及标准应符合</w:t>
      </w:r>
      <w:r>
        <w:rPr>
          <w:rFonts w:ascii="Times New Roman"/>
        </w:rPr>
        <w:t>GB 50150—2016</w:t>
      </w:r>
      <w:r>
        <w:rPr>
          <w:rFonts w:ascii="Times New Roman"/>
        </w:rPr>
        <w:t>的有关规定。</w:t>
      </w:r>
    </w:p>
    <w:p w14:paraId="41FB6776" w14:textId="77777777" w:rsidR="00DC3EA5" w:rsidRDefault="00000000">
      <w:pPr>
        <w:pStyle w:val="a7"/>
        <w:ind w:left="0"/>
        <w:outlineLvl w:val="1"/>
        <w:rPr>
          <w:rFonts w:ascii="Times New Roman"/>
        </w:rPr>
      </w:pPr>
      <w:bookmarkStart w:id="173" w:name="_Toc23869"/>
      <w:bookmarkStart w:id="174" w:name="_Toc151477217"/>
      <w:r>
        <w:rPr>
          <w:rFonts w:ascii="Times New Roman"/>
        </w:rPr>
        <w:t>辅助回路和控制回路的绝缘电阻测量</w:t>
      </w:r>
      <w:bookmarkEnd w:id="173"/>
      <w:bookmarkEnd w:id="174"/>
    </w:p>
    <w:p w14:paraId="64BCF80D" w14:textId="77777777" w:rsidR="00DC3EA5" w:rsidRDefault="00000000">
      <w:pPr>
        <w:pStyle w:val="affffffff2"/>
        <w:tabs>
          <w:tab w:val="center" w:pos="4201"/>
          <w:tab w:val="right" w:leader="dot" w:pos="9298"/>
        </w:tabs>
        <w:ind w:firstLine="420"/>
        <w:rPr>
          <w:rFonts w:ascii="Times New Roman"/>
          <w:szCs w:val="22"/>
        </w:rPr>
      </w:pPr>
      <w:r>
        <w:rPr>
          <w:rFonts w:ascii="Times New Roman"/>
        </w:rPr>
        <w:t>真空断路器辅助回路和控制回路的绝缘电阻测量应使用</w:t>
      </w:r>
      <w:r>
        <w:rPr>
          <w:rFonts w:ascii="Times New Roman"/>
        </w:rPr>
        <w:t>2500 V</w:t>
      </w:r>
      <w:r>
        <w:rPr>
          <w:rFonts w:ascii="Times New Roman"/>
        </w:rPr>
        <w:t>兆欧表，其值应不低于</w:t>
      </w:r>
      <w:r>
        <w:rPr>
          <w:rFonts w:ascii="Times New Roman"/>
        </w:rPr>
        <w:t>10 MΩ</w:t>
      </w:r>
      <w:r>
        <w:rPr>
          <w:rFonts w:ascii="Times New Roman"/>
        </w:rPr>
        <w:t>。</w:t>
      </w:r>
    </w:p>
    <w:p w14:paraId="4084F0ED" w14:textId="77777777" w:rsidR="00DC3EA5" w:rsidRDefault="00000000">
      <w:pPr>
        <w:pStyle w:val="a6"/>
        <w:outlineLvl w:val="0"/>
        <w:rPr>
          <w:rFonts w:ascii="Times New Roman"/>
        </w:rPr>
      </w:pPr>
      <w:bookmarkStart w:id="175" w:name="_Toc20884"/>
      <w:bookmarkStart w:id="176" w:name="_Toc151477218"/>
      <w:r>
        <w:rPr>
          <w:rFonts w:ascii="Times New Roman"/>
        </w:rPr>
        <w:t>SF</w:t>
      </w:r>
      <w:r>
        <w:rPr>
          <w:rFonts w:ascii="Times New Roman"/>
          <w:vertAlign w:val="subscript"/>
        </w:rPr>
        <w:t>6</w:t>
      </w:r>
      <w:r>
        <w:rPr>
          <w:rFonts w:ascii="Times New Roman"/>
        </w:rPr>
        <w:t>断路器</w:t>
      </w:r>
      <w:bookmarkEnd w:id="175"/>
      <w:bookmarkEnd w:id="176"/>
    </w:p>
    <w:p w14:paraId="471B84A5" w14:textId="77777777" w:rsidR="00DC3EA5" w:rsidRDefault="00000000">
      <w:pPr>
        <w:pStyle w:val="a7"/>
        <w:ind w:left="0"/>
        <w:outlineLvl w:val="1"/>
        <w:rPr>
          <w:rFonts w:ascii="Times New Roman"/>
        </w:rPr>
      </w:pPr>
      <w:bookmarkStart w:id="177" w:name="_Toc151477219"/>
      <w:bookmarkStart w:id="178" w:name="_Toc28369"/>
      <w:r>
        <w:rPr>
          <w:rFonts w:ascii="Times New Roman"/>
        </w:rPr>
        <w:t>试验项目</w:t>
      </w:r>
      <w:bookmarkEnd w:id="177"/>
      <w:bookmarkEnd w:id="178"/>
    </w:p>
    <w:p w14:paraId="05BC91E6"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断路器包括自然开断路线的交流断路器和具有预定极间不同期操作交流断路器。</w:t>
      </w:r>
      <w:r>
        <w:rPr>
          <w:rFonts w:ascii="Times New Roman"/>
          <w:color w:val="000000"/>
          <w:szCs w:val="21"/>
        </w:rPr>
        <w:t>SF</w:t>
      </w:r>
      <w:r>
        <w:rPr>
          <w:rFonts w:ascii="Times New Roman"/>
          <w:color w:val="000000"/>
          <w:szCs w:val="21"/>
          <w:vertAlign w:val="subscript"/>
        </w:rPr>
        <w:t>6</w:t>
      </w:r>
      <w:r>
        <w:rPr>
          <w:rFonts w:ascii="Times New Roman"/>
          <w:color w:val="000000"/>
          <w:szCs w:val="21"/>
        </w:rPr>
        <w:t>断路器的试验项目，应包括下列内容：</w:t>
      </w:r>
    </w:p>
    <w:p w14:paraId="2E35E3DF" w14:textId="77777777" w:rsidR="00DC3EA5" w:rsidRDefault="00000000">
      <w:pPr>
        <w:numPr>
          <w:ilvl w:val="0"/>
          <w:numId w:val="73"/>
        </w:numPr>
        <w:rPr>
          <w:szCs w:val="22"/>
        </w:rPr>
      </w:pPr>
      <w:r>
        <w:rPr>
          <w:szCs w:val="22"/>
        </w:rPr>
        <w:t>绝缘电阻测量；</w:t>
      </w:r>
    </w:p>
    <w:p w14:paraId="6473A825" w14:textId="77777777" w:rsidR="00DC3EA5" w:rsidRDefault="00000000">
      <w:pPr>
        <w:numPr>
          <w:ilvl w:val="0"/>
          <w:numId w:val="73"/>
        </w:numPr>
        <w:rPr>
          <w:szCs w:val="22"/>
        </w:rPr>
      </w:pPr>
      <w:r>
        <w:rPr>
          <w:szCs w:val="22"/>
        </w:rPr>
        <w:t>每相导电回路的电阻测量；</w:t>
      </w:r>
    </w:p>
    <w:p w14:paraId="44066DE1" w14:textId="77777777" w:rsidR="00DC3EA5" w:rsidRDefault="00000000">
      <w:pPr>
        <w:numPr>
          <w:ilvl w:val="0"/>
          <w:numId w:val="73"/>
        </w:numPr>
        <w:rPr>
          <w:szCs w:val="22"/>
        </w:rPr>
      </w:pPr>
      <w:r>
        <w:rPr>
          <w:szCs w:val="22"/>
        </w:rPr>
        <w:t>交流耐压试验；</w:t>
      </w:r>
    </w:p>
    <w:p w14:paraId="45B233CB" w14:textId="77777777" w:rsidR="00DC3EA5" w:rsidRDefault="00000000">
      <w:pPr>
        <w:numPr>
          <w:ilvl w:val="0"/>
          <w:numId w:val="73"/>
        </w:numPr>
        <w:rPr>
          <w:szCs w:val="22"/>
        </w:rPr>
      </w:pPr>
      <w:r>
        <w:rPr>
          <w:szCs w:val="22"/>
        </w:rPr>
        <w:t>局部放电试验；</w:t>
      </w:r>
    </w:p>
    <w:p w14:paraId="6079D187" w14:textId="77777777" w:rsidR="00DC3EA5" w:rsidRDefault="00000000">
      <w:pPr>
        <w:numPr>
          <w:ilvl w:val="0"/>
          <w:numId w:val="73"/>
        </w:numPr>
        <w:rPr>
          <w:szCs w:val="22"/>
        </w:rPr>
      </w:pPr>
      <w:r>
        <w:rPr>
          <w:szCs w:val="22"/>
        </w:rPr>
        <w:t>分、合闸线圈的绝缘电阻和直流电阻测量；</w:t>
      </w:r>
    </w:p>
    <w:p w14:paraId="3C681FA1" w14:textId="77777777" w:rsidR="00DC3EA5" w:rsidRDefault="00000000">
      <w:pPr>
        <w:numPr>
          <w:ilvl w:val="0"/>
          <w:numId w:val="73"/>
        </w:numPr>
        <w:rPr>
          <w:szCs w:val="22"/>
        </w:rPr>
      </w:pPr>
      <w:r>
        <w:rPr>
          <w:szCs w:val="22"/>
        </w:rPr>
        <w:t>主触头的分合时间和速度测量；</w:t>
      </w:r>
    </w:p>
    <w:p w14:paraId="0192396F" w14:textId="77777777" w:rsidR="00DC3EA5" w:rsidRDefault="00000000">
      <w:pPr>
        <w:numPr>
          <w:ilvl w:val="0"/>
          <w:numId w:val="73"/>
        </w:numPr>
        <w:rPr>
          <w:szCs w:val="22"/>
        </w:rPr>
      </w:pPr>
      <w:r>
        <w:rPr>
          <w:szCs w:val="22"/>
        </w:rPr>
        <w:t>主触头的分合闸同期性及主辅触头的配合时间测量；</w:t>
      </w:r>
    </w:p>
    <w:p w14:paraId="61B217E9" w14:textId="77777777" w:rsidR="00DC3EA5" w:rsidRDefault="00000000">
      <w:pPr>
        <w:numPr>
          <w:ilvl w:val="0"/>
          <w:numId w:val="73"/>
        </w:numPr>
        <w:rPr>
          <w:szCs w:val="22"/>
        </w:rPr>
      </w:pPr>
      <w:r>
        <w:rPr>
          <w:szCs w:val="22"/>
        </w:rPr>
        <w:t>主触头的行程曲线测量；</w:t>
      </w:r>
    </w:p>
    <w:p w14:paraId="084C3584" w14:textId="77777777" w:rsidR="00DC3EA5" w:rsidRDefault="00000000">
      <w:pPr>
        <w:numPr>
          <w:ilvl w:val="0"/>
          <w:numId w:val="73"/>
        </w:numPr>
        <w:rPr>
          <w:szCs w:val="22"/>
        </w:rPr>
      </w:pPr>
      <w:r>
        <w:rPr>
          <w:szCs w:val="22"/>
        </w:rPr>
        <w:t>合闸电阻的投入时间和电阻值测量；</w:t>
      </w:r>
    </w:p>
    <w:p w14:paraId="6EADCF29" w14:textId="77777777" w:rsidR="00DC3EA5" w:rsidRDefault="00000000">
      <w:pPr>
        <w:numPr>
          <w:ilvl w:val="0"/>
          <w:numId w:val="73"/>
        </w:numPr>
        <w:rPr>
          <w:szCs w:val="22"/>
        </w:rPr>
      </w:pPr>
      <w:r>
        <w:rPr>
          <w:szCs w:val="22"/>
        </w:rPr>
        <w:t>操作机构的试验；</w:t>
      </w:r>
    </w:p>
    <w:p w14:paraId="1CF1394E" w14:textId="77777777" w:rsidR="00DC3EA5" w:rsidRDefault="00000000">
      <w:pPr>
        <w:numPr>
          <w:ilvl w:val="0"/>
          <w:numId w:val="73"/>
        </w:numPr>
        <w:rPr>
          <w:szCs w:val="22"/>
        </w:rPr>
      </w:pPr>
      <w:r>
        <w:rPr>
          <w:szCs w:val="22"/>
        </w:rPr>
        <w:t>SF</w:t>
      </w:r>
      <w:r>
        <w:rPr>
          <w:szCs w:val="22"/>
          <w:vertAlign w:val="subscript"/>
        </w:rPr>
        <w:t>6</w:t>
      </w:r>
      <w:r>
        <w:rPr>
          <w:szCs w:val="22"/>
        </w:rPr>
        <w:t>气体含水量测量；</w:t>
      </w:r>
    </w:p>
    <w:p w14:paraId="6D301DE8" w14:textId="77777777" w:rsidR="00DC3EA5" w:rsidRDefault="00000000">
      <w:pPr>
        <w:numPr>
          <w:ilvl w:val="0"/>
          <w:numId w:val="73"/>
        </w:numPr>
        <w:rPr>
          <w:szCs w:val="22"/>
        </w:rPr>
      </w:pPr>
      <w:r>
        <w:rPr>
          <w:szCs w:val="22"/>
        </w:rPr>
        <w:t>密封性试验；</w:t>
      </w:r>
    </w:p>
    <w:p w14:paraId="69F82C70" w14:textId="77777777" w:rsidR="00DC3EA5" w:rsidRDefault="00000000">
      <w:pPr>
        <w:numPr>
          <w:ilvl w:val="0"/>
          <w:numId w:val="73"/>
        </w:numPr>
        <w:rPr>
          <w:szCs w:val="22"/>
        </w:rPr>
      </w:pPr>
      <w:r>
        <w:rPr>
          <w:szCs w:val="22"/>
        </w:rPr>
        <w:t>气体密度继电器等表计检查；</w:t>
      </w:r>
    </w:p>
    <w:p w14:paraId="70CDB8E6" w14:textId="77777777" w:rsidR="00DC3EA5" w:rsidRDefault="00000000">
      <w:pPr>
        <w:numPr>
          <w:ilvl w:val="0"/>
          <w:numId w:val="73"/>
        </w:numPr>
        <w:rPr>
          <w:szCs w:val="22"/>
        </w:rPr>
      </w:pPr>
      <w:r>
        <w:rPr>
          <w:szCs w:val="22"/>
        </w:rPr>
        <w:t>辅助回路及控制回路的绝缘电阻测量；</w:t>
      </w:r>
    </w:p>
    <w:p w14:paraId="1F3B4532" w14:textId="77777777" w:rsidR="00DC3EA5" w:rsidRDefault="00000000">
      <w:pPr>
        <w:numPr>
          <w:ilvl w:val="0"/>
          <w:numId w:val="73"/>
        </w:numPr>
        <w:rPr>
          <w:szCs w:val="22"/>
        </w:rPr>
      </w:pPr>
      <w:r>
        <w:rPr>
          <w:szCs w:val="22"/>
        </w:rPr>
        <w:t>套管式电流互感器的试验；</w:t>
      </w:r>
    </w:p>
    <w:p w14:paraId="3FDA4989" w14:textId="77777777" w:rsidR="00DC3EA5" w:rsidRDefault="00000000">
      <w:pPr>
        <w:numPr>
          <w:ilvl w:val="0"/>
          <w:numId w:val="73"/>
        </w:numPr>
        <w:rPr>
          <w:szCs w:val="22"/>
        </w:rPr>
      </w:pPr>
      <w:r>
        <w:rPr>
          <w:szCs w:val="22"/>
        </w:rPr>
        <w:t>预定极间不同期操作的交流断路器的选相开合试验。</w:t>
      </w:r>
    </w:p>
    <w:p w14:paraId="3443D35A" w14:textId="77777777" w:rsidR="00DC3EA5" w:rsidRDefault="00000000">
      <w:pPr>
        <w:pStyle w:val="a7"/>
        <w:ind w:left="0"/>
        <w:outlineLvl w:val="1"/>
        <w:rPr>
          <w:rFonts w:ascii="Times New Roman"/>
        </w:rPr>
      </w:pPr>
      <w:bookmarkStart w:id="179" w:name="_Toc4353"/>
      <w:bookmarkStart w:id="180" w:name="_Toc151477220"/>
      <w:r>
        <w:rPr>
          <w:rFonts w:ascii="Times New Roman"/>
        </w:rPr>
        <w:t>绝缘电阻测量</w:t>
      </w:r>
      <w:bookmarkEnd w:id="179"/>
      <w:bookmarkEnd w:id="180"/>
    </w:p>
    <w:p w14:paraId="29100195" w14:textId="77777777" w:rsidR="00DC3EA5" w:rsidRDefault="00000000">
      <w:pPr>
        <w:pStyle w:val="affffffff2"/>
        <w:tabs>
          <w:tab w:val="center" w:pos="4201"/>
          <w:tab w:val="right" w:leader="dot" w:pos="9298"/>
        </w:tabs>
        <w:ind w:left="420" w:firstLineChars="0" w:firstLine="0"/>
        <w:rPr>
          <w:rFonts w:ascii="Times New Roman"/>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w:t>
      </w:r>
      <w:r>
        <w:rPr>
          <w:rFonts w:ascii="Times New Roman"/>
        </w:rPr>
        <w:t>主回路的绝缘电阻</w:t>
      </w:r>
      <w:r>
        <w:rPr>
          <w:rFonts w:ascii="Times New Roman"/>
          <w:color w:val="000000"/>
          <w:szCs w:val="21"/>
        </w:rPr>
        <w:t>测量值，</w:t>
      </w:r>
      <w:r>
        <w:rPr>
          <w:rFonts w:ascii="Times New Roman"/>
        </w:rPr>
        <w:t>应符合制造厂技术文件的规定。</w:t>
      </w:r>
    </w:p>
    <w:p w14:paraId="66197B75" w14:textId="77777777" w:rsidR="00DC3EA5" w:rsidRDefault="00000000">
      <w:pPr>
        <w:pStyle w:val="a7"/>
        <w:ind w:left="0"/>
        <w:outlineLvl w:val="1"/>
        <w:rPr>
          <w:rFonts w:ascii="Times New Roman"/>
        </w:rPr>
      </w:pPr>
      <w:bookmarkStart w:id="181" w:name="_Toc151477221"/>
      <w:bookmarkStart w:id="182" w:name="_Toc17063"/>
      <w:r>
        <w:rPr>
          <w:rFonts w:ascii="Times New Roman"/>
        </w:rPr>
        <w:t>每相导电回路的电阻测量</w:t>
      </w:r>
      <w:bookmarkEnd w:id="181"/>
      <w:bookmarkEnd w:id="182"/>
    </w:p>
    <w:p w14:paraId="7AA21888"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w:t>
      </w:r>
      <w:r>
        <w:rPr>
          <w:rFonts w:ascii="Times New Roman"/>
        </w:rPr>
        <w:t>每相导电回路的电阻测量，</w:t>
      </w:r>
      <w:r>
        <w:rPr>
          <w:rFonts w:ascii="Times New Roman"/>
          <w:color w:val="000000"/>
          <w:szCs w:val="21"/>
        </w:rPr>
        <w:t>应符合下列规定：</w:t>
      </w:r>
    </w:p>
    <w:p w14:paraId="3794223A" w14:textId="77777777" w:rsidR="00DC3EA5" w:rsidRDefault="00000000">
      <w:pPr>
        <w:numPr>
          <w:ilvl w:val="0"/>
          <w:numId w:val="74"/>
        </w:numPr>
        <w:rPr>
          <w:color w:val="000000"/>
          <w:kern w:val="0"/>
          <w:szCs w:val="22"/>
        </w:rPr>
      </w:pPr>
      <w:r>
        <w:rPr>
          <w:szCs w:val="22"/>
        </w:rPr>
        <w:t>宜采用电流不小于</w:t>
      </w:r>
      <w:r>
        <w:rPr>
          <w:szCs w:val="22"/>
        </w:rPr>
        <w:t>100 A</w:t>
      </w:r>
      <w:r>
        <w:rPr>
          <w:szCs w:val="22"/>
        </w:rPr>
        <w:t>的直流压降法进行；</w:t>
      </w:r>
    </w:p>
    <w:p w14:paraId="48F1D89F" w14:textId="77777777" w:rsidR="00DC3EA5" w:rsidRDefault="00000000">
      <w:pPr>
        <w:numPr>
          <w:ilvl w:val="0"/>
          <w:numId w:val="74"/>
        </w:numPr>
        <w:rPr>
          <w:szCs w:val="22"/>
        </w:rPr>
      </w:pPr>
      <w:r>
        <w:rPr>
          <w:szCs w:val="22"/>
        </w:rPr>
        <w:t>测量结果应不大于出厂值的</w:t>
      </w:r>
      <w:r>
        <w:rPr>
          <w:szCs w:val="22"/>
        </w:rPr>
        <w:t>120%</w:t>
      </w:r>
      <w:r>
        <w:rPr>
          <w:szCs w:val="22"/>
        </w:rPr>
        <w:t>，且不超过产品技术文件的规定值。</w:t>
      </w:r>
    </w:p>
    <w:p w14:paraId="01102588" w14:textId="77777777" w:rsidR="00DC3EA5" w:rsidRDefault="00000000">
      <w:pPr>
        <w:pStyle w:val="a7"/>
        <w:ind w:left="0"/>
        <w:outlineLvl w:val="1"/>
        <w:rPr>
          <w:rFonts w:ascii="Times New Roman"/>
        </w:rPr>
      </w:pPr>
      <w:bookmarkStart w:id="183" w:name="_Toc151477222"/>
      <w:bookmarkStart w:id="184" w:name="_Toc4933"/>
      <w:r>
        <w:rPr>
          <w:rFonts w:ascii="Times New Roman"/>
        </w:rPr>
        <w:lastRenderedPageBreak/>
        <w:t>交流耐压试验</w:t>
      </w:r>
      <w:bookmarkEnd w:id="183"/>
      <w:bookmarkEnd w:id="184"/>
    </w:p>
    <w:p w14:paraId="637C76BF"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断路器主回路的交流耐压试验，应符合下列规定：</w:t>
      </w:r>
    </w:p>
    <w:p w14:paraId="38E45AE6" w14:textId="77777777" w:rsidR="00DC3EA5" w:rsidRDefault="00000000">
      <w:pPr>
        <w:numPr>
          <w:ilvl w:val="0"/>
          <w:numId w:val="75"/>
        </w:numPr>
        <w:rPr>
          <w:szCs w:val="22"/>
        </w:rPr>
      </w:pPr>
      <w:r>
        <w:rPr>
          <w:szCs w:val="22"/>
        </w:rPr>
        <w:t>试验前应确认</w:t>
      </w:r>
      <w:r>
        <w:rPr>
          <w:szCs w:val="22"/>
        </w:rPr>
        <w:t>SF</w:t>
      </w:r>
      <w:r>
        <w:rPr>
          <w:szCs w:val="22"/>
          <w:vertAlign w:val="subscript"/>
        </w:rPr>
        <w:t>6</w:t>
      </w:r>
      <w:r>
        <w:rPr>
          <w:szCs w:val="22"/>
        </w:rPr>
        <w:t>气压处于额定值，试验电压取出厂试验的</w:t>
      </w:r>
      <w:r>
        <w:rPr>
          <w:szCs w:val="22"/>
        </w:rPr>
        <w:t>80%</w:t>
      </w:r>
      <w:r>
        <w:rPr>
          <w:szCs w:val="22"/>
        </w:rPr>
        <w:t>；</w:t>
      </w:r>
    </w:p>
    <w:p w14:paraId="2B8002DF" w14:textId="77777777" w:rsidR="00DC3EA5" w:rsidRDefault="00000000">
      <w:pPr>
        <w:numPr>
          <w:ilvl w:val="0"/>
          <w:numId w:val="75"/>
        </w:numPr>
        <w:rPr>
          <w:szCs w:val="22"/>
        </w:rPr>
      </w:pPr>
      <w:r>
        <w:rPr>
          <w:szCs w:val="22"/>
        </w:rPr>
        <w:t>110 kV</w:t>
      </w:r>
      <w:r>
        <w:rPr>
          <w:szCs w:val="22"/>
        </w:rPr>
        <w:t>以下电压等级的断路器应进行合闸对地和断口间耐压试验。</w:t>
      </w:r>
    </w:p>
    <w:p w14:paraId="68FAEC44" w14:textId="77777777" w:rsidR="00DC3EA5" w:rsidRDefault="00000000">
      <w:pPr>
        <w:pStyle w:val="a7"/>
        <w:ind w:left="0"/>
        <w:outlineLvl w:val="1"/>
        <w:rPr>
          <w:rFonts w:ascii="Times New Roman"/>
        </w:rPr>
      </w:pPr>
      <w:bookmarkStart w:id="185" w:name="_Toc151477223"/>
      <w:bookmarkStart w:id="186" w:name="_Toc9774"/>
      <w:r>
        <w:rPr>
          <w:rFonts w:ascii="Times New Roman"/>
        </w:rPr>
        <w:t>局部放电试验</w:t>
      </w:r>
      <w:bookmarkEnd w:id="185"/>
      <w:bookmarkEnd w:id="186"/>
    </w:p>
    <w:p w14:paraId="7D46E2F0"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断路器的局部放电试验，应符合下列规定：</w:t>
      </w:r>
    </w:p>
    <w:p w14:paraId="237D0328" w14:textId="77777777" w:rsidR="00DC3EA5" w:rsidRDefault="00000000">
      <w:pPr>
        <w:numPr>
          <w:ilvl w:val="0"/>
          <w:numId w:val="76"/>
        </w:numPr>
        <w:rPr>
          <w:szCs w:val="22"/>
        </w:rPr>
      </w:pPr>
      <w:r>
        <w:rPr>
          <w:szCs w:val="22"/>
        </w:rPr>
        <w:t>可与交流耐压试验同时进行，在</w:t>
      </w:r>
      <w:r>
        <w:rPr>
          <w:position w:val="-6"/>
          <w:szCs w:val="22"/>
        </w:rPr>
        <w:object w:dxaOrig="960" w:dyaOrig="300" w14:anchorId="2FCF27E2">
          <v:shape id="_x0000_i1034" type="#_x0000_t75" style="width:48pt;height:15pt" o:ole="">
            <v:imagedata r:id="rId32" o:title=""/>
          </v:shape>
          <o:OLEObject Type="Embed" ProgID="Equation.3" ShapeID="_x0000_i1034" DrawAspect="Content" ObjectID="_1793207899" r:id="rId33"/>
        </w:object>
      </w:r>
      <w:r>
        <w:rPr>
          <w:szCs w:val="22"/>
        </w:rPr>
        <w:t>的试验电压下测量局部放电值，应无异常；</w:t>
      </w:r>
    </w:p>
    <w:p w14:paraId="0DEED3A6" w14:textId="77777777" w:rsidR="00DC3EA5" w:rsidRDefault="00000000">
      <w:pPr>
        <w:numPr>
          <w:ilvl w:val="0"/>
          <w:numId w:val="76"/>
        </w:numPr>
        <w:rPr>
          <w:szCs w:val="22"/>
        </w:rPr>
      </w:pPr>
      <w:r>
        <w:rPr>
          <w:szCs w:val="22"/>
        </w:rPr>
        <w:t>可采用超声或特高频法进行测量。</w:t>
      </w:r>
    </w:p>
    <w:p w14:paraId="1E3A5109" w14:textId="77777777" w:rsidR="00DC3EA5" w:rsidRDefault="00000000">
      <w:pPr>
        <w:pStyle w:val="a7"/>
        <w:ind w:left="0"/>
        <w:outlineLvl w:val="1"/>
        <w:rPr>
          <w:rFonts w:ascii="Times New Roman"/>
        </w:rPr>
      </w:pPr>
      <w:bookmarkStart w:id="187" w:name="_Toc151477224"/>
      <w:bookmarkStart w:id="188" w:name="_Toc32469"/>
      <w:r>
        <w:rPr>
          <w:rFonts w:ascii="Times New Roman"/>
        </w:rPr>
        <w:t>分、合闸线圈的绝缘电阻和直流电阻测量</w:t>
      </w:r>
      <w:bookmarkEnd w:id="187"/>
      <w:bookmarkEnd w:id="188"/>
    </w:p>
    <w:p w14:paraId="3E4395EB"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w:t>
      </w:r>
      <w:r>
        <w:rPr>
          <w:rFonts w:ascii="Times New Roman"/>
        </w:rPr>
        <w:t>分、合闸线圈的绝缘电阻和直流电阻测量</w:t>
      </w:r>
      <w:r>
        <w:rPr>
          <w:rFonts w:ascii="Times New Roman"/>
          <w:color w:val="000000"/>
          <w:szCs w:val="21"/>
        </w:rPr>
        <w:t>，应符合下列规定：</w:t>
      </w:r>
    </w:p>
    <w:p w14:paraId="41DB356F" w14:textId="77777777" w:rsidR="00DC3EA5" w:rsidRDefault="00000000">
      <w:pPr>
        <w:numPr>
          <w:ilvl w:val="0"/>
          <w:numId w:val="77"/>
        </w:numPr>
      </w:pPr>
      <w:r>
        <w:rPr>
          <w:color w:val="000000"/>
          <w:szCs w:val="21"/>
        </w:rPr>
        <w:t>绝缘电阻值不应低于</w:t>
      </w:r>
      <w:r>
        <w:rPr>
          <w:color w:val="000000"/>
          <w:szCs w:val="21"/>
        </w:rPr>
        <w:t>10 MΩ</w:t>
      </w:r>
      <w:r>
        <w:rPr>
          <w:color w:val="000000"/>
          <w:szCs w:val="21"/>
        </w:rPr>
        <w:t>；</w:t>
      </w:r>
    </w:p>
    <w:p w14:paraId="119DADBB" w14:textId="77777777" w:rsidR="00DC3EA5" w:rsidRDefault="00000000">
      <w:pPr>
        <w:numPr>
          <w:ilvl w:val="0"/>
          <w:numId w:val="77"/>
        </w:numPr>
      </w:pPr>
      <w:r>
        <w:rPr>
          <w:color w:val="000000"/>
          <w:szCs w:val="21"/>
        </w:rPr>
        <w:t>直流电阻值应符合产品技术文件的规定，无明确要求时，应不超过出厂值的</w:t>
      </w:r>
      <w:r>
        <w:rPr>
          <w:color w:val="000000"/>
          <w:szCs w:val="21"/>
        </w:rPr>
        <w:t>±5%</w:t>
      </w:r>
      <w:r>
        <w:rPr>
          <w:color w:val="000000"/>
          <w:szCs w:val="21"/>
        </w:rPr>
        <w:t>。</w:t>
      </w:r>
    </w:p>
    <w:p w14:paraId="691EA092" w14:textId="77777777" w:rsidR="00DC3EA5" w:rsidRDefault="00000000">
      <w:pPr>
        <w:pStyle w:val="a7"/>
        <w:ind w:left="0"/>
        <w:outlineLvl w:val="1"/>
        <w:rPr>
          <w:rFonts w:ascii="Times New Roman"/>
        </w:rPr>
      </w:pPr>
      <w:bookmarkStart w:id="189" w:name="_Toc8615"/>
      <w:bookmarkStart w:id="190" w:name="_Toc151477225"/>
      <w:r>
        <w:rPr>
          <w:rFonts w:ascii="Times New Roman"/>
        </w:rPr>
        <w:t>主触头的分合闸时间和速度测量</w:t>
      </w:r>
      <w:bookmarkEnd w:id="189"/>
      <w:bookmarkEnd w:id="190"/>
    </w:p>
    <w:p w14:paraId="5702DF5F" w14:textId="77777777" w:rsidR="00DC3EA5" w:rsidRDefault="00000000">
      <w:pPr>
        <w:pStyle w:val="21"/>
        <w:numPr>
          <w:ilvl w:val="1"/>
          <w:numId w:val="0"/>
        </w:numPr>
        <w:spacing w:afterLines="0" w:after="0"/>
        <w:ind w:firstLineChars="200" w:firstLine="420"/>
        <w:outlineLvl w:val="9"/>
        <w:rPr>
          <w:rFonts w:ascii="Times New Roman"/>
        </w:rPr>
      </w:pPr>
      <w:bookmarkStart w:id="191" w:name="_Toc20496"/>
      <w:r>
        <w:rPr>
          <w:rFonts w:ascii="Times New Roman" w:eastAsia="宋体"/>
          <w:color w:val="000000"/>
        </w:rPr>
        <w:t>SF</w:t>
      </w:r>
      <w:r>
        <w:rPr>
          <w:rFonts w:ascii="Times New Roman" w:eastAsia="宋体"/>
          <w:color w:val="000000"/>
          <w:vertAlign w:val="subscript"/>
        </w:rPr>
        <w:t>6</w:t>
      </w:r>
      <w:r>
        <w:rPr>
          <w:rFonts w:ascii="Times New Roman" w:eastAsia="宋体"/>
          <w:color w:val="000000"/>
        </w:rPr>
        <w:t>断路器主触头的分合闸时间和速度测量，应符合下列规定：</w:t>
      </w:r>
      <w:bookmarkEnd w:id="191"/>
    </w:p>
    <w:p w14:paraId="244033A7" w14:textId="77777777" w:rsidR="00DC3EA5" w:rsidRDefault="00000000">
      <w:pPr>
        <w:numPr>
          <w:ilvl w:val="0"/>
          <w:numId w:val="78"/>
        </w:numPr>
        <w:rPr>
          <w:szCs w:val="22"/>
        </w:rPr>
      </w:pPr>
      <w:r>
        <w:rPr>
          <w:szCs w:val="22"/>
        </w:rPr>
        <w:t>应在断路器的额定操作电压、气压或液压下进行；</w:t>
      </w:r>
    </w:p>
    <w:p w14:paraId="4E0A55F9" w14:textId="77777777" w:rsidR="00DC3EA5" w:rsidRDefault="00000000">
      <w:pPr>
        <w:numPr>
          <w:ilvl w:val="0"/>
          <w:numId w:val="78"/>
        </w:numPr>
        <w:rPr>
          <w:szCs w:val="22"/>
        </w:rPr>
      </w:pPr>
      <w:r>
        <w:rPr>
          <w:szCs w:val="22"/>
        </w:rPr>
        <w:t>实测数值应符合产品技术文件的规定；</w:t>
      </w:r>
    </w:p>
    <w:p w14:paraId="7D911628" w14:textId="77777777" w:rsidR="00DC3EA5" w:rsidRDefault="00000000">
      <w:pPr>
        <w:numPr>
          <w:ilvl w:val="0"/>
          <w:numId w:val="78"/>
        </w:numPr>
        <w:rPr>
          <w:szCs w:val="22"/>
        </w:rPr>
      </w:pPr>
      <w:r>
        <w:rPr>
          <w:szCs w:val="22"/>
        </w:rPr>
        <w:t>现场无条件安装采样装置的断路器可不进行主触头的分、合闸速度测量。</w:t>
      </w:r>
    </w:p>
    <w:p w14:paraId="420C0187" w14:textId="77777777" w:rsidR="00DC3EA5" w:rsidRDefault="00000000">
      <w:pPr>
        <w:pStyle w:val="a7"/>
        <w:ind w:left="0"/>
        <w:outlineLvl w:val="1"/>
        <w:rPr>
          <w:rFonts w:ascii="Times New Roman"/>
        </w:rPr>
      </w:pPr>
      <w:bookmarkStart w:id="192" w:name="_Toc26791"/>
      <w:bookmarkStart w:id="193" w:name="_Toc151477226"/>
      <w:r>
        <w:rPr>
          <w:rFonts w:ascii="Times New Roman"/>
        </w:rPr>
        <w:t>主触头分合闸同期性及主辅触头的配合时间测量</w:t>
      </w:r>
      <w:bookmarkEnd w:id="192"/>
      <w:bookmarkEnd w:id="193"/>
    </w:p>
    <w:p w14:paraId="61A381C4" w14:textId="77777777" w:rsidR="00DC3EA5" w:rsidRDefault="00000000">
      <w:pPr>
        <w:pStyle w:val="3f2"/>
        <w:numPr>
          <w:ilvl w:val="2"/>
          <w:numId w:val="0"/>
        </w:numPr>
        <w:spacing w:before="156" w:after="156"/>
        <w:ind w:firstLineChars="200" w:firstLine="420"/>
        <w:outlineLvl w:val="9"/>
        <w:rPr>
          <w:rFonts w:ascii="Times New Roman" w:eastAsia="宋体"/>
          <w:color w:val="000000"/>
        </w:rPr>
      </w:pPr>
      <w:bookmarkStart w:id="194" w:name="_Toc14877"/>
      <w:r>
        <w:rPr>
          <w:rFonts w:ascii="Times New Roman" w:eastAsia="宋体"/>
          <w:color w:val="000000"/>
        </w:rPr>
        <w:t>SF</w:t>
      </w:r>
      <w:r>
        <w:rPr>
          <w:rFonts w:ascii="Times New Roman" w:eastAsia="宋体"/>
          <w:color w:val="000000"/>
          <w:vertAlign w:val="subscript"/>
        </w:rPr>
        <w:t>6</w:t>
      </w:r>
      <w:r>
        <w:rPr>
          <w:rFonts w:ascii="Times New Roman" w:eastAsia="宋体"/>
          <w:color w:val="000000"/>
        </w:rPr>
        <w:t>断路器主触头的分合闸同期性及主辅触头的配合时间测量，应符合产品技术文件的规定。</w:t>
      </w:r>
      <w:bookmarkEnd w:id="194"/>
    </w:p>
    <w:p w14:paraId="58B6215B" w14:textId="77777777" w:rsidR="00DC3EA5" w:rsidRDefault="00000000">
      <w:pPr>
        <w:pStyle w:val="a7"/>
        <w:ind w:left="0"/>
        <w:outlineLvl w:val="1"/>
        <w:rPr>
          <w:rFonts w:ascii="Times New Roman"/>
        </w:rPr>
      </w:pPr>
      <w:bookmarkStart w:id="195" w:name="_Toc151477227"/>
      <w:bookmarkStart w:id="196" w:name="_Toc8188"/>
      <w:r>
        <w:rPr>
          <w:rFonts w:ascii="Times New Roman"/>
        </w:rPr>
        <w:t>主触头的行程曲线测量</w:t>
      </w:r>
      <w:bookmarkEnd w:id="195"/>
      <w:bookmarkEnd w:id="196"/>
    </w:p>
    <w:p w14:paraId="5E2A8223" w14:textId="77777777" w:rsidR="00DC3EA5" w:rsidRDefault="00000000">
      <w:pPr>
        <w:pStyle w:val="3f2"/>
        <w:numPr>
          <w:ilvl w:val="2"/>
          <w:numId w:val="0"/>
        </w:numPr>
        <w:spacing w:before="156" w:after="156"/>
        <w:ind w:firstLineChars="200" w:firstLine="420"/>
        <w:outlineLvl w:val="9"/>
        <w:rPr>
          <w:rFonts w:ascii="Times New Roman" w:eastAsia="宋体"/>
          <w:color w:val="000000"/>
        </w:rPr>
      </w:pPr>
      <w:bookmarkStart w:id="197" w:name="_Toc7115"/>
      <w:r>
        <w:rPr>
          <w:rFonts w:ascii="Times New Roman" w:eastAsia="宋体"/>
          <w:color w:val="000000"/>
        </w:rPr>
        <w:t>应在</w:t>
      </w:r>
      <w:r>
        <w:rPr>
          <w:rFonts w:ascii="Times New Roman" w:eastAsia="宋体"/>
          <w:color w:val="000000"/>
        </w:rPr>
        <w:t>SF</w:t>
      </w:r>
      <w:r>
        <w:rPr>
          <w:rFonts w:ascii="Times New Roman" w:eastAsia="宋体"/>
          <w:color w:val="000000"/>
          <w:vertAlign w:val="subscript"/>
        </w:rPr>
        <w:t>6</w:t>
      </w:r>
      <w:r>
        <w:rPr>
          <w:rFonts w:ascii="Times New Roman" w:eastAsia="宋体"/>
          <w:color w:val="000000"/>
        </w:rPr>
        <w:t>断路器机械特性试验中同步测量触头行程曲线，并确保其处于产品技术文件规定的参考机械行程特性的包络线范围内。</w:t>
      </w:r>
      <w:bookmarkEnd w:id="197"/>
    </w:p>
    <w:p w14:paraId="1FCF7001" w14:textId="77777777" w:rsidR="00DC3EA5" w:rsidRDefault="00000000">
      <w:pPr>
        <w:pStyle w:val="a7"/>
        <w:ind w:left="0"/>
        <w:outlineLvl w:val="1"/>
        <w:rPr>
          <w:rFonts w:ascii="Times New Roman"/>
        </w:rPr>
      </w:pPr>
      <w:bookmarkStart w:id="198" w:name="_Toc11144"/>
      <w:bookmarkStart w:id="199" w:name="_Toc151477228"/>
      <w:r>
        <w:rPr>
          <w:rFonts w:ascii="Times New Roman"/>
        </w:rPr>
        <w:t>合闸电阻的投入时间和电阻值测量</w:t>
      </w:r>
      <w:bookmarkEnd w:id="198"/>
      <w:bookmarkEnd w:id="199"/>
    </w:p>
    <w:p w14:paraId="7408906E" w14:textId="77777777" w:rsidR="00DC3EA5" w:rsidRDefault="00000000">
      <w:pPr>
        <w:pStyle w:val="3f2"/>
        <w:numPr>
          <w:ilvl w:val="2"/>
          <w:numId w:val="0"/>
        </w:numPr>
        <w:spacing w:before="156" w:after="156"/>
        <w:ind w:firstLineChars="200" w:firstLine="420"/>
        <w:outlineLvl w:val="9"/>
        <w:rPr>
          <w:rFonts w:ascii="Times New Roman"/>
        </w:rPr>
      </w:pPr>
      <w:bookmarkStart w:id="200" w:name="_Toc4223"/>
      <w:r>
        <w:rPr>
          <w:rFonts w:ascii="Times New Roman" w:eastAsia="宋体"/>
          <w:color w:val="000000"/>
        </w:rPr>
        <w:t>SF</w:t>
      </w:r>
      <w:r>
        <w:rPr>
          <w:rFonts w:ascii="Times New Roman" w:eastAsia="宋体"/>
          <w:color w:val="000000"/>
          <w:vertAlign w:val="subscript"/>
        </w:rPr>
        <w:t>6</w:t>
      </w:r>
      <w:r>
        <w:rPr>
          <w:rFonts w:ascii="Times New Roman" w:eastAsia="宋体"/>
          <w:color w:val="000000"/>
        </w:rPr>
        <w:t>断路器合闸电阻的投入时间应符合产品技术文件的规定，无明确要求时，阻值变化的允许范围不得大于</w:t>
      </w:r>
      <w:r>
        <w:rPr>
          <w:rFonts w:ascii="Times New Roman" w:eastAsia="宋体"/>
          <w:color w:val="000000"/>
        </w:rPr>
        <w:t>±5%</w:t>
      </w:r>
      <w:r>
        <w:rPr>
          <w:rFonts w:ascii="Times New Roman" w:eastAsia="宋体"/>
          <w:color w:val="000000"/>
        </w:rPr>
        <w:t>。</w:t>
      </w:r>
      <w:bookmarkEnd w:id="200"/>
    </w:p>
    <w:p w14:paraId="0799C367" w14:textId="77777777" w:rsidR="00DC3EA5" w:rsidRDefault="00000000">
      <w:pPr>
        <w:pStyle w:val="a7"/>
        <w:ind w:left="0"/>
        <w:outlineLvl w:val="1"/>
        <w:rPr>
          <w:rFonts w:ascii="Times New Roman"/>
        </w:rPr>
      </w:pPr>
      <w:bookmarkStart w:id="201" w:name="_Toc151477229"/>
      <w:bookmarkStart w:id="202" w:name="_Toc3076"/>
      <w:r>
        <w:rPr>
          <w:rFonts w:ascii="Times New Roman"/>
        </w:rPr>
        <w:t>操作机构的试验</w:t>
      </w:r>
      <w:bookmarkEnd w:id="201"/>
      <w:bookmarkEnd w:id="202"/>
    </w:p>
    <w:p w14:paraId="30E9E836" w14:textId="77777777" w:rsidR="00DC3EA5" w:rsidRDefault="00000000">
      <w:pPr>
        <w:pStyle w:val="af5"/>
        <w:numPr>
          <w:ilvl w:val="0"/>
          <w:numId w:val="0"/>
        </w:numPr>
        <w:ind w:left="420"/>
        <w:rPr>
          <w:rFonts w:ascii="Times New Roman"/>
          <w:szCs w:val="22"/>
        </w:rPr>
      </w:pPr>
      <w:r>
        <w:rPr>
          <w:rFonts w:ascii="Times New Roman"/>
          <w:color w:val="000000"/>
          <w:szCs w:val="21"/>
        </w:rPr>
        <w:t>SF</w:t>
      </w:r>
      <w:r>
        <w:rPr>
          <w:rFonts w:ascii="Times New Roman"/>
          <w:color w:val="000000"/>
          <w:szCs w:val="21"/>
          <w:vertAlign w:val="subscript"/>
        </w:rPr>
        <w:t>6</w:t>
      </w:r>
      <w:r>
        <w:rPr>
          <w:rFonts w:ascii="Times New Roman"/>
        </w:rPr>
        <w:t>断路器操动机构的试验，按本文件</w:t>
      </w:r>
      <w:r>
        <w:rPr>
          <w:rFonts w:ascii="Times New Roman"/>
        </w:rPr>
        <w:t>9.7</w:t>
      </w:r>
      <w:r>
        <w:rPr>
          <w:rFonts w:ascii="Times New Roman"/>
        </w:rPr>
        <w:t>的规定执行。</w:t>
      </w:r>
    </w:p>
    <w:p w14:paraId="187E3663" w14:textId="77777777" w:rsidR="00DC3EA5" w:rsidRDefault="00000000">
      <w:pPr>
        <w:pStyle w:val="a7"/>
        <w:ind w:left="0"/>
        <w:outlineLvl w:val="1"/>
        <w:rPr>
          <w:rFonts w:ascii="Times New Roman"/>
        </w:rPr>
      </w:pPr>
      <w:bookmarkStart w:id="203" w:name="_Toc9577"/>
      <w:bookmarkStart w:id="204" w:name="_Toc151477230"/>
      <w:r>
        <w:rPr>
          <w:rFonts w:ascii="Times New Roman"/>
        </w:rPr>
        <w:t>SF</w:t>
      </w:r>
      <w:r>
        <w:rPr>
          <w:rFonts w:ascii="Times New Roman"/>
          <w:vertAlign w:val="subscript"/>
        </w:rPr>
        <w:t>6</w:t>
      </w:r>
      <w:r>
        <w:rPr>
          <w:rFonts w:ascii="Times New Roman"/>
        </w:rPr>
        <w:t>气体含水量测量</w:t>
      </w:r>
      <w:bookmarkEnd w:id="203"/>
      <w:bookmarkEnd w:id="204"/>
    </w:p>
    <w:p w14:paraId="3CF9347B" w14:textId="77777777" w:rsidR="00DC3EA5" w:rsidRDefault="00000000">
      <w:pPr>
        <w:pStyle w:val="1f7"/>
        <w:ind w:firstLine="420"/>
        <w:rPr>
          <w:color w:val="000000"/>
          <w:szCs w:val="21"/>
        </w:rPr>
      </w:pPr>
      <w:r>
        <w:rPr>
          <w:color w:val="000000"/>
          <w:szCs w:val="21"/>
        </w:rPr>
        <w:t>SF</w:t>
      </w:r>
      <w:r>
        <w:rPr>
          <w:color w:val="000000"/>
          <w:szCs w:val="21"/>
          <w:vertAlign w:val="subscript"/>
        </w:rPr>
        <w:t>6</w:t>
      </w:r>
      <w:r>
        <w:rPr>
          <w:color w:val="000000"/>
          <w:szCs w:val="21"/>
        </w:rPr>
        <w:t>断路器内气体的含水量测量，应符合下列规定：</w:t>
      </w:r>
    </w:p>
    <w:p w14:paraId="3F5F1538" w14:textId="77777777" w:rsidR="00DC3EA5" w:rsidRDefault="00000000">
      <w:pPr>
        <w:numPr>
          <w:ilvl w:val="0"/>
          <w:numId w:val="79"/>
        </w:numPr>
        <w:rPr>
          <w:szCs w:val="22"/>
        </w:rPr>
      </w:pPr>
      <w:r>
        <w:rPr>
          <w:szCs w:val="22"/>
        </w:rPr>
        <w:t>应在充气后静置至少</w:t>
      </w:r>
      <w:r>
        <w:rPr>
          <w:szCs w:val="22"/>
        </w:rPr>
        <w:t>24 h</w:t>
      </w:r>
      <w:r>
        <w:rPr>
          <w:szCs w:val="22"/>
        </w:rPr>
        <w:t>再进行；</w:t>
      </w:r>
    </w:p>
    <w:p w14:paraId="3DBDEA93" w14:textId="77777777" w:rsidR="00DC3EA5" w:rsidRDefault="00000000">
      <w:pPr>
        <w:numPr>
          <w:ilvl w:val="0"/>
          <w:numId w:val="79"/>
        </w:numPr>
        <w:rPr>
          <w:szCs w:val="22"/>
        </w:rPr>
      </w:pPr>
      <w:r>
        <w:rPr>
          <w:szCs w:val="22"/>
        </w:rPr>
        <w:t>具体操作按</w:t>
      </w:r>
      <w:r>
        <w:rPr>
          <w:szCs w:val="22"/>
        </w:rPr>
        <w:t>GB</w:t>
      </w:r>
      <w:r>
        <w:rPr>
          <w:szCs w:val="21"/>
        </w:rPr>
        <w:t>/T</w:t>
      </w:r>
      <w:r>
        <w:rPr>
          <w:szCs w:val="22"/>
        </w:rPr>
        <w:t xml:space="preserve"> 7674</w:t>
      </w:r>
      <w:r>
        <w:rPr>
          <w:szCs w:val="22"/>
        </w:rPr>
        <w:t>和</w:t>
      </w:r>
      <w:r>
        <w:rPr>
          <w:szCs w:val="22"/>
        </w:rPr>
        <w:t>GB/T 8905</w:t>
      </w:r>
      <w:r>
        <w:rPr>
          <w:szCs w:val="22"/>
        </w:rPr>
        <w:t>的有关规定执行；</w:t>
      </w:r>
    </w:p>
    <w:p w14:paraId="39DCCC17" w14:textId="77777777" w:rsidR="00DC3EA5" w:rsidRDefault="00000000">
      <w:pPr>
        <w:numPr>
          <w:ilvl w:val="0"/>
          <w:numId w:val="79"/>
        </w:numPr>
        <w:rPr>
          <w:szCs w:val="22"/>
        </w:rPr>
      </w:pPr>
      <w:r>
        <w:rPr>
          <w:szCs w:val="22"/>
        </w:rPr>
        <w:t>测量结果应统一转化为</w:t>
      </w:r>
      <w:r>
        <w:rPr>
          <w:szCs w:val="22"/>
        </w:rPr>
        <w:t>20 ℃</w:t>
      </w:r>
      <w:r>
        <w:rPr>
          <w:szCs w:val="22"/>
        </w:rPr>
        <w:t>下的体积分数值；</w:t>
      </w:r>
    </w:p>
    <w:p w14:paraId="668E5B28" w14:textId="77777777" w:rsidR="00DC3EA5" w:rsidRDefault="00000000">
      <w:pPr>
        <w:numPr>
          <w:ilvl w:val="0"/>
          <w:numId w:val="79"/>
        </w:numPr>
        <w:rPr>
          <w:szCs w:val="22"/>
        </w:rPr>
      </w:pPr>
      <w:r>
        <w:rPr>
          <w:szCs w:val="22"/>
        </w:rPr>
        <w:t>与灭弧室相通的气室，应小于</w:t>
      </w:r>
      <w:r>
        <w:rPr>
          <w:szCs w:val="22"/>
        </w:rPr>
        <w:t>150 μL/L</w:t>
      </w:r>
      <w:r>
        <w:rPr>
          <w:szCs w:val="22"/>
        </w:rPr>
        <w:t>；</w:t>
      </w:r>
    </w:p>
    <w:p w14:paraId="7E4BEE56" w14:textId="77777777" w:rsidR="00DC3EA5" w:rsidRDefault="00000000">
      <w:pPr>
        <w:numPr>
          <w:ilvl w:val="0"/>
          <w:numId w:val="79"/>
        </w:numPr>
        <w:rPr>
          <w:szCs w:val="22"/>
        </w:rPr>
      </w:pPr>
      <w:r>
        <w:rPr>
          <w:szCs w:val="22"/>
        </w:rPr>
        <w:t>不与灭弧室相通的气室，应小于</w:t>
      </w:r>
      <w:r>
        <w:rPr>
          <w:szCs w:val="22"/>
        </w:rPr>
        <w:t>250 μL/L</w:t>
      </w:r>
      <w:r>
        <w:rPr>
          <w:szCs w:val="22"/>
        </w:rPr>
        <w:t>。</w:t>
      </w:r>
    </w:p>
    <w:p w14:paraId="42034D28" w14:textId="77777777" w:rsidR="00DC3EA5" w:rsidRDefault="00000000">
      <w:pPr>
        <w:pStyle w:val="a7"/>
        <w:ind w:left="0"/>
        <w:outlineLvl w:val="1"/>
        <w:rPr>
          <w:rFonts w:ascii="Times New Roman"/>
        </w:rPr>
      </w:pPr>
      <w:bookmarkStart w:id="205" w:name="_Toc21452"/>
      <w:bookmarkStart w:id="206" w:name="_Toc151477231"/>
      <w:r>
        <w:rPr>
          <w:rFonts w:ascii="Times New Roman"/>
        </w:rPr>
        <w:lastRenderedPageBreak/>
        <w:t>密封性试验</w:t>
      </w:r>
      <w:bookmarkEnd w:id="205"/>
      <w:bookmarkEnd w:id="206"/>
    </w:p>
    <w:p w14:paraId="13B3D160"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断路器的</w:t>
      </w:r>
      <w:r>
        <w:rPr>
          <w:rFonts w:ascii="Times New Roman"/>
        </w:rPr>
        <w:t>密封性试验，</w:t>
      </w:r>
      <w:r>
        <w:rPr>
          <w:rFonts w:ascii="Times New Roman"/>
          <w:color w:val="000000"/>
          <w:szCs w:val="21"/>
        </w:rPr>
        <w:t>应符合下列规定：</w:t>
      </w:r>
    </w:p>
    <w:p w14:paraId="7473FB2E" w14:textId="77777777" w:rsidR="00DC3EA5" w:rsidRDefault="00000000">
      <w:pPr>
        <w:numPr>
          <w:ilvl w:val="0"/>
          <w:numId w:val="80"/>
        </w:numPr>
        <w:rPr>
          <w:szCs w:val="22"/>
        </w:rPr>
      </w:pPr>
      <w:r>
        <w:rPr>
          <w:szCs w:val="22"/>
        </w:rPr>
        <w:t>在断路器充气</w:t>
      </w:r>
      <w:r>
        <w:rPr>
          <w:szCs w:val="22"/>
        </w:rPr>
        <w:t>24 h</w:t>
      </w:r>
      <w:r>
        <w:rPr>
          <w:szCs w:val="22"/>
        </w:rPr>
        <w:t>后且完成操动试验后进行；</w:t>
      </w:r>
    </w:p>
    <w:p w14:paraId="20781377" w14:textId="77777777" w:rsidR="00DC3EA5" w:rsidRDefault="00000000">
      <w:pPr>
        <w:numPr>
          <w:ilvl w:val="0"/>
          <w:numId w:val="80"/>
        </w:numPr>
        <w:rPr>
          <w:szCs w:val="22"/>
        </w:rPr>
      </w:pPr>
      <w:r>
        <w:rPr>
          <w:szCs w:val="22"/>
        </w:rPr>
        <w:t>具体操作按</w:t>
      </w:r>
      <w:r>
        <w:rPr>
          <w:szCs w:val="22"/>
        </w:rPr>
        <w:t>GB/T 11023</w:t>
      </w:r>
      <w:r>
        <w:rPr>
          <w:kern w:val="0"/>
          <w:szCs w:val="22"/>
        </w:rPr>
        <w:t>的有关规定</w:t>
      </w:r>
      <w:r>
        <w:rPr>
          <w:szCs w:val="22"/>
        </w:rPr>
        <w:t>执行；</w:t>
      </w:r>
    </w:p>
    <w:p w14:paraId="398F8A88" w14:textId="77777777" w:rsidR="00DC3EA5" w:rsidRDefault="00000000">
      <w:pPr>
        <w:numPr>
          <w:ilvl w:val="0"/>
          <w:numId w:val="80"/>
        </w:numPr>
        <w:rPr>
          <w:szCs w:val="22"/>
        </w:rPr>
      </w:pPr>
      <w:r>
        <w:rPr>
          <w:szCs w:val="22"/>
        </w:rPr>
        <w:t>检查气体压力，应符合产品技术要求；</w:t>
      </w:r>
    </w:p>
    <w:p w14:paraId="52C25620" w14:textId="77777777" w:rsidR="00DC3EA5" w:rsidRDefault="00000000">
      <w:pPr>
        <w:numPr>
          <w:ilvl w:val="0"/>
          <w:numId w:val="80"/>
        </w:numPr>
        <w:rPr>
          <w:szCs w:val="22"/>
        </w:rPr>
      </w:pPr>
      <w:r>
        <w:rPr>
          <w:szCs w:val="22"/>
        </w:rPr>
        <w:t>采用灵敏度不低于</w:t>
      </w:r>
      <w:r>
        <w:rPr>
          <w:szCs w:val="22"/>
        </w:rPr>
        <w:t>1×10</w:t>
      </w:r>
      <w:r>
        <w:rPr>
          <w:szCs w:val="22"/>
          <w:vertAlign w:val="superscript"/>
        </w:rPr>
        <w:t>-6</w:t>
      </w:r>
      <w:r>
        <w:rPr>
          <w:szCs w:val="22"/>
        </w:rPr>
        <w:t>（体积比）的检漏仪对密封部位、管道接头处等进行检测时，检漏仪不应报警；</w:t>
      </w:r>
    </w:p>
    <w:p w14:paraId="046EF7D9" w14:textId="77777777" w:rsidR="00DC3EA5" w:rsidRDefault="00000000">
      <w:pPr>
        <w:numPr>
          <w:ilvl w:val="0"/>
          <w:numId w:val="80"/>
        </w:numPr>
        <w:rPr>
          <w:szCs w:val="22"/>
        </w:rPr>
      </w:pPr>
      <w:r>
        <w:rPr>
          <w:szCs w:val="22"/>
        </w:rPr>
        <w:t>必要时可采用局部包扎法进行气体泄漏测量，以</w:t>
      </w:r>
      <w:r>
        <w:rPr>
          <w:szCs w:val="22"/>
        </w:rPr>
        <w:t>24 h</w:t>
      </w:r>
      <w:r>
        <w:rPr>
          <w:szCs w:val="22"/>
        </w:rPr>
        <w:t>的漏气量换算，年漏气率不大于</w:t>
      </w:r>
      <w:r>
        <w:rPr>
          <w:szCs w:val="22"/>
        </w:rPr>
        <w:t>0.5%</w:t>
      </w:r>
      <w:r>
        <w:rPr>
          <w:szCs w:val="22"/>
        </w:rPr>
        <w:t>。</w:t>
      </w:r>
    </w:p>
    <w:p w14:paraId="3026FABA" w14:textId="77777777" w:rsidR="00DC3EA5" w:rsidRDefault="00000000">
      <w:pPr>
        <w:pStyle w:val="a7"/>
        <w:ind w:left="0"/>
        <w:outlineLvl w:val="1"/>
        <w:rPr>
          <w:rFonts w:ascii="Times New Roman"/>
        </w:rPr>
      </w:pPr>
      <w:bookmarkStart w:id="207" w:name="_Toc151477232"/>
      <w:bookmarkStart w:id="208" w:name="_Toc15774"/>
      <w:r>
        <w:rPr>
          <w:rFonts w:ascii="Times New Roman"/>
        </w:rPr>
        <w:t>气体密度继电器等表计检查</w:t>
      </w:r>
      <w:bookmarkEnd w:id="207"/>
      <w:bookmarkEnd w:id="208"/>
    </w:p>
    <w:p w14:paraId="626D8291"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w:t>
      </w:r>
      <w:r>
        <w:rPr>
          <w:rFonts w:ascii="Times New Roman"/>
        </w:rPr>
        <w:t>气体密度继电器等表计的检查，</w:t>
      </w:r>
      <w:r>
        <w:rPr>
          <w:rFonts w:ascii="Times New Roman"/>
          <w:color w:val="000000"/>
          <w:szCs w:val="21"/>
        </w:rPr>
        <w:t>应符合下列规定：</w:t>
      </w:r>
    </w:p>
    <w:p w14:paraId="1E36DC14" w14:textId="77777777" w:rsidR="00DC3EA5" w:rsidRDefault="00000000">
      <w:pPr>
        <w:numPr>
          <w:ilvl w:val="0"/>
          <w:numId w:val="81"/>
        </w:numPr>
        <w:rPr>
          <w:szCs w:val="22"/>
        </w:rPr>
      </w:pPr>
      <w:r>
        <w:rPr>
          <w:szCs w:val="22"/>
        </w:rPr>
        <w:t>在充气过程中检查气体密度继电器、压力表及压力动作阀的动作值，应符合产品技术文件的规定；</w:t>
      </w:r>
    </w:p>
    <w:p w14:paraId="39A5B838" w14:textId="77777777" w:rsidR="00DC3EA5" w:rsidRDefault="00000000">
      <w:pPr>
        <w:numPr>
          <w:ilvl w:val="0"/>
          <w:numId w:val="81"/>
        </w:numPr>
        <w:rPr>
          <w:szCs w:val="22"/>
        </w:rPr>
      </w:pPr>
      <w:r>
        <w:rPr>
          <w:szCs w:val="22"/>
        </w:rPr>
        <w:t>对单独运到现场的表计，应进行针对性检查。</w:t>
      </w:r>
    </w:p>
    <w:p w14:paraId="259904BA" w14:textId="77777777" w:rsidR="00DC3EA5" w:rsidRDefault="00000000">
      <w:pPr>
        <w:pStyle w:val="a7"/>
        <w:ind w:left="0"/>
        <w:outlineLvl w:val="1"/>
        <w:rPr>
          <w:rFonts w:ascii="Times New Roman"/>
        </w:rPr>
      </w:pPr>
      <w:bookmarkStart w:id="209" w:name="_Toc151477233"/>
      <w:bookmarkStart w:id="210" w:name="_Toc13093"/>
      <w:r>
        <w:rPr>
          <w:rFonts w:ascii="Times New Roman"/>
        </w:rPr>
        <w:t>辅助回路及控制回路的绝缘电阻测量</w:t>
      </w:r>
      <w:bookmarkEnd w:id="209"/>
      <w:bookmarkEnd w:id="210"/>
    </w:p>
    <w:p w14:paraId="7A5718E0" w14:textId="77777777" w:rsidR="00DC3EA5" w:rsidRDefault="00000000">
      <w:pPr>
        <w:pStyle w:val="affffffff2"/>
        <w:tabs>
          <w:tab w:val="center" w:pos="4201"/>
          <w:tab w:val="right" w:leader="dot" w:pos="9298"/>
        </w:tabs>
        <w:ind w:left="420" w:firstLineChars="0" w:firstLine="0"/>
        <w:rPr>
          <w:rFonts w:ascii="Times New Roman"/>
          <w:color w:val="000000"/>
          <w:szCs w:val="21"/>
        </w:rPr>
      </w:pPr>
      <w:r>
        <w:rPr>
          <w:rFonts w:ascii="Times New Roman"/>
          <w:color w:val="000000"/>
          <w:szCs w:val="21"/>
        </w:rPr>
        <w:t>SF</w:t>
      </w:r>
      <w:r>
        <w:rPr>
          <w:rFonts w:ascii="Times New Roman"/>
          <w:color w:val="000000"/>
          <w:szCs w:val="21"/>
          <w:vertAlign w:val="subscript"/>
        </w:rPr>
        <w:t>6</w:t>
      </w:r>
      <w:r>
        <w:rPr>
          <w:rFonts w:ascii="Times New Roman"/>
          <w:color w:val="000000"/>
          <w:szCs w:val="21"/>
        </w:rPr>
        <w:t>断路器</w:t>
      </w:r>
      <w:r>
        <w:rPr>
          <w:rFonts w:ascii="Times New Roman"/>
        </w:rPr>
        <w:t>辅助回路和控制回路的绝缘电阻测量，</w:t>
      </w:r>
      <w:r>
        <w:rPr>
          <w:rFonts w:ascii="Times New Roman"/>
          <w:color w:val="000000"/>
          <w:szCs w:val="21"/>
        </w:rPr>
        <w:t>应符合下列规定：</w:t>
      </w:r>
    </w:p>
    <w:p w14:paraId="7A624A40" w14:textId="77777777" w:rsidR="00DC3EA5" w:rsidRDefault="00000000">
      <w:pPr>
        <w:numPr>
          <w:ilvl w:val="0"/>
          <w:numId w:val="82"/>
        </w:numPr>
        <w:rPr>
          <w:szCs w:val="22"/>
        </w:rPr>
      </w:pPr>
      <w:r>
        <w:rPr>
          <w:szCs w:val="22"/>
        </w:rPr>
        <w:t>应采用</w:t>
      </w:r>
      <w:r>
        <w:rPr>
          <w:szCs w:val="22"/>
        </w:rPr>
        <w:t>2500 V</w:t>
      </w:r>
      <w:r>
        <w:rPr>
          <w:szCs w:val="22"/>
        </w:rPr>
        <w:t>兆欧表，同时代替工频耐压试验；</w:t>
      </w:r>
    </w:p>
    <w:p w14:paraId="27C76346" w14:textId="77777777" w:rsidR="00DC3EA5" w:rsidRDefault="00000000">
      <w:pPr>
        <w:numPr>
          <w:ilvl w:val="0"/>
          <w:numId w:val="82"/>
        </w:numPr>
        <w:rPr>
          <w:color w:val="000000"/>
          <w:kern w:val="0"/>
          <w:szCs w:val="21"/>
        </w:rPr>
      </w:pPr>
      <w:r>
        <w:rPr>
          <w:szCs w:val="22"/>
        </w:rPr>
        <w:t>绝缘电阻不低于</w:t>
      </w:r>
      <w:r>
        <w:rPr>
          <w:szCs w:val="22"/>
        </w:rPr>
        <w:t>10 MΩ</w:t>
      </w:r>
      <w:r>
        <w:rPr>
          <w:szCs w:val="22"/>
        </w:rPr>
        <w:t>。</w:t>
      </w:r>
    </w:p>
    <w:p w14:paraId="27384F2B" w14:textId="77777777" w:rsidR="00DC3EA5" w:rsidRDefault="00000000">
      <w:pPr>
        <w:pStyle w:val="a7"/>
        <w:ind w:left="0"/>
        <w:outlineLvl w:val="1"/>
        <w:rPr>
          <w:rFonts w:ascii="Times New Roman"/>
        </w:rPr>
      </w:pPr>
      <w:bookmarkStart w:id="211" w:name="_Toc151477234"/>
      <w:bookmarkStart w:id="212" w:name="_Toc17355"/>
      <w:r>
        <w:rPr>
          <w:rFonts w:ascii="Times New Roman"/>
        </w:rPr>
        <w:t>套管式电流互感器的试验</w:t>
      </w:r>
      <w:bookmarkEnd w:id="211"/>
      <w:bookmarkEnd w:id="212"/>
    </w:p>
    <w:p w14:paraId="3641FD30" w14:textId="77777777" w:rsidR="00DC3EA5" w:rsidRDefault="00000000">
      <w:pPr>
        <w:pStyle w:val="21"/>
        <w:numPr>
          <w:ilvl w:val="1"/>
          <w:numId w:val="0"/>
        </w:numPr>
        <w:spacing w:afterLines="0" w:after="0"/>
        <w:ind w:firstLineChars="200" w:firstLine="420"/>
        <w:jc w:val="both"/>
        <w:outlineLvl w:val="9"/>
        <w:rPr>
          <w:rFonts w:ascii="Times New Roman" w:eastAsia="宋体"/>
          <w:color w:val="000000"/>
        </w:rPr>
      </w:pPr>
      <w:bookmarkStart w:id="213" w:name="_Toc24475"/>
      <w:r>
        <w:rPr>
          <w:rFonts w:ascii="Times New Roman" w:eastAsia="宋体"/>
          <w:color w:val="000000"/>
        </w:rPr>
        <w:t>SF</w:t>
      </w:r>
      <w:r>
        <w:rPr>
          <w:rFonts w:ascii="Times New Roman" w:eastAsia="宋体"/>
          <w:color w:val="000000"/>
          <w:vertAlign w:val="subscript"/>
        </w:rPr>
        <w:t>6</w:t>
      </w:r>
      <w:r>
        <w:rPr>
          <w:rFonts w:ascii="Times New Roman" w:eastAsia="宋体"/>
          <w:color w:val="000000"/>
        </w:rPr>
        <w:t>断路器套管式电流互感器的试验，按本文件第</w:t>
      </w:r>
      <w:r>
        <w:rPr>
          <w:rFonts w:ascii="Times New Roman" w:eastAsia="宋体"/>
          <w:color w:val="000000"/>
        </w:rPr>
        <w:t>8</w:t>
      </w:r>
      <w:r>
        <w:rPr>
          <w:rFonts w:ascii="Times New Roman" w:eastAsia="宋体"/>
          <w:color w:val="000000"/>
        </w:rPr>
        <w:t>章的有关规定执行。</w:t>
      </w:r>
      <w:bookmarkEnd w:id="213"/>
    </w:p>
    <w:p w14:paraId="1C9AE8BD" w14:textId="77777777" w:rsidR="00DC3EA5" w:rsidRDefault="00000000">
      <w:pPr>
        <w:pStyle w:val="a7"/>
        <w:ind w:left="0"/>
        <w:outlineLvl w:val="1"/>
        <w:rPr>
          <w:rFonts w:ascii="Times New Roman"/>
        </w:rPr>
      </w:pPr>
      <w:bookmarkStart w:id="214" w:name="_Toc32401"/>
      <w:r>
        <w:rPr>
          <w:rFonts w:ascii="Times New Roman"/>
          <w:color w:val="000000"/>
        </w:rPr>
        <w:t>预定极间不同期操作的交流断路器的</w:t>
      </w:r>
      <w:r>
        <w:rPr>
          <w:rFonts w:ascii="Times New Roman"/>
        </w:rPr>
        <w:t>选相开合试验</w:t>
      </w:r>
      <w:bookmarkEnd w:id="214"/>
    </w:p>
    <w:p w14:paraId="7DDF6D61" w14:textId="77777777" w:rsidR="00DC3EA5" w:rsidRDefault="00000000">
      <w:pPr>
        <w:pStyle w:val="affffffff2"/>
        <w:tabs>
          <w:tab w:val="center" w:pos="4201"/>
          <w:tab w:val="right" w:leader="dot" w:pos="9298"/>
        </w:tabs>
        <w:ind w:firstLine="420"/>
        <w:rPr>
          <w:rFonts w:ascii="Times New Roman"/>
        </w:rPr>
      </w:pPr>
      <w:r>
        <w:rPr>
          <w:rFonts w:ascii="Times New Roman"/>
          <w:color w:val="000000"/>
          <w:szCs w:val="21"/>
        </w:rPr>
        <w:t>具有预定极间不同期操作</w:t>
      </w:r>
      <w:r>
        <w:rPr>
          <w:rFonts w:ascii="Times New Roman"/>
          <w:color w:val="000000"/>
        </w:rPr>
        <w:t>的交流断路器的</w:t>
      </w:r>
      <w:r>
        <w:rPr>
          <w:rFonts w:ascii="Times New Roman"/>
        </w:rPr>
        <w:t>选相开合试验应符合下列规定：</w:t>
      </w:r>
    </w:p>
    <w:p w14:paraId="7F741074" w14:textId="77777777" w:rsidR="00DC3EA5" w:rsidRDefault="00000000">
      <w:pPr>
        <w:pStyle w:val="-8"/>
        <w:numPr>
          <w:ilvl w:val="1"/>
          <w:numId w:val="83"/>
        </w:numPr>
        <w:ind w:firstLineChars="0"/>
        <w:rPr>
          <w:rFonts w:ascii="Times New Roman" w:hAnsi="Times New Roman" w:cs="Times New Roman"/>
        </w:rPr>
      </w:pPr>
      <w:r>
        <w:rPr>
          <w:rFonts w:ascii="Times New Roman" w:hAnsi="Times New Roman" w:cs="Times New Roman"/>
        </w:rPr>
        <w:t>在主回路带电前</w:t>
      </w:r>
      <w:r>
        <w:rPr>
          <w:rFonts w:ascii="Times New Roman" w:hAnsi="Times New Roman" w:cs="Times New Roman" w:hint="eastAsia"/>
        </w:rPr>
        <w:t>应</w:t>
      </w:r>
      <w:r>
        <w:rPr>
          <w:rFonts w:ascii="Times New Roman" w:hAnsi="Times New Roman" w:cs="Times New Roman"/>
        </w:rPr>
        <w:t>进行空载的选相分、合闸操作试验，验证断路器预定的合闸和分闸目标点；</w:t>
      </w:r>
    </w:p>
    <w:p w14:paraId="22A839D6" w14:textId="77777777" w:rsidR="00DC3EA5" w:rsidRDefault="00000000">
      <w:pPr>
        <w:pStyle w:val="-8"/>
        <w:numPr>
          <w:ilvl w:val="1"/>
          <w:numId w:val="83"/>
        </w:numPr>
        <w:ind w:firstLineChars="0"/>
        <w:rPr>
          <w:rFonts w:ascii="Times New Roman" w:hAnsi="Times New Roman" w:cs="Times New Roman"/>
        </w:rPr>
      </w:pPr>
      <w:r>
        <w:rPr>
          <w:rFonts w:ascii="Times New Roman" w:hAnsi="Times New Roman" w:cs="Times New Roman"/>
        </w:rPr>
        <w:t>如果空载试验成功，应进行整个选相开合系统的带负荷试验，如果没有采用自适应控制，为了达到所需要的准确性，可以用试验结果对设置进行修改；</w:t>
      </w:r>
    </w:p>
    <w:p w14:paraId="2ABF9EC9" w14:textId="77777777" w:rsidR="00DC3EA5" w:rsidRDefault="00000000">
      <w:pPr>
        <w:pStyle w:val="-8"/>
        <w:numPr>
          <w:ilvl w:val="1"/>
          <w:numId w:val="83"/>
        </w:numPr>
        <w:ind w:firstLineChars="0"/>
        <w:rPr>
          <w:rFonts w:ascii="Times New Roman" w:hAnsi="Times New Roman" w:cs="Times New Roman"/>
        </w:rPr>
      </w:pPr>
      <w:r>
        <w:rPr>
          <w:rFonts w:ascii="Times New Roman" w:hAnsi="Times New Roman" w:cs="Times New Roman"/>
        </w:rPr>
        <w:t>断路器配专用选相控制器时，制造厂应给出可以验证所有功能的交接程序。</w:t>
      </w:r>
    </w:p>
    <w:p w14:paraId="143B48E8" w14:textId="77777777" w:rsidR="00DC3EA5" w:rsidRDefault="00000000">
      <w:pPr>
        <w:pStyle w:val="a6"/>
        <w:outlineLvl w:val="0"/>
        <w:rPr>
          <w:rFonts w:ascii="Times New Roman"/>
        </w:rPr>
      </w:pPr>
      <w:bookmarkStart w:id="215" w:name="_Toc151477235"/>
      <w:bookmarkStart w:id="216" w:name="_Toc30571"/>
      <w:r>
        <w:rPr>
          <w:rFonts w:ascii="Times New Roman"/>
        </w:rPr>
        <w:t>高压开关柜</w:t>
      </w:r>
      <w:bookmarkEnd w:id="215"/>
      <w:bookmarkEnd w:id="216"/>
    </w:p>
    <w:p w14:paraId="4168B57D" w14:textId="77777777" w:rsidR="00DC3EA5" w:rsidRDefault="00000000">
      <w:pPr>
        <w:pStyle w:val="a7"/>
        <w:ind w:left="0"/>
        <w:outlineLvl w:val="1"/>
        <w:rPr>
          <w:rFonts w:ascii="Times New Roman"/>
        </w:rPr>
      </w:pPr>
      <w:bookmarkStart w:id="217" w:name="_Toc151477236"/>
      <w:bookmarkStart w:id="218" w:name="_Toc17624"/>
      <w:r>
        <w:rPr>
          <w:rFonts w:ascii="Times New Roman"/>
        </w:rPr>
        <w:t>试验项目</w:t>
      </w:r>
      <w:bookmarkEnd w:id="217"/>
      <w:bookmarkEnd w:id="218"/>
    </w:p>
    <w:p w14:paraId="690741A4"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color w:val="000000"/>
          <w:szCs w:val="21"/>
        </w:rPr>
        <w:t>高压开关柜的试验项目，应包括下列内容：</w:t>
      </w:r>
    </w:p>
    <w:p w14:paraId="566E2A7C" w14:textId="77777777" w:rsidR="00DC3EA5" w:rsidRDefault="00000000">
      <w:pPr>
        <w:numPr>
          <w:ilvl w:val="0"/>
          <w:numId w:val="84"/>
        </w:numPr>
        <w:rPr>
          <w:szCs w:val="22"/>
        </w:rPr>
      </w:pPr>
      <w:r>
        <w:rPr>
          <w:szCs w:val="22"/>
        </w:rPr>
        <w:t>主回路电阻试验；</w:t>
      </w:r>
    </w:p>
    <w:p w14:paraId="5B60C531" w14:textId="77777777" w:rsidR="00DC3EA5" w:rsidRDefault="00000000">
      <w:pPr>
        <w:numPr>
          <w:ilvl w:val="0"/>
          <w:numId w:val="84"/>
        </w:numPr>
        <w:rPr>
          <w:szCs w:val="22"/>
        </w:rPr>
      </w:pPr>
      <w:r>
        <w:rPr>
          <w:szCs w:val="22"/>
        </w:rPr>
        <w:t>交流耐压试验；</w:t>
      </w:r>
    </w:p>
    <w:p w14:paraId="2A79C317" w14:textId="77777777" w:rsidR="00DC3EA5" w:rsidRDefault="00000000">
      <w:pPr>
        <w:numPr>
          <w:ilvl w:val="0"/>
          <w:numId w:val="84"/>
        </w:numPr>
        <w:rPr>
          <w:szCs w:val="22"/>
        </w:rPr>
      </w:pPr>
      <w:r>
        <w:rPr>
          <w:szCs w:val="22"/>
        </w:rPr>
        <w:t>操动机构试验；</w:t>
      </w:r>
    </w:p>
    <w:p w14:paraId="1C3E1E7A" w14:textId="77777777" w:rsidR="00DC3EA5" w:rsidRDefault="00000000">
      <w:pPr>
        <w:numPr>
          <w:ilvl w:val="0"/>
          <w:numId w:val="84"/>
        </w:numPr>
        <w:rPr>
          <w:szCs w:val="22"/>
        </w:rPr>
      </w:pPr>
      <w:r>
        <w:rPr>
          <w:szCs w:val="22"/>
        </w:rPr>
        <w:t>开关柜内各元件的试验；</w:t>
      </w:r>
    </w:p>
    <w:p w14:paraId="1623EEFC" w14:textId="77777777" w:rsidR="00DC3EA5" w:rsidRDefault="00000000">
      <w:pPr>
        <w:numPr>
          <w:ilvl w:val="0"/>
          <w:numId w:val="84"/>
        </w:numPr>
        <w:rPr>
          <w:szCs w:val="22"/>
        </w:rPr>
      </w:pPr>
      <w:r>
        <w:rPr>
          <w:szCs w:val="22"/>
        </w:rPr>
        <w:t>辅助回路和控制回路的绝缘电阻测量。</w:t>
      </w:r>
    </w:p>
    <w:p w14:paraId="7B940A04" w14:textId="77777777" w:rsidR="00DC3EA5" w:rsidRDefault="00000000">
      <w:pPr>
        <w:pStyle w:val="a7"/>
        <w:ind w:left="0"/>
        <w:outlineLvl w:val="1"/>
        <w:rPr>
          <w:rFonts w:ascii="Times New Roman"/>
        </w:rPr>
      </w:pPr>
      <w:bookmarkStart w:id="219" w:name="_Toc18705"/>
      <w:bookmarkStart w:id="220" w:name="_Toc151477237"/>
      <w:r>
        <w:rPr>
          <w:rFonts w:ascii="Times New Roman"/>
        </w:rPr>
        <w:t>主回路电阻试验</w:t>
      </w:r>
      <w:bookmarkEnd w:id="219"/>
      <w:bookmarkEnd w:id="220"/>
    </w:p>
    <w:p w14:paraId="79513ECD" w14:textId="77777777" w:rsidR="00DC3EA5" w:rsidRDefault="00000000">
      <w:pPr>
        <w:pStyle w:val="affffffff2"/>
        <w:tabs>
          <w:tab w:val="center" w:pos="4201"/>
          <w:tab w:val="right" w:leader="dot" w:pos="9298"/>
        </w:tabs>
        <w:ind w:firstLine="420"/>
        <w:rPr>
          <w:rFonts w:ascii="Times New Roman"/>
        </w:rPr>
      </w:pPr>
      <w:r>
        <w:rPr>
          <w:rFonts w:ascii="Times New Roman"/>
        </w:rPr>
        <w:t>高压开关柜的主回路电阻试验，应符合下列规定：</w:t>
      </w:r>
    </w:p>
    <w:p w14:paraId="3CE32859" w14:textId="77777777" w:rsidR="00DC3EA5" w:rsidRDefault="00000000">
      <w:pPr>
        <w:numPr>
          <w:ilvl w:val="0"/>
          <w:numId w:val="85"/>
        </w:numPr>
      </w:pPr>
      <w:r>
        <w:rPr>
          <w:szCs w:val="22"/>
        </w:rPr>
        <w:lastRenderedPageBreak/>
        <w:t>宜带母线开展主回路电阻测试；</w:t>
      </w:r>
    </w:p>
    <w:p w14:paraId="718FAB21" w14:textId="77777777" w:rsidR="00DC3EA5" w:rsidRDefault="00000000">
      <w:pPr>
        <w:numPr>
          <w:ilvl w:val="0"/>
          <w:numId w:val="85"/>
        </w:numPr>
        <w:rPr>
          <w:szCs w:val="22"/>
        </w:rPr>
      </w:pPr>
      <w:r>
        <w:rPr>
          <w:szCs w:val="22"/>
        </w:rPr>
        <w:t>结果符合产品技术文件的规定。</w:t>
      </w:r>
    </w:p>
    <w:p w14:paraId="2FA51829" w14:textId="77777777" w:rsidR="00DC3EA5" w:rsidRDefault="00000000">
      <w:pPr>
        <w:pStyle w:val="a7"/>
        <w:ind w:left="0"/>
        <w:outlineLvl w:val="1"/>
        <w:rPr>
          <w:rFonts w:ascii="Times New Roman"/>
        </w:rPr>
      </w:pPr>
      <w:bookmarkStart w:id="221" w:name="_Toc151477238"/>
      <w:bookmarkStart w:id="222" w:name="_Toc31125"/>
      <w:r>
        <w:rPr>
          <w:rFonts w:ascii="Times New Roman"/>
        </w:rPr>
        <w:t>交流耐压试验</w:t>
      </w:r>
      <w:bookmarkEnd w:id="221"/>
      <w:bookmarkEnd w:id="222"/>
    </w:p>
    <w:p w14:paraId="6B9CAA71" w14:textId="77777777" w:rsidR="00DC3EA5" w:rsidRDefault="00000000">
      <w:pPr>
        <w:pStyle w:val="affffffff2"/>
        <w:tabs>
          <w:tab w:val="center" w:pos="4201"/>
          <w:tab w:val="right" w:leader="dot" w:pos="9298"/>
        </w:tabs>
        <w:ind w:firstLine="420"/>
        <w:rPr>
          <w:rFonts w:ascii="Times New Roman"/>
        </w:rPr>
      </w:pPr>
      <w:r>
        <w:rPr>
          <w:rFonts w:ascii="Times New Roman"/>
        </w:rPr>
        <w:t>高压开关柜的交流耐压试验可按本文件</w:t>
      </w:r>
      <w:r>
        <w:rPr>
          <w:rFonts w:ascii="Times New Roman"/>
        </w:rPr>
        <w:t>9.4</w:t>
      </w:r>
      <w:r>
        <w:rPr>
          <w:rFonts w:ascii="Times New Roman"/>
        </w:rPr>
        <w:t>的规定执行，且应符合下列规定：</w:t>
      </w:r>
    </w:p>
    <w:p w14:paraId="7443B12D" w14:textId="77777777" w:rsidR="00DC3EA5" w:rsidRDefault="00000000">
      <w:pPr>
        <w:numPr>
          <w:ilvl w:val="0"/>
          <w:numId w:val="86"/>
        </w:numPr>
        <w:rPr>
          <w:szCs w:val="22"/>
        </w:rPr>
      </w:pPr>
      <w:r>
        <w:rPr>
          <w:szCs w:val="22"/>
        </w:rPr>
        <w:t>试验电压施加方式应包括：合闸时各相对地及相间，分闸时各断口间；</w:t>
      </w:r>
    </w:p>
    <w:p w14:paraId="63F0FC90" w14:textId="77777777" w:rsidR="00DC3EA5" w:rsidRDefault="00000000">
      <w:pPr>
        <w:numPr>
          <w:ilvl w:val="0"/>
          <w:numId w:val="86"/>
        </w:numPr>
        <w:rPr>
          <w:szCs w:val="22"/>
        </w:rPr>
      </w:pPr>
      <w:r>
        <w:rPr>
          <w:szCs w:val="22"/>
        </w:rPr>
        <w:t>相间、相对地及断口间的试验电压值相同；</w:t>
      </w:r>
    </w:p>
    <w:p w14:paraId="2F160BD6" w14:textId="77777777" w:rsidR="00DC3EA5" w:rsidRDefault="00000000">
      <w:pPr>
        <w:numPr>
          <w:ilvl w:val="0"/>
          <w:numId w:val="86"/>
        </w:numPr>
        <w:rPr>
          <w:szCs w:val="22"/>
        </w:rPr>
      </w:pPr>
      <w:r>
        <w:rPr>
          <w:szCs w:val="22"/>
        </w:rPr>
        <w:t>交流耐压试验过程中不应发生贯穿性放电。</w:t>
      </w:r>
    </w:p>
    <w:p w14:paraId="7BD0DD51" w14:textId="77777777" w:rsidR="00DC3EA5" w:rsidRDefault="00000000">
      <w:pPr>
        <w:pStyle w:val="a7"/>
        <w:ind w:left="0"/>
        <w:outlineLvl w:val="1"/>
        <w:rPr>
          <w:rFonts w:ascii="Times New Roman"/>
        </w:rPr>
      </w:pPr>
      <w:bookmarkStart w:id="223" w:name="_Toc151477239"/>
      <w:bookmarkStart w:id="224" w:name="_Toc26738"/>
      <w:r>
        <w:rPr>
          <w:rFonts w:ascii="Times New Roman"/>
        </w:rPr>
        <w:t>操动机构试验</w:t>
      </w:r>
      <w:bookmarkEnd w:id="223"/>
      <w:bookmarkEnd w:id="224"/>
    </w:p>
    <w:p w14:paraId="16C75EB2" w14:textId="77777777" w:rsidR="00DC3EA5" w:rsidRDefault="00000000">
      <w:pPr>
        <w:pStyle w:val="affffffff2"/>
        <w:tabs>
          <w:tab w:val="center" w:pos="4201"/>
          <w:tab w:val="right" w:leader="dot" w:pos="9298"/>
        </w:tabs>
        <w:ind w:firstLine="420"/>
        <w:rPr>
          <w:rFonts w:ascii="Times New Roman"/>
        </w:rPr>
      </w:pPr>
      <w:r>
        <w:rPr>
          <w:rFonts w:ascii="Times New Roman"/>
        </w:rPr>
        <w:t>高压开关柜操动机构的试验，按本文件</w:t>
      </w:r>
      <w:r>
        <w:rPr>
          <w:rFonts w:ascii="Times New Roman"/>
        </w:rPr>
        <w:t>9.7</w:t>
      </w:r>
      <w:r>
        <w:rPr>
          <w:rFonts w:ascii="Times New Roman"/>
        </w:rPr>
        <w:t>的规定执行。</w:t>
      </w:r>
    </w:p>
    <w:p w14:paraId="79888649" w14:textId="77777777" w:rsidR="00DC3EA5" w:rsidRDefault="00000000">
      <w:pPr>
        <w:pStyle w:val="a7"/>
        <w:ind w:left="0"/>
        <w:outlineLvl w:val="1"/>
        <w:rPr>
          <w:rFonts w:ascii="Times New Roman"/>
        </w:rPr>
      </w:pPr>
      <w:bookmarkStart w:id="225" w:name="_Toc13008"/>
      <w:bookmarkStart w:id="226" w:name="_Toc151477242"/>
      <w:r>
        <w:rPr>
          <w:rFonts w:ascii="Times New Roman"/>
        </w:rPr>
        <w:t>开关柜内各元件的试验</w:t>
      </w:r>
      <w:bookmarkEnd w:id="225"/>
      <w:bookmarkEnd w:id="226"/>
    </w:p>
    <w:p w14:paraId="0594A47F" w14:textId="77777777" w:rsidR="00DC3EA5" w:rsidRDefault="00000000">
      <w:pPr>
        <w:pStyle w:val="affffffff2"/>
        <w:tabs>
          <w:tab w:val="center" w:pos="4201"/>
          <w:tab w:val="right" w:leader="dot" w:pos="9298"/>
        </w:tabs>
        <w:ind w:firstLine="420"/>
        <w:rPr>
          <w:rFonts w:ascii="Times New Roman"/>
        </w:rPr>
      </w:pPr>
      <w:r>
        <w:rPr>
          <w:rFonts w:ascii="Times New Roman"/>
        </w:rPr>
        <w:t>高压开关柜中的互感器、避雷器等元件的试验，分别按本文件第</w:t>
      </w:r>
      <w:r>
        <w:rPr>
          <w:rFonts w:ascii="Times New Roman"/>
        </w:rPr>
        <w:t>7</w:t>
      </w:r>
      <w:r>
        <w:rPr>
          <w:rFonts w:ascii="Times New Roman"/>
        </w:rPr>
        <w:t>章、第</w:t>
      </w:r>
      <w:r>
        <w:rPr>
          <w:rFonts w:ascii="Times New Roman"/>
        </w:rPr>
        <w:t>14</w:t>
      </w:r>
      <w:r>
        <w:rPr>
          <w:rFonts w:ascii="Times New Roman"/>
        </w:rPr>
        <w:t>章及</w:t>
      </w:r>
      <w:r>
        <w:rPr>
          <w:rFonts w:ascii="Times New Roman"/>
        </w:rPr>
        <w:t>GB 50150—2016</w:t>
      </w:r>
      <w:r>
        <w:rPr>
          <w:rFonts w:ascii="Times New Roman"/>
        </w:rPr>
        <w:t>的有关规定执行。</w:t>
      </w:r>
    </w:p>
    <w:p w14:paraId="327746EC" w14:textId="77777777" w:rsidR="00DC3EA5" w:rsidRDefault="00000000">
      <w:pPr>
        <w:pStyle w:val="a7"/>
        <w:ind w:left="0"/>
        <w:outlineLvl w:val="1"/>
        <w:rPr>
          <w:rFonts w:ascii="Times New Roman"/>
        </w:rPr>
      </w:pPr>
      <w:bookmarkStart w:id="227" w:name="_Toc151477243"/>
      <w:bookmarkStart w:id="228" w:name="_Toc1601"/>
      <w:r>
        <w:rPr>
          <w:rFonts w:ascii="Times New Roman"/>
        </w:rPr>
        <w:t>辅助回路和控制回路的绝缘电阻测量</w:t>
      </w:r>
      <w:bookmarkEnd w:id="227"/>
      <w:bookmarkEnd w:id="228"/>
    </w:p>
    <w:p w14:paraId="24E89AB6" w14:textId="77777777" w:rsidR="00DC3EA5" w:rsidRDefault="00000000">
      <w:pPr>
        <w:pStyle w:val="affffffff2"/>
        <w:tabs>
          <w:tab w:val="center" w:pos="4201"/>
          <w:tab w:val="right" w:leader="dot" w:pos="9298"/>
        </w:tabs>
        <w:ind w:firstLine="420"/>
        <w:rPr>
          <w:rFonts w:ascii="Times New Roman"/>
        </w:rPr>
      </w:pPr>
      <w:r>
        <w:rPr>
          <w:rFonts w:ascii="Times New Roman"/>
          <w:szCs w:val="21"/>
        </w:rPr>
        <w:t>高压开关柜辅助回路和控制回路的绝缘电阻测量，应采用</w:t>
      </w:r>
      <w:r>
        <w:rPr>
          <w:rFonts w:ascii="Times New Roman"/>
          <w:szCs w:val="21"/>
        </w:rPr>
        <w:t>2500 V</w:t>
      </w:r>
      <w:r>
        <w:rPr>
          <w:rFonts w:ascii="Times New Roman"/>
          <w:szCs w:val="21"/>
        </w:rPr>
        <w:t>兆欧表，测量值不低于</w:t>
      </w:r>
      <w:r>
        <w:rPr>
          <w:rFonts w:ascii="Times New Roman"/>
          <w:szCs w:val="21"/>
        </w:rPr>
        <w:t>10 MΩ</w:t>
      </w:r>
      <w:r>
        <w:rPr>
          <w:rFonts w:ascii="Times New Roman"/>
          <w:szCs w:val="21"/>
        </w:rPr>
        <w:t>。</w:t>
      </w:r>
    </w:p>
    <w:p w14:paraId="0A83FCD4" w14:textId="77777777" w:rsidR="00DC3EA5" w:rsidRDefault="00000000">
      <w:pPr>
        <w:pStyle w:val="a6"/>
        <w:outlineLvl w:val="0"/>
        <w:rPr>
          <w:rFonts w:ascii="Times New Roman"/>
        </w:rPr>
      </w:pPr>
      <w:bookmarkStart w:id="229" w:name="_Toc151477244"/>
      <w:bookmarkStart w:id="230" w:name="_Toc19966"/>
      <w:r>
        <w:rPr>
          <w:rFonts w:ascii="Times New Roman"/>
        </w:rPr>
        <w:t>气体绝缘金属封闭开关设备</w:t>
      </w:r>
      <w:bookmarkEnd w:id="229"/>
      <w:bookmarkEnd w:id="230"/>
    </w:p>
    <w:p w14:paraId="04871A26" w14:textId="77777777" w:rsidR="00DC3EA5" w:rsidRDefault="00000000">
      <w:pPr>
        <w:pStyle w:val="a7"/>
        <w:ind w:left="0"/>
        <w:outlineLvl w:val="1"/>
        <w:rPr>
          <w:rFonts w:ascii="Times New Roman"/>
        </w:rPr>
      </w:pPr>
      <w:bookmarkStart w:id="231" w:name="_Toc25479"/>
      <w:bookmarkStart w:id="232" w:name="_Toc450"/>
      <w:bookmarkStart w:id="233" w:name="_Toc151477245"/>
      <w:r>
        <w:rPr>
          <w:rFonts w:ascii="Times New Roman"/>
        </w:rPr>
        <w:t>试验项目</w:t>
      </w:r>
      <w:bookmarkEnd w:id="231"/>
      <w:bookmarkEnd w:id="232"/>
      <w:bookmarkEnd w:id="233"/>
    </w:p>
    <w:p w14:paraId="4E02E212" w14:textId="77777777" w:rsidR="00DC3EA5" w:rsidRDefault="00000000">
      <w:pPr>
        <w:pStyle w:val="affffffff2"/>
        <w:tabs>
          <w:tab w:val="center" w:pos="4201"/>
          <w:tab w:val="right" w:leader="dot" w:pos="9298"/>
        </w:tabs>
        <w:ind w:firstLine="420"/>
        <w:rPr>
          <w:rFonts w:ascii="Times New Roman"/>
        </w:rPr>
      </w:pPr>
      <w:r>
        <w:rPr>
          <w:rFonts w:ascii="Times New Roman"/>
        </w:rPr>
        <w:t>气体绝缘金属封闭开关设备的试验项目，应包括下列内容：</w:t>
      </w:r>
    </w:p>
    <w:p w14:paraId="5FA7A434"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绝缘电阻测量；</w:t>
      </w:r>
    </w:p>
    <w:p w14:paraId="3D534CA9"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每相导电回路的电阻测量；</w:t>
      </w:r>
    </w:p>
    <w:p w14:paraId="3FB0CD35"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交流耐压试验；</w:t>
      </w:r>
    </w:p>
    <w:p w14:paraId="7CBD2D9C"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局部放电试验；</w:t>
      </w:r>
    </w:p>
    <w:p w14:paraId="008BC531"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操动试验；</w:t>
      </w:r>
    </w:p>
    <w:p w14:paraId="0D18A4AC"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SF</w:t>
      </w:r>
      <w:r>
        <w:rPr>
          <w:rFonts w:ascii="Times New Roman" w:hAnsi="Times New Roman" w:cs="Times New Roman"/>
          <w:vertAlign w:val="subscript"/>
        </w:rPr>
        <w:t>6</w:t>
      </w:r>
      <w:r>
        <w:rPr>
          <w:rFonts w:ascii="Times New Roman" w:hAnsi="Times New Roman" w:cs="Times New Roman"/>
        </w:rPr>
        <w:t>气体含水量测量；</w:t>
      </w:r>
    </w:p>
    <w:p w14:paraId="057212FC"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密封性试验；</w:t>
      </w:r>
    </w:p>
    <w:p w14:paraId="044F0AE1"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气体密度继电器等表计检查；</w:t>
      </w:r>
    </w:p>
    <w:p w14:paraId="676113D8" w14:textId="77777777" w:rsidR="00DC3EA5" w:rsidRDefault="00000000">
      <w:pPr>
        <w:pStyle w:val="-8"/>
        <w:numPr>
          <w:ilvl w:val="1"/>
          <w:numId w:val="87"/>
        </w:numPr>
        <w:ind w:leftChars="200" w:left="840" w:hangingChars="200" w:hanging="420"/>
        <w:rPr>
          <w:rFonts w:ascii="Times New Roman" w:hAnsi="Times New Roman" w:cs="Times New Roman"/>
        </w:rPr>
      </w:pPr>
      <w:r>
        <w:rPr>
          <w:rFonts w:ascii="Times New Roman" w:hAnsi="Times New Roman" w:cs="Times New Roman"/>
        </w:rPr>
        <w:t>组合电器内各元件的试验。</w:t>
      </w:r>
    </w:p>
    <w:p w14:paraId="12432D36" w14:textId="77777777" w:rsidR="00DC3EA5" w:rsidRDefault="00000000">
      <w:pPr>
        <w:pStyle w:val="a7"/>
        <w:ind w:left="0"/>
        <w:outlineLvl w:val="1"/>
        <w:rPr>
          <w:rFonts w:ascii="Times New Roman"/>
        </w:rPr>
      </w:pPr>
      <w:bookmarkStart w:id="234" w:name="_Toc151477246"/>
      <w:bookmarkStart w:id="235" w:name="_Toc7362"/>
      <w:bookmarkStart w:id="236" w:name="_Toc989"/>
      <w:r>
        <w:rPr>
          <w:rFonts w:ascii="Times New Roman"/>
        </w:rPr>
        <w:t>绝缘电阻测量</w:t>
      </w:r>
      <w:bookmarkEnd w:id="234"/>
      <w:bookmarkEnd w:id="235"/>
      <w:bookmarkEnd w:id="236"/>
    </w:p>
    <w:p w14:paraId="362A236B" w14:textId="77777777" w:rsidR="00DC3EA5" w:rsidRDefault="00000000">
      <w:pPr>
        <w:pStyle w:val="affffffff2"/>
        <w:tabs>
          <w:tab w:val="center" w:pos="4201"/>
          <w:tab w:val="right" w:leader="dot" w:pos="9298"/>
        </w:tabs>
        <w:ind w:firstLine="420"/>
        <w:rPr>
          <w:rFonts w:ascii="Times New Roman"/>
        </w:rPr>
      </w:pPr>
      <w:r>
        <w:rPr>
          <w:rFonts w:ascii="Times New Roman"/>
        </w:rPr>
        <w:t>气体绝缘金属封闭开关设备的绝缘电阻测量应在其交流耐压试验前、后分别进行，测量值应符合制造厂规定且无明显降低。</w:t>
      </w:r>
    </w:p>
    <w:p w14:paraId="099D9F8F" w14:textId="77777777" w:rsidR="00DC3EA5" w:rsidRDefault="00000000">
      <w:pPr>
        <w:pStyle w:val="a7"/>
        <w:ind w:left="0"/>
        <w:outlineLvl w:val="1"/>
        <w:rPr>
          <w:rFonts w:ascii="Times New Roman"/>
        </w:rPr>
      </w:pPr>
      <w:bookmarkStart w:id="237" w:name="_Toc151477247"/>
      <w:bookmarkStart w:id="238" w:name="_Toc17278"/>
      <w:bookmarkStart w:id="239" w:name="_Toc19066"/>
      <w:r>
        <w:rPr>
          <w:rFonts w:ascii="Times New Roman"/>
        </w:rPr>
        <w:t>每相导电回路的电阻测量</w:t>
      </w:r>
      <w:bookmarkEnd w:id="237"/>
      <w:bookmarkEnd w:id="238"/>
      <w:bookmarkEnd w:id="239"/>
    </w:p>
    <w:p w14:paraId="7EFEE2B3" w14:textId="77777777" w:rsidR="00DC3EA5" w:rsidRDefault="00000000">
      <w:pPr>
        <w:pStyle w:val="affffffff2"/>
        <w:tabs>
          <w:tab w:val="center" w:pos="4201"/>
          <w:tab w:val="right" w:leader="dot" w:pos="9298"/>
        </w:tabs>
        <w:ind w:firstLine="420"/>
        <w:rPr>
          <w:rFonts w:ascii="Times New Roman"/>
        </w:rPr>
      </w:pPr>
      <w:r>
        <w:rPr>
          <w:rFonts w:ascii="Times New Roman"/>
        </w:rPr>
        <w:t>气体绝缘金属封闭开关设备的每相导电回路的电阻测量，应符合下列规定：</w:t>
      </w:r>
    </w:p>
    <w:p w14:paraId="134BDE3F" w14:textId="77777777" w:rsidR="00DC3EA5" w:rsidRDefault="00000000">
      <w:pPr>
        <w:pStyle w:val="-8"/>
        <w:numPr>
          <w:ilvl w:val="1"/>
          <w:numId w:val="88"/>
        </w:numPr>
        <w:ind w:leftChars="200" w:left="840" w:hangingChars="200" w:hanging="420"/>
        <w:rPr>
          <w:rFonts w:ascii="Times New Roman" w:hAnsi="Times New Roman" w:cs="Times New Roman"/>
        </w:rPr>
      </w:pPr>
      <w:r>
        <w:rPr>
          <w:rFonts w:ascii="Times New Roman" w:hAnsi="Times New Roman" w:cs="Times New Roman"/>
        </w:rPr>
        <w:t>宜采用直流压降法进行，电流不小于</w:t>
      </w:r>
      <w:r>
        <w:rPr>
          <w:rFonts w:ascii="Times New Roman" w:hAnsi="Times New Roman" w:cs="Times New Roman"/>
        </w:rPr>
        <w:t>100 A</w:t>
      </w:r>
      <w:r>
        <w:rPr>
          <w:rFonts w:ascii="Times New Roman" w:hAnsi="Times New Roman" w:cs="Times New Roman"/>
        </w:rPr>
        <w:t>；</w:t>
      </w:r>
    </w:p>
    <w:p w14:paraId="6099DC0B" w14:textId="77777777" w:rsidR="00DC3EA5" w:rsidRDefault="00000000">
      <w:pPr>
        <w:pStyle w:val="-8"/>
        <w:numPr>
          <w:ilvl w:val="1"/>
          <w:numId w:val="88"/>
        </w:numPr>
        <w:ind w:leftChars="200" w:left="840" w:hangingChars="200" w:hanging="420"/>
        <w:rPr>
          <w:rFonts w:ascii="Times New Roman" w:hAnsi="Times New Roman" w:cs="Times New Roman"/>
        </w:rPr>
      </w:pPr>
      <w:r>
        <w:rPr>
          <w:rFonts w:ascii="Times New Roman" w:hAnsi="Times New Roman" w:cs="Times New Roman"/>
        </w:rPr>
        <w:t>测量结果应不超过出厂值的</w:t>
      </w:r>
      <w:r>
        <w:rPr>
          <w:rFonts w:ascii="Times New Roman" w:hAnsi="Times New Roman" w:cs="Times New Roman"/>
        </w:rPr>
        <w:t>120%</w:t>
      </w:r>
      <w:r>
        <w:rPr>
          <w:rFonts w:ascii="Times New Roman" w:hAnsi="Times New Roman" w:cs="Times New Roman"/>
        </w:rPr>
        <w:t>。</w:t>
      </w:r>
    </w:p>
    <w:p w14:paraId="099B84F1" w14:textId="77777777" w:rsidR="00DC3EA5" w:rsidRDefault="00000000">
      <w:pPr>
        <w:pStyle w:val="a7"/>
        <w:ind w:left="0"/>
        <w:outlineLvl w:val="1"/>
        <w:rPr>
          <w:rFonts w:ascii="Times New Roman"/>
        </w:rPr>
      </w:pPr>
      <w:bookmarkStart w:id="240" w:name="_Toc151477248"/>
      <w:bookmarkStart w:id="241" w:name="_Toc24692"/>
      <w:bookmarkStart w:id="242" w:name="_Toc3844"/>
      <w:r>
        <w:rPr>
          <w:rFonts w:ascii="Times New Roman"/>
        </w:rPr>
        <w:t>交流耐压试验</w:t>
      </w:r>
      <w:bookmarkEnd w:id="240"/>
      <w:bookmarkEnd w:id="241"/>
      <w:bookmarkEnd w:id="242"/>
    </w:p>
    <w:p w14:paraId="2E47B717" w14:textId="77777777" w:rsidR="00DC3EA5" w:rsidRDefault="00000000">
      <w:pPr>
        <w:pStyle w:val="af5"/>
        <w:numPr>
          <w:ilvl w:val="0"/>
          <w:numId w:val="0"/>
        </w:numPr>
        <w:autoSpaceDE w:val="0"/>
        <w:autoSpaceDN w:val="0"/>
        <w:ind w:firstLineChars="200" w:firstLine="420"/>
        <w:rPr>
          <w:rFonts w:ascii="Times New Roman"/>
          <w:szCs w:val="22"/>
        </w:rPr>
      </w:pPr>
      <w:r>
        <w:rPr>
          <w:rFonts w:ascii="Times New Roman"/>
        </w:rPr>
        <w:lastRenderedPageBreak/>
        <w:t>气体绝缘金属封闭开关设备</w:t>
      </w:r>
      <w:r>
        <w:rPr>
          <w:rFonts w:ascii="Times New Roman"/>
          <w:color w:val="000000"/>
          <w:szCs w:val="21"/>
        </w:rPr>
        <w:t>的主回路交流耐压试验，</w:t>
      </w:r>
      <w:r>
        <w:rPr>
          <w:rFonts w:ascii="Times New Roman"/>
          <w:szCs w:val="22"/>
        </w:rPr>
        <w:t>应按</w:t>
      </w:r>
      <w:r>
        <w:rPr>
          <w:rFonts w:ascii="Times New Roman"/>
          <w:szCs w:val="22"/>
        </w:rPr>
        <w:t>DL/T 555</w:t>
      </w:r>
      <w:r>
        <w:rPr>
          <w:rFonts w:ascii="Times New Roman"/>
          <w:szCs w:val="22"/>
        </w:rPr>
        <w:t>的有关规定执行，试验电压值应为出厂试验电压的</w:t>
      </w:r>
      <w:r>
        <w:rPr>
          <w:rFonts w:ascii="Times New Roman"/>
          <w:szCs w:val="22"/>
        </w:rPr>
        <w:t>80%</w:t>
      </w:r>
      <w:r>
        <w:rPr>
          <w:rFonts w:ascii="Times New Roman"/>
          <w:szCs w:val="22"/>
        </w:rPr>
        <w:t>。</w:t>
      </w:r>
    </w:p>
    <w:p w14:paraId="1047C746" w14:textId="77777777" w:rsidR="00DC3EA5" w:rsidRDefault="00000000">
      <w:pPr>
        <w:pStyle w:val="a7"/>
        <w:ind w:left="0"/>
        <w:outlineLvl w:val="1"/>
        <w:rPr>
          <w:rFonts w:ascii="Times New Roman"/>
        </w:rPr>
      </w:pPr>
      <w:bookmarkStart w:id="243" w:name="_Toc151477249"/>
      <w:bookmarkStart w:id="244" w:name="_Toc14454"/>
      <w:bookmarkStart w:id="245" w:name="_Toc32522"/>
      <w:r>
        <w:rPr>
          <w:rFonts w:ascii="Times New Roman"/>
        </w:rPr>
        <w:t>局部放电试验</w:t>
      </w:r>
      <w:bookmarkEnd w:id="243"/>
      <w:bookmarkEnd w:id="244"/>
      <w:bookmarkEnd w:id="245"/>
    </w:p>
    <w:p w14:paraId="2CB47AB5" w14:textId="77777777" w:rsidR="00DC3EA5" w:rsidRDefault="00000000">
      <w:pPr>
        <w:pStyle w:val="affffffff2"/>
        <w:tabs>
          <w:tab w:val="center" w:pos="4201"/>
          <w:tab w:val="right" w:leader="dot" w:pos="9298"/>
        </w:tabs>
        <w:ind w:firstLine="420"/>
        <w:rPr>
          <w:rFonts w:ascii="Times New Roman"/>
        </w:rPr>
      </w:pPr>
      <w:r>
        <w:rPr>
          <w:rFonts w:ascii="Times New Roman"/>
        </w:rPr>
        <w:t>气体绝缘金属封闭开关设备的局部放电试验，应符合下列规定：</w:t>
      </w:r>
    </w:p>
    <w:p w14:paraId="22D44706" w14:textId="77777777" w:rsidR="00DC3EA5" w:rsidRDefault="00000000">
      <w:pPr>
        <w:pStyle w:val="-8"/>
        <w:numPr>
          <w:ilvl w:val="1"/>
          <w:numId w:val="89"/>
        </w:numPr>
        <w:ind w:leftChars="200" w:left="840" w:hangingChars="200" w:hanging="420"/>
        <w:rPr>
          <w:rFonts w:ascii="Times New Roman" w:hAnsi="Times New Roman" w:cs="Times New Roman"/>
        </w:rPr>
      </w:pPr>
      <w:r>
        <w:rPr>
          <w:rFonts w:ascii="Times New Roman" w:hAnsi="Times New Roman" w:cs="Times New Roman"/>
        </w:rPr>
        <w:t>可与交流耐压试验的同时进行，在</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QUOTE </w:instrText>
      </w:r>
      <w:r>
        <w:rPr>
          <w:position w:val="-6"/>
        </w:rPr>
        <w:pict w14:anchorId="3939D408">
          <v:shape id="_x0000_i1035" type="#_x0000_t75" style="width:48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zlkNmI5YmIzMWNhODI5MjY2NDZiZmMxZTgyZTc5YjkifQ==&quot;/&gt;&lt;/w:docVars&gt;&lt;wsp:rsids&gt;&lt;wsp:rsidRoot wsp:val=&quot;00172A27&quot;/&gt;&lt;wsp:rsid wsp:val=&quot;00002963&quot;/&gt;&lt;wsp:rsid wsp:val=&quot;00004942&quot;/&gt;&lt;wsp:rsid wsp:val=&quot;00004AC4&quot;/&gt;&lt;wsp:rsid wsp:val=&quot;00004CDC&quot;/&gt;&lt;wsp:rsid wsp:val=&quot;000070E8&quot;/&gt;&lt;wsp:rsid wsp:val=&quot;000233A3&quot;/&gt;&lt;wsp:rsid wsp:val=&quot;00023C6F&quot;/&gt;&lt;wsp:rsid wsp:val=&quot;000263E3&quot;/&gt;&lt;wsp:rsid wsp:val=&quot;00030CDA&quot;/&gt;&lt;wsp:rsid wsp:val=&quot;00035B5C&quot;/&gt;&lt;wsp:rsid wsp:val=&quot;00045344&quot;/&gt;&lt;wsp:rsid wsp:val=&quot;0005478E&quot;/&gt;&lt;wsp:rsid wsp:val=&quot;00060F1F&quot;/&gt;&lt;wsp:rsid wsp:val=&quot;000621EF&quot;/&gt;&lt;wsp:rsid wsp:val=&quot;00064AC2&quot;/&gt;&lt;wsp:rsid wsp:val=&quot;00066C00&quot;/&gt;&lt;wsp:rsid wsp:val=&quot;0007115B&quot;/&gt;&lt;wsp:rsid wsp:val=&quot;00075818&quot;/&gt;&lt;wsp:rsid wsp:val=&quot;00076A62&quot;/&gt;&lt;wsp:rsid wsp:val=&quot;00085A75&quot;/&gt;&lt;wsp:rsid wsp:val=&quot;00092683&quot;/&gt;&lt;wsp:rsid wsp:val=&quot;0009690F&quot;/&gt;&lt;wsp:rsid wsp:val=&quot;000A202A&quot;/&gt;&lt;wsp:rsid wsp:val=&quot;000A2494&quot;/&gt;&lt;wsp:rsid wsp:val=&quot;000A4D75&quot;/&gt;&lt;wsp:rsid wsp:val=&quot;000A5BB4&quot;/&gt;&lt;wsp:rsid wsp:val=&quot;000A7FDB&quot;/&gt;&lt;wsp:rsid wsp:val=&quot;000B3216&quot;/&gt;&lt;wsp:rsid wsp:val=&quot;000D2760&quot;/&gt;&lt;wsp:rsid wsp:val=&quot;000D62F2&quot;/&gt;&lt;wsp:rsid wsp:val=&quot;000F181C&quot;/&gt;&lt;wsp:rsid wsp:val=&quot;0010028A&quot;/&gt;&lt;wsp:rsid wsp:val=&quot;00117F39&quot;/&gt;&lt;wsp:rsid wsp:val=&quot;001230FF&quot;/&gt;&lt;wsp:rsid wsp:val=&quot;001328C9&quot;/&gt;&lt;wsp:rsid wsp:val=&quot;00150DB9&quot;/&gt;&lt;wsp:rsid wsp:val=&quot;0015305A&quot;/&gt;&lt;wsp:rsid wsp:val=&quot;00154C7F&quot;/&gt;&lt;wsp:rsid wsp:val=&quot;00161ABB&quot;/&gt;&lt;wsp:rsid wsp:val=&quot;0016223A&quot;/&gt;&lt;wsp:rsid wsp:val=&quot;00166137&quot;/&gt;&lt;wsp:rsid wsp:val=&quot;00170352&quot;/&gt;&lt;wsp:rsid wsp:val=&quot;00176ABB&quot;/&gt;&lt;wsp:rsid wsp:val=&quot;00196E61&quot;/&gt;&lt;wsp:rsid wsp:val=&quot;001C177B&quot;/&gt;&lt;wsp:rsid wsp:val=&quot;001C2B8B&quot;/&gt;&lt;wsp:rsid wsp:val=&quot;001C45B8&quot;/&gt;&lt;wsp:rsid wsp:val=&quot;001E6756&quot;/&gt;&lt;wsp:rsid wsp:val=&quot;001E73B2&quot;/&gt;&lt;wsp:rsid wsp:val=&quot;001F6B0B&quot;/&gt;&lt;wsp:rsid wsp:val=&quot;002034D0&quot;/&gt;&lt;wsp:rsid wsp:val=&quot;00213EA5&quot;/&gt;&lt;wsp:rsid wsp:val=&quot;00227C83&quot;/&gt;&lt;wsp:rsid wsp:val=&quot;00233FD9&quot;/&gt;&lt;wsp:rsid wsp:val=&quot;00245E87&quot;/&gt;&lt;wsp:rsid wsp:val=&quot;00254AC9&quot;/&gt;&lt;wsp:rsid wsp:val=&quot;00261062&quot;/&gt;&lt;wsp:rsid wsp:val=&quot;00275B10&quot;/&gt;&lt;wsp:rsid wsp:val=&quot;00282674&quot;/&gt;&lt;wsp:rsid wsp:val=&quot;0028608B&quot;/&gt;&lt;wsp:rsid wsp:val=&quot;002A2EA3&quot;/&gt;&lt;wsp:rsid wsp:val=&quot;002C2516&quot;/&gt;&lt;wsp:rsid wsp:val=&quot;002C4400&quot;/&gt;&lt;wsp:rsid wsp:val=&quot;002C4BFE&quot;/&gt;&lt;wsp:rsid wsp:val=&quot;002D2DD2&quot;/&gt;&lt;wsp:rsid wsp:val=&quot;002E0899&quot;/&gt;&lt;wsp:rsid wsp:val=&quot;002E106E&quot;/&gt;&lt;wsp:rsid wsp:val=&quot;002E3E94&quot;/&gt;&lt;wsp:rsid wsp:val=&quot;002E608A&quot;/&gt;&lt;wsp:rsid wsp:val=&quot;002F52C7&quot;/&gt;&lt;wsp:rsid wsp:val=&quot;003021C1&quot;/&gt;&lt;wsp:rsid wsp:val=&quot;00302A66&quot;/&gt;&lt;wsp:rsid wsp:val=&quot;00320941&quot;/&gt;&lt;wsp:rsid wsp:val=&quot;00326ED3&quot;/&gt;&lt;wsp:rsid wsp:val=&quot;00333F5E&quot;/&gt;&lt;wsp:rsid wsp:val=&quot;00334809&quot;/&gt;&lt;wsp:rsid wsp:val=&quot;00341480&quot;/&gt;&lt;wsp:rsid wsp:val=&quot;00347493&quot;/&gt;&lt;wsp:rsid wsp:val=&quot;0035009A&quot;/&gt;&lt;wsp:rsid wsp:val=&quot;00380183&quot;/&gt;&lt;wsp:rsid wsp:val=&quot;003A276C&quot;/&gt;&lt;wsp:rsid wsp:val=&quot;003A57BD&quot;/&gt;&lt;wsp:rsid wsp:val=&quot;003B0214&quot;/&gt;&lt;wsp:rsid wsp:val=&quot;003B3EFA&quot;/&gt;&lt;wsp:rsid wsp:val=&quot;003B476D&quot;/&gt;&lt;wsp:rsid wsp:val=&quot;003C14FC&quot;/&gt;&lt;wsp:rsid wsp:val=&quot;003C58BF&quot;/&gt;&lt;wsp:rsid wsp:val=&quot;003C6040&quot;/&gt;&lt;wsp:rsid wsp:val=&quot;003C6EFB&quot;/&gt;&lt;wsp:rsid wsp:val=&quot;003D6412&quot;/&gt;&lt;wsp:rsid wsp:val=&quot;003E39FE&quot;/&gt;&lt;wsp:rsid wsp:val=&quot;003E57A7&quot;/&gt;&lt;wsp:rsid wsp:val=&quot;003F2CE9&quot;/&gt;&lt;wsp:rsid wsp:val=&quot;003F66F9&quot;/&gt;&lt;wsp:rsid wsp:val=&quot;004148F7&quot;/&gt;&lt;wsp:rsid wsp:val=&quot;004222FC&quot;/&gt;&lt;wsp:rsid wsp:val=&quot;00426262&quot;/&gt;&lt;wsp:rsid wsp:val=&quot;00426B97&quot;/&gt;&lt;wsp:rsid wsp:val=&quot;00444628&quot;/&gt;&lt;wsp:rsid wsp:val=&quot;00463E23&quot;/&gt;&lt;wsp:rsid wsp:val=&quot;00471729&quot;/&gt;&lt;wsp:rsid wsp:val=&quot;004909B9&quot;/&gt;&lt;wsp:rsid wsp:val=&quot;0049233D&quot;/&gt;&lt;wsp:rsid wsp:val=&quot;004A379D&quot;/&gt;&lt;wsp:rsid wsp:val=&quot;004B00E0&quot;/&gt;&lt;wsp:rsid wsp:val=&quot;004B4C02&quot;/&gt;&lt;wsp:rsid wsp:val=&quot;004B6F90&quot;/&gt;&lt;wsp:rsid wsp:val=&quot;004B76C6&quot;/&gt;&lt;wsp:rsid wsp:val=&quot;004C6944&quot;/&gt;&lt;wsp:rsid wsp:val=&quot;004D430A&quot;/&gt;&lt;wsp:rsid wsp:val=&quot;004D7E8C&quot;/&gt;&lt;wsp:rsid wsp:val=&quot;004F27A8&quot;/&gt;&lt;wsp:rsid wsp:val=&quot;004F61B8&quot;/&gt;&lt;wsp:rsid wsp:val=&quot;005239E4&quot;/&gt;&lt;wsp:rsid wsp:val=&quot;005309E2&quot;/&gt;&lt;wsp:rsid wsp:val=&quot;00532CF3&quot;/&gt;&lt;wsp:rsid wsp:val=&quot;0053533C&quot;/&gt;&lt;wsp:rsid wsp:val=&quot;00540E4A&quot;/&gt;&lt;wsp:rsid wsp:val=&quot;00563E68&quot;/&gt;&lt;wsp:rsid wsp:val=&quot;0056764A&quot;/&gt;&lt;wsp:rsid wsp:val=&quot;00570D82&quot;/&gt;&lt;wsp:rsid wsp:val=&quot;00571362&quot;/&gt;&lt;wsp:rsid wsp:val=&quot;00571CAD&quot;/&gt;&lt;wsp:rsid wsp:val=&quot;00594AA2&quot;/&gt;&lt;wsp:rsid wsp:val=&quot;005C31F1&quot;/&gt;&lt;wsp:rsid wsp:val=&quot;005C38EA&quot;/&gt;&lt;wsp:rsid wsp:val=&quot;005C5F24&quot;/&gt;&lt;wsp:rsid wsp:val=&quot;005E17C3&quot;/&gt;&lt;wsp:rsid wsp:val=&quot;005E2283&quot;/&gt;&lt;wsp:rsid wsp:val=&quot;005E2D1E&quot;/&gt;&lt;wsp:rsid wsp:val=&quot;005E2F69&quot;/&gt;&lt;wsp:rsid wsp:val=&quot;005E3FCE&quot;/&gt;&lt;wsp:rsid wsp:val=&quot;005E7D8F&quot;/&gt;&lt;wsp:rsid wsp:val=&quot;005F0219&quot;/&gt;&lt;wsp:rsid wsp:val=&quot;005F6468&quot;/&gt;&lt;wsp:rsid wsp:val=&quot;0061062D&quot;/&gt;&lt;wsp:rsid wsp:val=&quot;0061112A&quot;/&gt;&lt;wsp:rsid wsp:val=&quot;0061683A&quot;/&gt;&lt;wsp:rsid wsp:val=&quot;00632454&quot;/&gt;&lt;wsp:rsid wsp:val=&quot;0063720A&quot;/&gt;&lt;wsp:rsid wsp:val=&quot;00637B0A&quot;/&gt;&lt;wsp:rsid wsp:val=&quot;006471D1&quot;/&gt;&lt;wsp:rsid wsp:val=&quot;00656260&quot;/&gt;&lt;wsp:rsid wsp:val=&quot;006612E7&quot;/&gt;&lt;wsp:rsid wsp:val=&quot;00665A70&quot;/&gt;&lt;wsp:rsid wsp:val=&quot;00671FB0&quot;/&gt;&lt;wsp:rsid wsp:val=&quot;00672D5A&quot;/&gt;&lt;wsp:rsid wsp:val=&quot;00675B3F&quot;/&gt;&lt;wsp:rsid wsp:val=&quot;00677A2C&quot;/&gt;&lt;wsp:rsid wsp:val=&quot;00691DB6&quot;/&gt;&lt;wsp:rsid wsp:val=&quot;00697DE1&quot;/&gt;&lt;wsp:rsid wsp:val=&quot;006D2708&quot;/&gt;&lt;wsp:rsid wsp:val=&quot;006D356D&quot;/&gt;&lt;wsp:rsid wsp:val=&quot;006D7284&quot;/&gt;&lt;wsp:rsid wsp:val=&quot;006E01DA&quot;/&gt;&lt;wsp:rsid wsp:val=&quot;006F3B44&quot;/&gt;&lt;wsp:rsid wsp:val=&quot;00703FDA&quot;/&gt;&lt;wsp:rsid wsp:val=&quot;0071447B&quot;/&gt;&lt;wsp:rsid wsp:val=&quot;007169D4&quot;/&gt;&lt;wsp:rsid wsp:val=&quot;00726296&quot;/&gt;&lt;wsp:rsid wsp:val=&quot;00726F02&quot;/&gt;&lt;wsp:rsid wsp:val=&quot;00731D62&quot;/&gt;&lt;wsp:rsid wsp:val=&quot;00737B59&quot;/&gt;&lt;wsp:rsid wsp:val=&quot;00746238&quot;/&gt;&lt;wsp:rsid wsp:val=&quot;00763DBE&quot;/&gt;&lt;wsp:rsid wsp:val=&quot;0077151D&quot;/&gt;&lt;wsp:rsid wsp:val=&quot;00774AAD&quot;/&gt;&lt;wsp:rsid wsp:val=&quot;0078275B&quot;/&gt;&lt;wsp:rsid wsp:val=&quot;00783C2B&quot;/&gt;&lt;wsp:rsid wsp:val=&quot;00793D7D&quot;/&gt;&lt;wsp:rsid wsp:val=&quot;007969DD&quot;/&gt;&lt;wsp:rsid wsp:val=&quot;007E4019&quot;/&gt;&lt;wsp:rsid wsp:val=&quot;007E7490&quot;/&gt;&lt;wsp:rsid wsp:val=&quot;007F0EE0&quot;/&gt;&lt;wsp:rsid wsp:val=&quot;007F26CB&quot;/&gt;&lt;wsp:rsid wsp:val=&quot;007F3B70&quot;/&gt;&lt;wsp:rsid wsp:val=&quot;007F6426&quot;/&gt;&lt;wsp:rsid wsp:val=&quot;007F68BB&quot;/&gt;&lt;wsp:rsid wsp:val=&quot;0080179D&quot;/&gt;&lt;wsp:rsid wsp:val=&quot;00810F3C&quot;/&gt;&lt;wsp:rsid wsp:val=&quot;00825AE8&quot;/&gt;&lt;wsp:rsid wsp:val=&quot;00833C99&quot;/&gt;&lt;wsp:rsid wsp:val=&quot;008653C8&quot;/&gt;&lt;wsp:rsid wsp:val=&quot;00892467&quot;/&gt;&lt;wsp:rsid wsp:val=&quot;008928D4&quot;/&gt;&lt;wsp:rsid wsp:val=&quot;008A161A&quot;/&gt;&lt;wsp:rsid wsp:val=&quot;008B0272&quot;/&gt;&lt;wsp:rsid wsp:val=&quot;008C0CF6&quot;/&gt;&lt;wsp:rsid wsp:val=&quot;008C18CC&quot;/&gt;&lt;wsp:rsid wsp:val=&quot;008E3E5C&quot;/&gt;&lt;wsp:rsid wsp:val=&quot;008E494C&quot;/&gt;&lt;wsp:rsid wsp:val=&quot;008E59EC&quot;/&gt;&lt;wsp:rsid wsp:val=&quot;008E64F4&quot;/&gt;&lt;wsp:rsid wsp:val=&quot;008F1ED2&quot;/&gt;&lt;wsp:rsid wsp:val=&quot;009040FA&quot;/&gt;&lt;wsp:rsid wsp:val=&quot;009121A1&quot;/&gt;&lt;wsp:rsid wsp:val=&quot;00920A4F&quot;/&gt;&lt;wsp:rsid wsp:val=&quot;00921ED4&quot;/&gt;&lt;wsp:rsid wsp:val=&quot;0092252F&quot;/&gt;&lt;wsp:rsid wsp:val=&quot;009251E3&quot;/&gt;&lt;wsp:rsid wsp:val=&quot;009315E8&quot;/&gt;&lt;wsp:rsid wsp:val=&quot;00935198&quot;/&gt;&lt;wsp:rsid wsp:val=&quot;0094226D&quot;/&gt;&lt;wsp:rsid wsp:val=&quot;009457CE&quot;/&gt;&lt;wsp:rsid wsp:val=&quot;00954A42&quot;/&gt;&lt;wsp:rsid wsp:val=&quot;00955A63&quot;/&gt;&lt;wsp:rsid wsp:val=&quot;00961152&quot;/&gt;&lt;wsp:rsid wsp:val=&quot;0096225A&quot;/&gt;&lt;wsp:rsid wsp:val=&quot;00967432&quot;/&gt;&lt;wsp:rsid wsp:val=&quot;0097295C&quot;/&gt;&lt;wsp:rsid wsp:val=&quot;009A0C3E&quot;/&gt;&lt;wsp:rsid wsp:val=&quot;009B1FB8&quot;/&gt;&lt;wsp:rsid wsp:val=&quot;009B3BB5&quot;/&gt;&lt;wsp:rsid wsp:val=&quot;009C4EEB&quot;/&gt;&lt;wsp:rsid wsp:val=&quot;009C75C5&quot;/&gt;&lt;wsp:rsid wsp:val=&quot;009D2113&quot;/&gt;&lt;wsp:rsid wsp:val=&quot;009D3825&quot;/&gt;&lt;wsp:rsid wsp:val=&quot;009F5F79&quot;/&gt;&lt;wsp:rsid wsp:val=&quot;009F6B30&quot;/&gt;&lt;wsp:rsid wsp:val=&quot;00A02665&quot;/&gt;&lt;wsp:rsid wsp:val=&quot;00A042DF&quot;/&gt;&lt;wsp:rsid wsp:val=&quot;00A05060&quot;/&gt;&lt;wsp:rsid wsp:val=&quot;00A0683F&quot;/&gt;&lt;wsp:rsid wsp:val=&quot;00A153BF&quot;/&gt;&lt;wsp:rsid wsp:val=&quot;00A15A93&quot;/&gt;&lt;wsp:rsid wsp:val=&quot;00A21C21&quot;/&gt;&lt;wsp:rsid wsp:val=&quot;00A22422&quot;/&gt;&lt;wsp:rsid wsp:val=&quot;00A30170&quot;/&gt;&lt;wsp:rsid wsp:val=&quot;00A33375&quot;/&gt;&lt;wsp:rsid wsp:val=&quot;00A340BB&quot;/&gt;&lt;wsp:rsid wsp:val=&quot;00A57BBF&quot;/&gt;&lt;wsp:rsid wsp:val=&quot;00A64453&quot;/&gt;&lt;wsp:rsid wsp:val=&quot;00A65E99&quot;/&gt;&lt;wsp:rsid wsp:val=&quot;00A6610D&quot;/&gt;&lt;wsp:rsid wsp:val=&quot;00A7255D&quot;/&gt;&lt;wsp:rsid wsp:val=&quot;00A83EF3&quot;/&gt;&lt;wsp:rsid wsp:val=&quot;00A86677&quot;/&gt;&lt;wsp:rsid wsp:val=&quot;00A868C8&quot;/&gt;&lt;wsp:rsid wsp:val=&quot;00A95380&quot;/&gt;&lt;wsp:rsid wsp:val=&quot;00AA1515&quot;/&gt;&lt;wsp:rsid wsp:val=&quot;00AA2656&quot;/&gt;&lt;wsp:rsid wsp:val=&quot;00AA66C6&quot;/&gt;&lt;wsp:rsid wsp:val=&quot;00AA6CE9&quot;/&gt;&lt;wsp:rsid wsp:val=&quot;00AB53AC&quot;/&gt;&lt;wsp:rsid wsp:val=&quot;00AC0D6E&quot;/&gt;&lt;wsp:rsid wsp:val=&quot;00AD66FB&quot;/&gt;&lt;wsp:rsid wsp:val=&quot;00AE2963&quot;/&gt;&lt;wsp:rsid wsp:val=&quot;00AE2D97&quot;/&gt;&lt;wsp:rsid wsp:val=&quot;00AF05FC&quot;/&gt;&lt;wsp:rsid wsp:val=&quot;00AF4490&quot;/&gt;&lt;wsp:rsid wsp:val=&quot;00AF4702&quot;/&gt;&lt;wsp:rsid wsp:val=&quot;00B003DE&quot;/&gt;&lt;wsp:rsid wsp:val=&quot;00B03C03&quot;/&gt;&lt;wsp:rsid wsp:val=&quot;00B167A1&quot;/&gt;&lt;wsp:rsid wsp:val=&quot;00B30177&quot;/&gt;&lt;wsp:rsid wsp:val=&quot;00B33380&quot;/&gt;&lt;wsp:rsid wsp:val=&quot;00B34978&quot;/&gt;&lt;wsp:rsid wsp:val=&quot;00B44A55&quot;/&gt;&lt;wsp:rsid wsp:val=&quot;00B535A5&quot;/&gt;&lt;wsp:rsid wsp:val=&quot;00B552C4&quot;/&gt;&lt;wsp:rsid wsp:val=&quot;00B60732&quot;/&gt;&lt;wsp:rsid wsp:val=&quot;00B76505&quot;/&gt;&lt;wsp:rsid wsp:val=&quot;00B808E9&quot;/&gt;&lt;wsp:rsid wsp:val=&quot;00B93545&quot;/&gt;&lt;wsp:rsid wsp:val=&quot;00BB5526&quot;/&gt;&lt;wsp:rsid wsp:val=&quot;00BC2055&quot;/&gt;&lt;wsp:rsid wsp:val=&quot;00BD3277&quot;/&gt;&lt;wsp:rsid wsp:val=&quot;00BD6296&quot;/&gt;&lt;wsp:rsid wsp:val=&quot;00BE200B&quot;/&gt;&lt;wsp:rsid wsp:val=&quot;00BE42F1&quot;/&gt;&lt;wsp:rsid wsp:val=&quot;00BE59B7&quot;/&gt;&lt;wsp:rsid wsp:val=&quot;00BE5CCA&quot;/&gt;&lt;wsp:rsid wsp:val=&quot;00C04422&quot;/&gt;&lt;wsp:rsid wsp:val=&quot;00C21ADE&quot;/&gt;&lt;wsp:rsid wsp:val=&quot;00C23714&quot;/&gt;&lt;wsp:rsid wsp:val=&quot;00C23C1F&quot;/&gt;&lt;wsp:rsid wsp:val=&quot;00C259E0&quot;/&gt;&lt;wsp:rsid wsp:val=&quot;00C443C1&quot;/&gt;&lt;wsp:rsid wsp:val=&quot;00C451BA&quot;/&gt;&lt;wsp:rsid wsp:val=&quot;00C4562B&quot;/&gt;&lt;wsp:rsid wsp:val=&quot;00C5388D&quot;/&gt;&lt;wsp:rsid wsp:val=&quot;00C56C64&quot;/&gt;&lt;wsp:rsid wsp:val=&quot;00C87362&quot;/&gt;&lt;wsp:rsid wsp:val=&quot;00C935D1&quot;/&gt;&lt;wsp:rsid wsp:val=&quot;00C943CF&quot;/&gt;&lt;wsp:rsid wsp:val=&quot;00C95AA1&quot;/&gt;&lt;wsp:rsid wsp:val=&quot;00C95D1A&quot;/&gt;&lt;wsp:rsid wsp:val=&quot;00CA08DB&quot;/&gt;&lt;wsp:rsid wsp:val=&quot;00CA2A6C&quot;/&gt;&lt;wsp:rsid wsp:val=&quot;00CB4C3B&quot;/&gt;&lt;wsp:rsid wsp:val=&quot;00CB728D&quot;/&gt;&lt;wsp:rsid wsp:val=&quot;00CC08E4&quot;/&gt;&lt;wsp:rsid wsp:val=&quot;00CC43F2&quot;/&gt;&lt;wsp:rsid wsp:val=&quot;00CC4D91&quot;/&gt;&lt;wsp:rsid wsp:val=&quot;00CD1929&quot;/&gt;&lt;wsp:rsid wsp:val=&quot;00CE19E8&quot;/&gt;&lt;wsp:rsid wsp:val=&quot;00CE271B&quot;/&gt;&lt;wsp:rsid wsp:val=&quot;00CF20F0&quot;/&gt;&lt;wsp:rsid wsp:val=&quot;00CF238C&quot;/&gt;&lt;wsp:rsid wsp:val=&quot;00D15928&quot;/&gt;&lt;wsp:rsid wsp:val=&quot;00D2327E&quot;/&gt;&lt;wsp:rsid wsp:val=&quot;00D23697&quot;/&gt;&lt;wsp:rsid wsp:val=&quot;00D25AD0&quot;/&gt;&lt;wsp:rsid wsp:val=&quot;00D44EBA&quot;/&gt;&lt;wsp:rsid wsp:val=&quot;00D470FD&quot;/&gt;&lt;wsp:rsid wsp:val=&quot;00D50623&quot;/&gt;&lt;wsp:rsid wsp:val=&quot;00D52765&quot;/&gt;&lt;wsp:rsid wsp:val=&quot;00D53956&quot;/&gt;&lt;wsp:rsid wsp:val=&quot;00D55267&quot;/&gt;&lt;wsp:rsid wsp:val=&quot;00D60D76&quot;/&gt;&lt;wsp:rsid wsp:val=&quot;00D6542C&quot;/&gt;&lt;wsp:rsid wsp:val=&quot;00D72DBC&quot;/&gt;&lt;wsp:rsid wsp:val=&quot;00D73AD7&quot;/&gt;&lt;wsp:rsid wsp:val=&quot;00D75EE8&quot;/&gt;&lt;wsp:rsid wsp:val=&quot;00D8338B&quot;/&gt;&lt;wsp:rsid wsp:val=&quot;00DA273D&quot;/&gt;&lt;wsp:rsid wsp:val=&quot;00DB6735&quot;/&gt;&lt;wsp:rsid wsp:val=&quot;00DC50EE&quot;/&gt;&lt;wsp:rsid wsp:val=&quot;00DE0415&quot;/&gt;&lt;wsp:rsid wsp:val=&quot;00DE1E6C&quot;/&gt;&lt;wsp:rsid wsp:val=&quot;00DE39C5&quot;/&gt;&lt;wsp:rsid wsp:val=&quot;00E06E31&quot;/&gt;&lt;wsp:rsid wsp:val=&quot;00E07019&quot;/&gt;&lt;wsp:rsid wsp:val=&quot;00E33C4B&quot;/&gt;&lt;wsp:rsid wsp:val=&quot;00E40A54&quot;/&gt;&lt;wsp:rsid wsp:val=&quot;00E4125A&quot;/&gt;&lt;wsp:rsid wsp:val=&quot;00E43916&quot;/&gt;&lt;wsp:rsid wsp:val=&quot;00E447C5&quot;/&gt;&lt;wsp:rsid wsp:val=&quot;00E524E2&quot;/&gt;&lt;wsp:rsid wsp:val=&quot;00E62413&quot;/&gt;&lt;wsp:rsid wsp:val=&quot;00E65D27&quot;/&gt;&lt;wsp:rsid wsp:val=&quot;00E739AE&quot;/&gt;&lt;wsp:rsid wsp:val=&quot;00E739F5&quot;/&gt;&lt;wsp:rsid wsp:val=&quot;00E74AC7&quot;/&gt;&lt;wsp:rsid wsp:val=&quot;00E7532E&quot;/&gt;&lt;wsp:rsid wsp:val=&quot;00E773AE&quot;/&gt;&lt;wsp:rsid wsp:val=&quot;00E8143D&quot;/&gt;&lt;wsp:rsid wsp:val=&quot;00E91604&quot;/&gt;&lt;wsp:rsid wsp:val=&quot;00E94E69&quot;/&gt;&lt;wsp:rsid wsp:val=&quot;00E95A1E&quot;/&gt;&lt;wsp:rsid wsp:val=&quot;00EC530A&quot;/&gt;&lt;wsp:rsid wsp:val=&quot;00ED184B&quot;/&gt;&lt;wsp:rsid wsp:val=&quot;00EE2ABB&quot;/&gt;&lt;wsp:rsid wsp:val=&quot;00EE3E65&quot;/&gt;&lt;wsp:rsid wsp:val=&quot;00EE65BC&quot;/&gt;&lt;wsp:rsid wsp:val=&quot;00EE77DD&quot;/&gt;&lt;wsp:rsid wsp:val=&quot;00F01BB9&quot;/&gt;&lt;wsp:rsid wsp:val=&quot;00F03597&quot;/&gt;&lt;wsp:rsid wsp:val=&quot;00F06630&quot;/&gt;&lt;wsp:rsid wsp:val=&quot;00F251F8&quot;/&gt;&lt;wsp:rsid wsp:val=&quot;00F255B5&quot;/&gt;&lt;wsp:rsid wsp:val=&quot;00F3082D&quot;/&gt;&lt;wsp:rsid wsp:val=&quot;00F51D1A&quot;/&gt;&lt;wsp:rsid wsp:val=&quot;00F55F4F&quot;/&gt;&lt;wsp:rsid wsp:val=&quot;00F71040&quot;/&gt;&lt;wsp:rsid wsp:val=&quot;00F75A9B&quot;/&gt;&lt;wsp:rsid wsp:val=&quot;00F84FDC&quot;/&gt;&lt;wsp:rsid wsp:val=&quot;00F96B41&quot;/&gt;&lt;wsp:rsid wsp:val=&quot;00FB21C0&quot;/&gt;&lt;wsp:rsid wsp:val=&quot;00FB5E7F&quot;/&gt;&lt;wsp:rsid wsp:val=&quot;00FC6023&quot;/&gt;&lt;wsp:rsid wsp:val=&quot;00FE16B5&quot;/&gt;&lt;wsp:rsid wsp:val=&quot;021A54EF&quot;/&gt;&lt;wsp:rsid wsp:val=&quot;032437E4&quot;/&gt;&lt;wsp:rsid wsp:val=&quot;04FC7139&quot;/&gt;&lt;wsp:rsid wsp:val=&quot;05096E7B&quot;/&gt;&lt;wsp:rsid wsp:val=&quot;05DC4D26&quot;/&gt;&lt;wsp:rsid wsp:val=&quot;06B37672&quot;/&gt;&lt;wsp:rsid wsp:val=&quot;0A026946&quot;/&gt;&lt;wsp:rsid wsp:val=&quot;0C22417C&quot;/&gt;&lt;wsp:rsid wsp:val=&quot;0D1F680D&quot;/&gt;&lt;wsp:rsid wsp:val=&quot;0F957D31&quot;/&gt;&lt;wsp:rsid wsp:val=&quot;0F9D4AEB&quot;/&gt;&lt;wsp:rsid wsp:val=&quot;0FD277C3&quot;/&gt;&lt;wsp:rsid wsp:val=&quot;10837147&quot;/&gt;&lt;wsp:rsid wsp:val=&quot;112C778A&quot;/&gt;&lt;wsp:rsid wsp:val=&quot;11E86316&quot;/&gt;&lt;wsp:rsid wsp:val=&quot;12D57CF4&quot;/&gt;&lt;wsp:rsid wsp:val=&quot;13426006&quot;/&gt;&lt;wsp:rsid wsp:val=&quot;16A87FB5&quot;/&gt;&lt;wsp:rsid wsp:val=&quot;176F6743&quot;/&gt;&lt;wsp:rsid wsp:val=&quot;1DE00B40&quot;/&gt;&lt;wsp:rsid wsp:val=&quot;214271D1&quot;/&gt;&lt;wsp:rsid wsp:val=&quot;239D4199&quot;/&gt;&lt;wsp:rsid wsp:val=&quot;26442FD1&quot;/&gt;&lt;wsp:rsid wsp:val=&quot;267D5BF7&quot;/&gt;&lt;wsp:rsid wsp:val=&quot;268921E9&quot;/&gt;&lt;wsp:rsid wsp:val=&quot;2E3D769E&quot;/&gt;&lt;wsp:rsid wsp:val=&quot;2F5E48A6&quot;/&gt;&lt;wsp:rsid wsp:val=&quot;2F8F3F29&quot;/&gt;&lt;wsp:rsid wsp:val=&quot;31CF50DB&quot;/&gt;&lt;wsp:rsid wsp:val=&quot;330E3CF5&quot;/&gt;&lt;wsp:rsid wsp:val=&quot;33613E2E&quot;/&gt;&lt;wsp:rsid wsp:val=&quot;34765774&quot;/&gt;&lt;wsp:rsid wsp:val=&quot;36A71B58&quot;/&gt;&lt;wsp:rsid wsp:val=&quot;379540A7&quot;/&gt;&lt;wsp:rsid wsp:val=&quot;3A55767B&quot;/&gt;&lt;wsp:rsid wsp:val=&quot;3DFE0BF8&quot;/&gt;&lt;wsp:rsid wsp:val=&quot;43645686&quot;/&gt;&lt;wsp:rsid wsp:val=&quot;455410FD&quot;/&gt;&lt;wsp:rsid wsp:val=&quot;4618069E&quot;/&gt;&lt;wsp:rsid wsp:val=&quot;48B12D0A&quot;/&gt;&lt;wsp:rsid wsp:val=&quot;48BD520B&quot;/&gt;&lt;wsp:rsid wsp:val=&quot;4B4614E8&quot;/&gt;&lt;wsp:rsid wsp:val=&quot;4BA252E2&quot;/&gt;&lt;wsp:rsid wsp:val=&quot;4C4A42D5&quot;/&gt;&lt;wsp:rsid wsp:val=&quot;4C69145C&quot;/&gt;&lt;wsp:rsid wsp:val=&quot;4ED91F94&quot;/&gt;&lt;wsp:rsid wsp:val=&quot;4F61528E&quot;/&gt;&lt;wsp:rsid wsp:val=&quot;52B753C1&quot;/&gt;&lt;wsp:rsid wsp:val=&quot;548E0636&quot;/&gt;&lt;wsp:rsid wsp:val=&quot;54905BFE&quot;/&gt;&lt;wsp:rsid wsp:val=&quot;55BD7A3E&quot;/&gt;&lt;wsp:rsid wsp:val=&quot;5728063B&quot;/&gt;&lt;wsp:rsid wsp:val=&quot;58080C80&quot;/&gt;&lt;wsp:rsid wsp:val=&quot;5BDB46EA&quot;/&gt;&lt;wsp:rsid wsp:val=&quot;5C912F96&quot;/&gt;&lt;wsp:rsid wsp:val=&quot;5CF06605&quot;/&gt;&lt;wsp:rsid wsp:val=&quot;60636240&quot;/&gt;&lt;wsp:rsid wsp:val=&quot;60AA3E6F&quot;/&gt;&lt;wsp:rsid wsp:val=&quot;613307AA&quot;/&gt;&lt;wsp:rsid wsp:val=&quot;62BE60BA&quot;/&gt;&lt;wsp:rsid wsp:val=&quot;64865E24&quot;/&gt;&lt;wsp:rsid wsp:val=&quot;64C14219&quot;/&gt;&lt;wsp:rsid wsp:val=&quot;65C854C3&quot;/&gt;&lt;wsp:rsid wsp:val=&quot;6D385E65&quot;/&gt;&lt;wsp:rsid wsp:val=&quot;6F343BCA&quot;/&gt;&lt;wsp:rsid wsp:val=&quot;71754026&quot;/&gt;&lt;wsp:rsid wsp:val=&quot;738C7AAF&quot;/&gt;&lt;wsp:rsid wsp:val=&quot;73C44640&quot;/&gt;&lt;wsp:rsid wsp:val=&quot;743856FC&quot;/&gt;&lt;wsp:rsid wsp:val=&quot;75640639&quot;/&gt;&lt;wsp:rsid wsp:val=&quot;78E40110&quot;/&gt;&lt;wsp:rsid wsp:val=&quot;7F1D1C27&quot;/&gt;&lt;wsp:rsid wsp:val=&quot;7F261503&quot;/&gt;&lt;/wsp:rsids&gt;&lt;/w:docPr&gt;&lt;w:body&gt;&lt;wx:sect&gt;&lt;w:p wsp:rsidR=&quot;00E4125A&quot; wsp:rsidRDefault=&quot;00E4125A&quot; wsp:rsidP=&quot;00E4125A&quot;&gt;&lt;m:oMathPara&gt;&lt;m:oMath&gt;&lt;m:r&gt;&lt;aml:annotation aml:id=&quot;0&quot; w:type=&quot;Word.Insertion&quot; aml:author=&quot;449243972@qq.com&quot; aml:createdate=&quot;2024-11-14T15:17:00Z&quot;&gt;&lt;aml:content&gt;&lt;w:rPr&gt;&lt;w:rFonts w:ascii=&quot;Cambria Math&quot;/&gt;&lt;wx:font wx:val=&quot;Cambria Math&quot;/&gt;&lt;w:i/&gt;&lt;w:sz w:val=&quot;22&quot;/&gt;&lt;w:sz-cs w:val=&quot;22&quot;/&gt;&lt;/w:rPr&gt;&lt;m:t&gt;1.2&lt;/m:t&gt;&lt;/aml:content&gt;&lt;/aml:annotation&gt;&lt;/m:r&gt;&lt;m:sSub&gt;&lt;m:sSubPr&gt;&lt;m:ctrlPr&gt;&lt;aml:annotation aml:id=&quot;1&quot; w:type=&quot;Word.Insertion&quot; aml:author=&quot;449243972@qq.com&quot; aml:createdate=&quot;2024-11-14T15:17:00Z&quot;&gt;&lt;aml:content&gt;&lt;w:rPr&gt;&lt;w:rFonts w:ascii=&quot;Cambria Math&quot;/&gt;&lt;wx:font wx:val=&quot;Cambria Math&quot;/&gt;&lt;w:i/&gt;&lt;w:sz w:val=&quot;22&quot;/&gt;&lt;w:sz-cs w:val=&quot;22&quot;/&gt;&lt;/w:rPr&gt;&lt;/aml:content&gt;&lt;/aml:annotation&gt;&lt;/m:ctrlPr&gt;&lt;/m:sSubPr&gt;&lt;m:e&gt;&lt;m:r&gt;&lt;aml:annotation aml:id=&quot;2&quot; w:type=&quot;Word.Insertion&quot; aml:author=&quot;449243972@qq.com&quot; aml:createdate=&quot;2024-11-14T15:17:00Z&quot;&gt;&lt;aml:content&gt;&lt;w:rPr&gt;&lt;w:rFonts w:ascii=&quot;Cambria Math&quot;/&gt;&lt;wx:font wx:val=&quot;Cambria Math&quot;/&gt;&lt;w:i/&gt;&lt;w:sz w:val=&quot;22&quot;/&gt;&lt;w:sz-cs w:val=&quot;22&quot;/&gt;&lt;/w:rPr&gt;&lt;m:t&gt;U&lt;/m:t&gt;&lt;/aml:content&gt;&lt;/aml:annotation&gt;&lt;/m:r&gt;&lt;/m:e&gt;&lt;m:sub&gt;&lt;m:r&gt;&lt;aml:annotation aml:id=&quot;3&quot; w:type=&quot;Word.Insertion&quot; aml:author=&quot;449243972@qq.com&quot; aml:createdate=&quot;2024-11-14T15:17:00Z&quot;&gt;&lt;aml:content&gt;&lt;w:rPr&gt;&lt;w:rFonts w:ascii=&quot;Cambria Math&quot; w:hint=&quot;fareast&quot;/&gt;&lt;wx:font wx:val=&quot;Cambria Math&quot;/&gt;&lt;w:i/&gt;&lt;w:sz w:val=&quot;22&quot;/&gt;&lt;w:sz-cs w:val=&quot;22&quot;/&gt;&lt;/w:rPr&gt;&lt;m:t&gt;m&lt;/m:t&gt;&lt;/aml:content&gt;&lt;/aml:annotation&gt;&lt;/m:r&gt;&lt;/m:sub&gt;&lt;/m:sSub&gt;&lt;m:r&gt;&lt;aml:annotation aml:id=&quot;4&quot; w:type=&quot;Word.Insertion&quot; aml:author=&quot;449243972@qq.com&quot; aml:createdate=&quot;2024-11-14T15:17:00Z&quot;&gt;&lt;aml:content&gt;&lt;w:rPr&gt;&lt;w:rFonts w:ascii=&quot;Cambria Math&quot;/&gt;&lt;wx:font wx:val=&quot;Cambria Math&quot;/&gt;&lt;w:i/&gt;&lt;w:sz w:val=&quot;22&quot;/&gt;&lt;w:sz-cs w:val=&quot;22&quot;/&gt;&lt;/w:rPr&gt;&lt;m:t&gt;/&lt;/m:t&gt;&lt;/aml:content&gt;&lt;/aml:annotation&gt;&lt;/m:r&gt;&lt;m:rad&gt;&lt;m:radPr&gt;&lt;m:degHide m:val=&quot;1&quot;/&gt;&lt;m:ctrlPr&gt;&lt;aml:annotation aml:id=&quot;5&quot; w:type=&quot;Word.Insertion&quot; aml:author=&quot;449243972@qq.com&quot; aml:createdate=&quot;2024-11-14T15:17:00Z&quot;&gt;&lt;aml:content&gt;&lt;w:rPr&gt;&lt;w:rFonts w:ascii=&quot;Cambria Math&quot;/&gt;&lt;wx:font wx:val=&quot;Cambria Math&quot;/&gt;&lt;w:i/&gt;&lt;w:sz w:val=&quot;22&quot;/&gt;&lt;w:sz-cs w:val=&quot;22&quot;/&gt;&lt;/w:rPr&gt;&lt;/aml:content&gt;&lt;/aml:annotation&gt;&lt;/m:ctrlPr&gt;&lt;/m:radPr&gt;&lt;m:deg/&gt;&lt;m:e&gt;&lt;m:r&gt;&lt;aml:annotation aml:id=&quot;6&quot; w:type=&quot;Word.Insertion&quot; aml:author=&quot;449243972@qq.com&quot; aml:createdate=&quot;2024-11-14T15:17:00Z&quot;&gt;&lt;aml:content&gt;&lt;w:rPr&gt;&lt;w:rFonts w:ascii=&quot;Cambria Math&quot;/&gt;&lt;wx:font wx:val=&quot;Cambria Math&quot;/&gt;&lt;w:i/&gt;&lt;w:sz w:val=&quot;22&quot;/&gt;&lt;w:sz-cs w:val=&quot;22&quot;/&gt;&lt;/w:rPr&gt;&lt;m:t&gt;3&lt;/m:t&gt;&lt;/aml:content&gt;&lt;/aml:annotation&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4" o:title="" chromakey="white"/>
          </v:shape>
        </w:pic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Pr>
          <w:position w:val="-6"/>
        </w:rPr>
        <w:pict w14:anchorId="7A8802F5">
          <v:shape id="_x0000_i1036" type="#_x0000_t75" style="width:48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zlkNmI5YmIzMWNhODI5MjY2NDZiZmMxZTgyZTc5YjkifQ==&quot;/&gt;&lt;/w:docVars&gt;&lt;wsp:rsids&gt;&lt;wsp:rsidRoot wsp:val=&quot;00172A27&quot;/&gt;&lt;wsp:rsid wsp:val=&quot;00002963&quot;/&gt;&lt;wsp:rsid wsp:val=&quot;00004942&quot;/&gt;&lt;wsp:rsid wsp:val=&quot;00004AC4&quot;/&gt;&lt;wsp:rsid wsp:val=&quot;00004CDC&quot;/&gt;&lt;wsp:rsid wsp:val=&quot;000070E8&quot;/&gt;&lt;wsp:rsid wsp:val=&quot;000233A3&quot;/&gt;&lt;wsp:rsid wsp:val=&quot;00023C6F&quot;/&gt;&lt;wsp:rsid wsp:val=&quot;000263E3&quot;/&gt;&lt;wsp:rsid wsp:val=&quot;00030CDA&quot;/&gt;&lt;wsp:rsid wsp:val=&quot;00035B5C&quot;/&gt;&lt;wsp:rsid wsp:val=&quot;00045344&quot;/&gt;&lt;wsp:rsid wsp:val=&quot;0005478E&quot;/&gt;&lt;wsp:rsid wsp:val=&quot;00060F1F&quot;/&gt;&lt;wsp:rsid wsp:val=&quot;000621EF&quot;/&gt;&lt;wsp:rsid wsp:val=&quot;00064AC2&quot;/&gt;&lt;wsp:rsid wsp:val=&quot;00066C00&quot;/&gt;&lt;wsp:rsid wsp:val=&quot;0007115B&quot;/&gt;&lt;wsp:rsid wsp:val=&quot;00075818&quot;/&gt;&lt;wsp:rsid wsp:val=&quot;00076A62&quot;/&gt;&lt;wsp:rsid wsp:val=&quot;00085A75&quot;/&gt;&lt;wsp:rsid wsp:val=&quot;00092683&quot;/&gt;&lt;wsp:rsid wsp:val=&quot;0009690F&quot;/&gt;&lt;wsp:rsid wsp:val=&quot;000A202A&quot;/&gt;&lt;wsp:rsid wsp:val=&quot;000A2494&quot;/&gt;&lt;wsp:rsid wsp:val=&quot;000A4D75&quot;/&gt;&lt;wsp:rsid wsp:val=&quot;000A5BB4&quot;/&gt;&lt;wsp:rsid wsp:val=&quot;000A7FDB&quot;/&gt;&lt;wsp:rsid wsp:val=&quot;000B3216&quot;/&gt;&lt;wsp:rsid wsp:val=&quot;000D2760&quot;/&gt;&lt;wsp:rsid wsp:val=&quot;000D62F2&quot;/&gt;&lt;wsp:rsid wsp:val=&quot;000F181C&quot;/&gt;&lt;wsp:rsid wsp:val=&quot;0010028A&quot;/&gt;&lt;wsp:rsid wsp:val=&quot;00117F39&quot;/&gt;&lt;wsp:rsid wsp:val=&quot;001230FF&quot;/&gt;&lt;wsp:rsid wsp:val=&quot;001328C9&quot;/&gt;&lt;wsp:rsid wsp:val=&quot;00150DB9&quot;/&gt;&lt;wsp:rsid wsp:val=&quot;0015305A&quot;/&gt;&lt;wsp:rsid wsp:val=&quot;00154C7F&quot;/&gt;&lt;wsp:rsid wsp:val=&quot;00161ABB&quot;/&gt;&lt;wsp:rsid wsp:val=&quot;0016223A&quot;/&gt;&lt;wsp:rsid wsp:val=&quot;00166137&quot;/&gt;&lt;wsp:rsid wsp:val=&quot;00170352&quot;/&gt;&lt;wsp:rsid wsp:val=&quot;00176ABB&quot;/&gt;&lt;wsp:rsid wsp:val=&quot;00196E61&quot;/&gt;&lt;wsp:rsid wsp:val=&quot;001C177B&quot;/&gt;&lt;wsp:rsid wsp:val=&quot;001C2B8B&quot;/&gt;&lt;wsp:rsid wsp:val=&quot;001C45B8&quot;/&gt;&lt;wsp:rsid wsp:val=&quot;001E6756&quot;/&gt;&lt;wsp:rsid wsp:val=&quot;001E73B2&quot;/&gt;&lt;wsp:rsid wsp:val=&quot;001F6B0B&quot;/&gt;&lt;wsp:rsid wsp:val=&quot;002034D0&quot;/&gt;&lt;wsp:rsid wsp:val=&quot;00213EA5&quot;/&gt;&lt;wsp:rsid wsp:val=&quot;00227C83&quot;/&gt;&lt;wsp:rsid wsp:val=&quot;00233FD9&quot;/&gt;&lt;wsp:rsid wsp:val=&quot;00245E87&quot;/&gt;&lt;wsp:rsid wsp:val=&quot;00254AC9&quot;/&gt;&lt;wsp:rsid wsp:val=&quot;00261062&quot;/&gt;&lt;wsp:rsid wsp:val=&quot;00275B10&quot;/&gt;&lt;wsp:rsid wsp:val=&quot;00282674&quot;/&gt;&lt;wsp:rsid wsp:val=&quot;0028608B&quot;/&gt;&lt;wsp:rsid wsp:val=&quot;002A2EA3&quot;/&gt;&lt;wsp:rsid wsp:val=&quot;002C2516&quot;/&gt;&lt;wsp:rsid wsp:val=&quot;002C4400&quot;/&gt;&lt;wsp:rsid wsp:val=&quot;002C4BFE&quot;/&gt;&lt;wsp:rsid wsp:val=&quot;002D2DD2&quot;/&gt;&lt;wsp:rsid wsp:val=&quot;002E0899&quot;/&gt;&lt;wsp:rsid wsp:val=&quot;002E106E&quot;/&gt;&lt;wsp:rsid wsp:val=&quot;002E3E94&quot;/&gt;&lt;wsp:rsid wsp:val=&quot;002E608A&quot;/&gt;&lt;wsp:rsid wsp:val=&quot;002F52C7&quot;/&gt;&lt;wsp:rsid wsp:val=&quot;003021C1&quot;/&gt;&lt;wsp:rsid wsp:val=&quot;00302A66&quot;/&gt;&lt;wsp:rsid wsp:val=&quot;00320941&quot;/&gt;&lt;wsp:rsid wsp:val=&quot;00326ED3&quot;/&gt;&lt;wsp:rsid wsp:val=&quot;00333F5E&quot;/&gt;&lt;wsp:rsid wsp:val=&quot;00334809&quot;/&gt;&lt;wsp:rsid wsp:val=&quot;00341480&quot;/&gt;&lt;wsp:rsid wsp:val=&quot;00347493&quot;/&gt;&lt;wsp:rsid wsp:val=&quot;0035009A&quot;/&gt;&lt;wsp:rsid wsp:val=&quot;00380183&quot;/&gt;&lt;wsp:rsid wsp:val=&quot;003A276C&quot;/&gt;&lt;wsp:rsid wsp:val=&quot;003A57BD&quot;/&gt;&lt;wsp:rsid wsp:val=&quot;003B0214&quot;/&gt;&lt;wsp:rsid wsp:val=&quot;003B3EFA&quot;/&gt;&lt;wsp:rsid wsp:val=&quot;003B476D&quot;/&gt;&lt;wsp:rsid wsp:val=&quot;003C14FC&quot;/&gt;&lt;wsp:rsid wsp:val=&quot;003C58BF&quot;/&gt;&lt;wsp:rsid wsp:val=&quot;003C6040&quot;/&gt;&lt;wsp:rsid wsp:val=&quot;003C6EFB&quot;/&gt;&lt;wsp:rsid wsp:val=&quot;003D6412&quot;/&gt;&lt;wsp:rsid wsp:val=&quot;003E39FE&quot;/&gt;&lt;wsp:rsid wsp:val=&quot;003E57A7&quot;/&gt;&lt;wsp:rsid wsp:val=&quot;003F2CE9&quot;/&gt;&lt;wsp:rsid wsp:val=&quot;003F66F9&quot;/&gt;&lt;wsp:rsid wsp:val=&quot;004148F7&quot;/&gt;&lt;wsp:rsid wsp:val=&quot;004222FC&quot;/&gt;&lt;wsp:rsid wsp:val=&quot;00426262&quot;/&gt;&lt;wsp:rsid wsp:val=&quot;00426B97&quot;/&gt;&lt;wsp:rsid wsp:val=&quot;00444628&quot;/&gt;&lt;wsp:rsid wsp:val=&quot;00463E23&quot;/&gt;&lt;wsp:rsid wsp:val=&quot;00471729&quot;/&gt;&lt;wsp:rsid wsp:val=&quot;004909B9&quot;/&gt;&lt;wsp:rsid wsp:val=&quot;0049233D&quot;/&gt;&lt;wsp:rsid wsp:val=&quot;004A379D&quot;/&gt;&lt;wsp:rsid wsp:val=&quot;004B00E0&quot;/&gt;&lt;wsp:rsid wsp:val=&quot;004B4C02&quot;/&gt;&lt;wsp:rsid wsp:val=&quot;004B6F90&quot;/&gt;&lt;wsp:rsid wsp:val=&quot;004B76C6&quot;/&gt;&lt;wsp:rsid wsp:val=&quot;004C6944&quot;/&gt;&lt;wsp:rsid wsp:val=&quot;004D430A&quot;/&gt;&lt;wsp:rsid wsp:val=&quot;004D7E8C&quot;/&gt;&lt;wsp:rsid wsp:val=&quot;004F27A8&quot;/&gt;&lt;wsp:rsid wsp:val=&quot;004F61B8&quot;/&gt;&lt;wsp:rsid wsp:val=&quot;005239E4&quot;/&gt;&lt;wsp:rsid wsp:val=&quot;005309E2&quot;/&gt;&lt;wsp:rsid wsp:val=&quot;00532CF3&quot;/&gt;&lt;wsp:rsid wsp:val=&quot;0053533C&quot;/&gt;&lt;wsp:rsid wsp:val=&quot;00540E4A&quot;/&gt;&lt;wsp:rsid wsp:val=&quot;00563E68&quot;/&gt;&lt;wsp:rsid wsp:val=&quot;0056764A&quot;/&gt;&lt;wsp:rsid wsp:val=&quot;00570D82&quot;/&gt;&lt;wsp:rsid wsp:val=&quot;00571362&quot;/&gt;&lt;wsp:rsid wsp:val=&quot;00571CAD&quot;/&gt;&lt;wsp:rsid wsp:val=&quot;00594AA2&quot;/&gt;&lt;wsp:rsid wsp:val=&quot;005C31F1&quot;/&gt;&lt;wsp:rsid wsp:val=&quot;005C38EA&quot;/&gt;&lt;wsp:rsid wsp:val=&quot;005C5F24&quot;/&gt;&lt;wsp:rsid wsp:val=&quot;005E17C3&quot;/&gt;&lt;wsp:rsid wsp:val=&quot;005E2283&quot;/&gt;&lt;wsp:rsid wsp:val=&quot;005E2D1E&quot;/&gt;&lt;wsp:rsid wsp:val=&quot;005E2F69&quot;/&gt;&lt;wsp:rsid wsp:val=&quot;005E3FCE&quot;/&gt;&lt;wsp:rsid wsp:val=&quot;005E7D8F&quot;/&gt;&lt;wsp:rsid wsp:val=&quot;005F0219&quot;/&gt;&lt;wsp:rsid wsp:val=&quot;005F6468&quot;/&gt;&lt;wsp:rsid wsp:val=&quot;0061062D&quot;/&gt;&lt;wsp:rsid wsp:val=&quot;0061112A&quot;/&gt;&lt;wsp:rsid wsp:val=&quot;0061683A&quot;/&gt;&lt;wsp:rsid wsp:val=&quot;00632454&quot;/&gt;&lt;wsp:rsid wsp:val=&quot;0063720A&quot;/&gt;&lt;wsp:rsid wsp:val=&quot;00637B0A&quot;/&gt;&lt;wsp:rsid wsp:val=&quot;006471D1&quot;/&gt;&lt;wsp:rsid wsp:val=&quot;00656260&quot;/&gt;&lt;wsp:rsid wsp:val=&quot;006612E7&quot;/&gt;&lt;wsp:rsid wsp:val=&quot;00665A70&quot;/&gt;&lt;wsp:rsid wsp:val=&quot;00671FB0&quot;/&gt;&lt;wsp:rsid wsp:val=&quot;00672D5A&quot;/&gt;&lt;wsp:rsid wsp:val=&quot;00675B3F&quot;/&gt;&lt;wsp:rsid wsp:val=&quot;00677A2C&quot;/&gt;&lt;wsp:rsid wsp:val=&quot;00691DB6&quot;/&gt;&lt;wsp:rsid wsp:val=&quot;00697DE1&quot;/&gt;&lt;wsp:rsid wsp:val=&quot;006D2708&quot;/&gt;&lt;wsp:rsid wsp:val=&quot;006D356D&quot;/&gt;&lt;wsp:rsid wsp:val=&quot;006D7284&quot;/&gt;&lt;wsp:rsid wsp:val=&quot;006E01DA&quot;/&gt;&lt;wsp:rsid wsp:val=&quot;006F3B44&quot;/&gt;&lt;wsp:rsid wsp:val=&quot;00703FDA&quot;/&gt;&lt;wsp:rsid wsp:val=&quot;0071447B&quot;/&gt;&lt;wsp:rsid wsp:val=&quot;007169D4&quot;/&gt;&lt;wsp:rsid wsp:val=&quot;00726296&quot;/&gt;&lt;wsp:rsid wsp:val=&quot;00726F02&quot;/&gt;&lt;wsp:rsid wsp:val=&quot;00731D62&quot;/&gt;&lt;wsp:rsid wsp:val=&quot;00737B59&quot;/&gt;&lt;wsp:rsid wsp:val=&quot;00746238&quot;/&gt;&lt;wsp:rsid wsp:val=&quot;00763DBE&quot;/&gt;&lt;wsp:rsid wsp:val=&quot;0077151D&quot;/&gt;&lt;wsp:rsid wsp:val=&quot;00774AAD&quot;/&gt;&lt;wsp:rsid wsp:val=&quot;0078275B&quot;/&gt;&lt;wsp:rsid wsp:val=&quot;00783C2B&quot;/&gt;&lt;wsp:rsid wsp:val=&quot;00793D7D&quot;/&gt;&lt;wsp:rsid wsp:val=&quot;007969DD&quot;/&gt;&lt;wsp:rsid wsp:val=&quot;007E4019&quot;/&gt;&lt;wsp:rsid wsp:val=&quot;007E7490&quot;/&gt;&lt;wsp:rsid wsp:val=&quot;007F0EE0&quot;/&gt;&lt;wsp:rsid wsp:val=&quot;007F26CB&quot;/&gt;&lt;wsp:rsid wsp:val=&quot;007F3B70&quot;/&gt;&lt;wsp:rsid wsp:val=&quot;007F6426&quot;/&gt;&lt;wsp:rsid wsp:val=&quot;007F68BB&quot;/&gt;&lt;wsp:rsid wsp:val=&quot;0080179D&quot;/&gt;&lt;wsp:rsid wsp:val=&quot;00810F3C&quot;/&gt;&lt;wsp:rsid wsp:val=&quot;00825AE8&quot;/&gt;&lt;wsp:rsid wsp:val=&quot;00833C99&quot;/&gt;&lt;wsp:rsid wsp:val=&quot;008653C8&quot;/&gt;&lt;wsp:rsid wsp:val=&quot;00892467&quot;/&gt;&lt;wsp:rsid wsp:val=&quot;008928D4&quot;/&gt;&lt;wsp:rsid wsp:val=&quot;008A161A&quot;/&gt;&lt;wsp:rsid wsp:val=&quot;008B0272&quot;/&gt;&lt;wsp:rsid wsp:val=&quot;008C0CF6&quot;/&gt;&lt;wsp:rsid wsp:val=&quot;008C18CC&quot;/&gt;&lt;wsp:rsid wsp:val=&quot;008E3E5C&quot;/&gt;&lt;wsp:rsid wsp:val=&quot;008E494C&quot;/&gt;&lt;wsp:rsid wsp:val=&quot;008E59EC&quot;/&gt;&lt;wsp:rsid wsp:val=&quot;008E64F4&quot;/&gt;&lt;wsp:rsid wsp:val=&quot;008F1ED2&quot;/&gt;&lt;wsp:rsid wsp:val=&quot;009040FA&quot;/&gt;&lt;wsp:rsid wsp:val=&quot;009121A1&quot;/&gt;&lt;wsp:rsid wsp:val=&quot;00920A4F&quot;/&gt;&lt;wsp:rsid wsp:val=&quot;00921ED4&quot;/&gt;&lt;wsp:rsid wsp:val=&quot;0092252F&quot;/&gt;&lt;wsp:rsid wsp:val=&quot;009251E3&quot;/&gt;&lt;wsp:rsid wsp:val=&quot;009315E8&quot;/&gt;&lt;wsp:rsid wsp:val=&quot;00935198&quot;/&gt;&lt;wsp:rsid wsp:val=&quot;0094226D&quot;/&gt;&lt;wsp:rsid wsp:val=&quot;009457CE&quot;/&gt;&lt;wsp:rsid wsp:val=&quot;00954A42&quot;/&gt;&lt;wsp:rsid wsp:val=&quot;00955A63&quot;/&gt;&lt;wsp:rsid wsp:val=&quot;00961152&quot;/&gt;&lt;wsp:rsid wsp:val=&quot;0096225A&quot;/&gt;&lt;wsp:rsid wsp:val=&quot;00967432&quot;/&gt;&lt;wsp:rsid wsp:val=&quot;0097295C&quot;/&gt;&lt;wsp:rsid wsp:val=&quot;009A0C3E&quot;/&gt;&lt;wsp:rsid wsp:val=&quot;009B1FB8&quot;/&gt;&lt;wsp:rsid wsp:val=&quot;009B3BB5&quot;/&gt;&lt;wsp:rsid wsp:val=&quot;009C4EEB&quot;/&gt;&lt;wsp:rsid wsp:val=&quot;009C75C5&quot;/&gt;&lt;wsp:rsid wsp:val=&quot;009D2113&quot;/&gt;&lt;wsp:rsid wsp:val=&quot;009D3825&quot;/&gt;&lt;wsp:rsid wsp:val=&quot;009F5F79&quot;/&gt;&lt;wsp:rsid wsp:val=&quot;009F6B30&quot;/&gt;&lt;wsp:rsid wsp:val=&quot;00A02665&quot;/&gt;&lt;wsp:rsid wsp:val=&quot;00A042DF&quot;/&gt;&lt;wsp:rsid wsp:val=&quot;00A05060&quot;/&gt;&lt;wsp:rsid wsp:val=&quot;00A0683F&quot;/&gt;&lt;wsp:rsid wsp:val=&quot;00A153BF&quot;/&gt;&lt;wsp:rsid wsp:val=&quot;00A15A93&quot;/&gt;&lt;wsp:rsid wsp:val=&quot;00A21C21&quot;/&gt;&lt;wsp:rsid wsp:val=&quot;00A22422&quot;/&gt;&lt;wsp:rsid wsp:val=&quot;00A30170&quot;/&gt;&lt;wsp:rsid wsp:val=&quot;00A33375&quot;/&gt;&lt;wsp:rsid wsp:val=&quot;00A340BB&quot;/&gt;&lt;wsp:rsid wsp:val=&quot;00A57BBF&quot;/&gt;&lt;wsp:rsid wsp:val=&quot;00A64453&quot;/&gt;&lt;wsp:rsid wsp:val=&quot;00A65E99&quot;/&gt;&lt;wsp:rsid wsp:val=&quot;00A6610D&quot;/&gt;&lt;wsp:rsid wsp:val=&quot;00A7255D&quot;/&gt;&lt;wsp:rsid wsp:val=&quot;00A83EF3&quot;/&gt;&lt;wsp:rsid wsp:val=&quot;00A86677&quot;/&gt;&lt;wsp:rsid wsp:val=&quot;00A868C8&quot;/&gt;&lt;wsp:rsid wsp:val=&quot;00A95380&quot;/&gt;&lt;wsp:rsid wsp:val=&quot;00AA1515&quot;/&gt;&lt;wsp:rsid wsp:val=&quot;00AA2656&quot;/&gt;&lt;wsp:rsid wsp:val=&quot;00AA66C6&quot;/&gt;&lt;wsp:rsid wsp:val=&quot;00AA6CE9&quot;/&gt;&lt;wsp:rsid wsp:val=&quot;00AB53AC&quot;/&gt;&lt;wsp:rsid wsp:val=&quot;00AC0D6E&quot;/&gt;&lt;wsp:rsid wsp:val=&quot;00AD66FB&quot;/&gt;&lt;wsp:rsid wsp:val=&quot;00AE2963&quot;/&gt;&lt;wsp:rsid wsp:val=&quot;00AE2D97&quot;/&gt;&lt;wsp:rsid wsp:val=&quot;00AF05FC&quot;/&gt;&lt;wsp:rsid wsp:val=&quot;00AF4490&quot;/&gt;&lt;wsp:rsid wsp:val=&quot;00AF4702&quot;/&gt;&lt;wsp:rsid wsp:val=&quot;00B003DE&quot;/&gt;&lt;wsp:rsid wsp:val=&quot;00B03C03&quot;/&gt;&lt;wsp:rsid wsp:val=&quot;00B167A1&quot;/&gt;&lt;wsp:rsid wsp:val=&quot;00B30177&quot;/&gt;&lt;wsp:rsid wsp:val=&quot;00B33380&quot;/&gt;&lt;wsp:rsid wsp:val=&quot;00B34978&quot;/&gt;&lt;wsp:rsid wsp:val=&quot;00B44A55&quot;/&gt;&lt;wsp:rsid wsp:val=&quot;00B535A5&quot;/&gt;&lt;wsp:rsid wsp:val=&quot;00B552C4&quot;/&gt;&lt;wsp:rsid wsp:val=&quot;00B60732&quot;/&gt;&lt;wsp:rsid wsp:val=&quot;00B76505&quot;/&gt;&lt;wsp:rsid wsp:val=&quot;00B808E9&quot;/&gt;&lt;wsp:rsid wsp:val=&quot;00B93545&quot;/&gt;&lt;wsp:rsid wsp:val=&quot;00BB5526&quot;/&gt;&lt;wsp:rsid wsp:val=&quot;00BC2055&quot;/&gt;&lt;wsp:rsid wsp:val=&quot;00BD3277&quot;/&gt;&lt;wsp:rsid wsp:val=&quot;00BD6296&quot;/&gt;&lt;wsp:rsid wsp:val=&quot;00BE200B&quot;/&gt;&lt;wsp:rsid wsp:val=&quot;00BE42F1&quot;/&gt;&lt;wsp:rsid wsp:val=&quot;00BE59B7&quot;/&gt;&lt;wsp:rsid wsp:val=&quot;00BE5CCA&quot;/&gt;&lt;wsp:rsid wsp:val=&quot;00C04422&quot;/&gt;&lt;wsp:rsid wsp:val=&quot;00C21ADE&quot;/&gt;&lt;wsp:rsid wsp:val=&quot;00C23714&quot;/&gt;&lt;wsp:rsid wsp:val=&quot;00C23C1F&quot;/&gt;&lt;wsp:rsid wsp:val=&quot;00C259E0&quot;/&gt;&lt;wsp:rsid wsp:val=&quot;00C443C1&quot;/&gt;&lt;wsp:rsid wsp:val=&quot;00C451BA&quot;/&gt;&lt;wsp:rsid wsp:val=&quot;00C4562B&quot;/&gt;&lt;wsp:rsid wsp:val=&quot;00C5388D&quot;/&gt;&lt;wsp:rsid wsp:val=&quot;00C56C64&quot;/&gt;&lt;wsp:rsid wsp:val=&quot;00C87362&quot;/&gt;&lt;wsp:rsid wsp:val=&quot;00C935D1&quot;/&gt;&lt;wsp:rsid wsp:val=&quot;00C943CF&quot;/&gt;&lt;wsp:rsid wsp:val=&quot;00C95AA1&quot;/&gt;&lt;wsp:rsid wsp:val=&quot;00C95D1A&quot;/&gt;&lt;wsp:rsid wsp:val=&quot;00CA08DB&quot;/&gt;&lt;wsp:rsid wsp:val=&quot;00CA2A6C&quot;/&gt;&lt;wsp:rsid wsp:val=&quot;00CB4C3B&quot;/&gt;&lt;wsp:rsid wsp:val=&quot;00CB728D&quot;/&gt;&lt;wsp:rsid wsp:val=&quot;00CC08E4&quot;/&gt;&lt;wsp:rsid wsp:val=&quot;00CC43F2&quot;/&gt;&lt;wsp:rsid wsp:val=&quot;00CC4D91&quot;/&gt;&lt;wsp:rsid wsp:val=&quot;00CD1929&quot;/&gt;&lt;wsp:rsid wsp:val=&quot;00CE19E8&quot;/&gt;&lt;wsp:rsid wsp:val=&quot;00CE271B&quot;/&gt;&lt;wsp:rsid wsp:val=&quot;00CF20F0&quot;/&gt;&lt;wsp:rsid wsp:val=&quot;00CF238C&quot;/&gt;&lt;wsp:rsid wsp:val=&quot;00D15928&quot;/&gt;&lt;wsp:rsid wsp:val=&quot;00D2327E&quot;/&gt;&lt;wsp:rsid wsp:val=&quot;00D23697&quot;/&gt;&lt;wsp:rsid wsp:val=&quot;00D25AD0&quot;/&gt;&lt;wsp:rsid wsp:val=&quot;00D44EBA&quot;/&gt;&lt;wsp:rsid wsp:val=&quot;00D470FD&quot;/&gt;&lt;wsp:rsid wsp:val=&quot;00D50623&quot;/&gt;&lt;wsp:rsid wsp:val=&quot;00D52765&quot;/&gt;&lt;wsp:rsid wsp:val=&quot;00D53956&quot;/&gt;&lt;wsp:rsid wsp:val=&quot;00D55267&quot;/&gt;&lt;wsp:rsid wsp:val=&quot;00D60D76&quot;/&gt;&lt;wsp:rsid wsp:val=&quot;00D6542C&quot;/&gt;&lt;wsp:rsid wsp:val=&quot;00D72DBC&quot;/&gt;&lt;wsp:rsid wsp:val=&quot;00D73AD7&quot;/&gt;&lt;wsp:rsid wsp:val=&quot;00D75EE8&quot;/&gt;&lt;wsp:rsid wsp:val=&quot;00D8338B&quot;/&gt;&lt;wsp:rsid wsp:val=&quot;00DA273D&quot;/&gt;&lt;wsp:rsid wsp:val=&quot;00DB6735&quot;/&gt;&lt;wsp:rsid wsp:val=&quot;00DC50EE&quot;/&gt;&lt;wsp:rsid wsp:val=&quot;00DE0415&quot;/&gt;&lt;wsp:rsid wsp:val=&quot;00DE1E6C&quot;/&gt;&lt;wsp:rsid wsp:val=&quot;00DE39C5&quot;/&gt;&lt;wsp:rsid wsp:val=&quot;00E06E31&quot;/&gt;&lt;wsp:rsid wsp:val=&quot;00E07019&quot;/&gt;&lt;wsp:rsid wsp:val=&quot;00E33C4B&quot;/&gt;&lt;wsp:rsid wsp:val=&quot;00E40A54&quot;/&gt;&lt;wsp:rsid wsp:val=&quot;00E4125A&quot;/&gt;&lt;wsp:rsid wsp:val=&quot;00E43916&quot;/&gt;&lt;wsp:rsid wsp:val=&quot;00E447C5&quot;/&gt;&lt;wsp:rsid wsp:val=&quot;00E524E2&quot;/&gt;&lt;wsp:rsid wsp:val=&quot;00E62413&quot;/&gt;&lt;wsp:rsid wsp:val=&quot;00E65D27&quot;/&gt;&lt;wsp:rsid wsp:val=&quot;00E739AE&quot;/&gt;&lt;wsp:rsid wsp:val=&quot;00E739F5&quot;/&gt;&lt;wsp:rsid wsp:val=&quot;00E74AC7&quot;/&gt;&lt;wsp:rsid wsp:val=&quot;00E7532E&quot;/&gt;&lt;wsp:rsid wsp:val=&quot;00E773AE&quot;/&gt;&lt;wsp:rsid wsp:val=&quot;00E8143D&quot;/&gt;&lt;wsp:rsid wsp:val=&quot;00E91604&quot;/&gt;&lt;wsp:rsid wsp:val=&quot;00E94E69&quot;/&gt;&lt;wsp:rsid wsp:val=&quot;00E95A1E&quot;/&gt;&lt;wsp:rsid wsp:val=&quot;00EC530A&quot;/&gt;&lt;wsp:rsid wsp:val=&quot;00ED184B&quot;/&gt;&lt;wsp:rsid wsp:val=&quot;00EE2ABB&quot;/&gt;&lt;wsp:rsid wsp:val=&quot;00EE3E65&quot;/&gt;&lt;wsp:rsid wsp:val=&quot;00EE65BC&quot;/&gt;&lt;wsp:rsid wsp:val=&quot;00EE77DD&quot;/&gt;&lt;wsp:rsid wsp:val=&quot;00F01BB9&quot;/&gt;&lt;wsp:rsid wsp:val=&quot;00F03597&quot;/&gt;&lt;wsp:rsid wsp:val=&quot;00F06630&quot;/&gt;&lt;wsp:rsid wsp:val=&quot;00F251F8&quot;/&gt;&lt;wsp:rsid wsp:val=&quot;00F255B5&quot;/&gt;&lt;wsp:rsid wsp:val=&quot;00F3082D&quot;/&gt;&lt;wsp:rsid wsp:val=&quot;00F51D1A&quot;/&gt;&lt;wsp:rsid wsp:val=&quot;00F55F4F&quot;/&gt;&lt;wsp:rsid wsp:val=&quot;00F71040&quot;/&gt;&lt;wsp:rsid wsp:val=&quot;00F75A9B&quot;/&gt;&lt;wsp:rsid wsp:val=&quot;00F84FDC&quot;/&gt;&lt;wsp:rsid wsp:val=&quot;00F96B41&quot;/&gt;&lt;wsp:rsid wsp:val=&quot;00FB21C0&quot;/&gt;&lt;wsp:rsid wsp:val=&quot;00FB5E7F&quot;/&gt;&lt;wsp:rsid wsp:val=&quot;00FC6023&quot;/&gt;&lt;wsp:rsid wsp:val=&quot;00FE16B5&quot;/&gt;&lt;wsp:rsid wsp:val=&quot;021A54EF&quot;/&gt;&lt;wsp:rsid wsp:val=&quot;032437E4&quot;/&gt;&lt;wsp:rsid wsp:val=&quot;04FC7139&quot;/&gt;&lt;wsp:rsid wsp:val=&quot;05096E7B&quot;/&gt;&lt;wsp:rsid wsp:val=&quot;05DC4D26&quot;/&gt;&lt;wsp:rsid wsp:val=&quot;06B37672&quot;/&gt;&lt;wsp:rsid wsp:val=&quot;0A026946&quot;/&gt;&lt;wsp:rsid wsp:val=&quot;0C22417C&quot;/&gt;&lt;wsp:rsid wsp:val=&quot;0D1F680D&quot;/&gt;&lt;wsp:rsid wsp:val=&quot;0F957D31&quot;/&gt;&lt;wsp:rsid wsp:val=&quot;0F9D4AEB&quot;/&gt;&lt;wsp:rsid wsp:val=&quot;0FD277C3&quot;/&gt;&lt;wsp:rsid wsp:val=&quot;10837147&quot;/&gt;&lt;wsp:rsid wsp:val=&quot;112C778A&quot;/&gt;&lt;wsp:rsid wsp:val=&quot;11E86316&quot;/&gt;&lt;wsp:rsid wsp:val=&quot;12D57CF4&quot;/&gt;&lt;wsp:rsid wsp:val=&quot;13426006&quot;/&gt;&lt;wsp:rsid wsp:val=&quot;16A87FB5&quot;/&gt;&lt;wsp:rsid wsp:val=&quot;176F6743&quot;/&gt;&lt;wsp:rsid wsp:val=&quot;1DE00B40&quot;/&gt;&lt;wsp:rsid wsp:val=&quot;214271D1&quot;/&gt;&lt;wsp:rsid wsp:val=&quot;239D4199&quot;/&gt;&lt;wsp:rsid wsp:val=&quot;26442FD1&quot;/&gt;&lt;wsp:rsid wsp:val=&quot;267D5BF7&quot;/&gt;&lt;wsp:rsid wsp:val=&quot;268921E9&quot;/&gt;&lt;wsp:rsid wsp:val=&quot;2E3D769E&quot;/&gt;&lt;wsp:rsid wsp:val=&quot;2F5E48A6&quot;/&gt;&lt;wsp:rsid wsp:val=&quot;2F8F3F29&quot;/&gt;&lt;wsp:rsid wsp:val=&quot;31CF50DB&quot;/&gt;&lt;wsp:rsid wsp:val=&quot;330E3CF5&quot;/&gt;&lt;wsp:rsid wsp:val=&quot;33613E2E&quot;/&gt;&lt;wsp:rsid wsp:val=&quot;34765774&quot;/&gt;&lt;wsp:rsid wsp:val=&quot;36A71B58&quot;/&gt;&lt;wsp:rsid wsp:val=&quot;379540A7&quot;/&gt;&lt;wsp:rsid wsp:val=&quot;3A55767B&quot;/&gt;&lt;wsp:rsid wsp:val=&quot;3DFE0BF8&quot;/&gt;&lt;wsp:rsid wsp:val=&quot;43645686&quot;/&gt;&lt;wsp:rsid wsp:val=&quot;455410FD&quot;/&gt;&lt;wsp:rsid wsp:val=&quot;4618069E&quot;/&gt;&lt;wsp:rsid wsp:val=&quot;48B12D0A&quot;/&gt;&lt;wsp:rsid wsp:val=&quot;48BD520B&quot;/&gt;&lt;wsp:rsid wsp:val=&quot;4B4614E8&quot;/&gt;&lt;wsp:rsid wsp:val=&quot;4BA252E2&quot;/&gt;&lt;wsp:rsid wsp:val=&quot;4C4A42D5&quot;/&gt;&lt;wsp:rsid wsp:val=&quot;4C69145C&quot;/&gt;&lt;wsp:rsid wsp:val=&quot;4ED91F94&quot;/&gt;&lt;wsp:rsid wsp:val=&quot;4F61528E&quot;/&gt;&lt;wsp:rsid wsp:val=&quot;52B753C1&quot;/&gt;&lt;wsp:rsid wsp:val=&quot;548E0636&quot;/&gt;&lt;wsp:rsid wsp:val=&quot;54905BFE&quot;/&gt;&lt;wsp:rsid wsp:val=&quot;55BD7A3E&quot;/&gt;&lt;wsp:rsid wsp:val=&quot;5728063B&quot;/&gt;&lt;wsp:rsid wsp:val=&quot;58080C80&quot;/&gt;&lt;wsp:rsid wsp:val=&quot;5BDB46EA&quot;/&gt;&lt;wsp:rsid wsp:val=&quot;5C912F96&quot;/&gt;&lt;wsp:rsid wsp:val=&quot;5CF06605&quot;/&gt;&lt;wsp:rsid wsp:val=&quot;60636240&quot;/&gt;&lt;wsp:rsid wsp:val=&quot;60AA3E6F&quot;/&gt;&lt;wsp:rsid wsp:val=&quot;613307AA&quot;/&gt;&lt;wsp:rsid wsp:val=&quot;62BE60BA&quot;/&gt;&lt;wsp:rsid wsp:val=&quot;64865E24&quot;/&gt;&lt;wsp:rsid wsp:val=&quot;64C14219&quot;/&gt;&lt;wsp:rsid wsp:val=&quot;65C854C3&quot;/&gt;&lt;wsp:rsid wsp:val=&quot;6D385E65&quot;/&gt;&lt;wsp:rsid wsp:val=&quot;6F343BCA&quot;/&gt;&lt;wsp:rsid wsp:val=&quot;71754026&quot;/&gt;&lt;wsp:rsid wsp:val=&quot;738C7AAF&quot;/&gt;&lt;wsp:rsid wsp:val=&quot;73C44640&quot;/&gt;&lt;wsp:rsid wsp:val=&quot;743856FC&quot;/&gt;&lt;wsp:rsid wsp:val=&quot;75640639&quot;/&gt;&lt;wsp:rsid wsp:val=&quot;78E40110&quot;/&gt;&lt;wsp:rsid wsp:val=&quot;7F1D1C27&quot;/&gt;&lt;wsp:rsid wsp:val=&quot;7F261503&quot;/&gt;&lt;/wsp:rsids&gt;&lt;/w:docPr&gt;&lt;w:body&gt;&lt;wx:sect&gt;&lt;w:p wsp:rsidR=&quot;00E4125A&quot; wsp:rsidRDefault=&quot;00E4125A&quot; wsp:rsidP=&quot;00E4125A&quot;&gt;&lt;m:oMathPara&gt;&lt;m:oMath&gt;&lt;m:r&gt;&lt;aml:annotation aml:id=&quot;0&quot; w:type=&quot;Word.Insertion&quot; aml:author=&quot;449243972@qq.com&quot; aml:createdate=&quot;2024-11-14T15:17:00Z&quot;&gt;&lt;aml:content&gt;&lt;w:rPr&gt;&lt;w:rFonts w:ascii=&quot;Cambria Math&quot;/&gt;&lt;wx:font wx:val=&quot;Cambria Math&quot;/&gt;&lt;w:i/&gt;&lt;w:sz w:val=&quot;22&quot;/&gt;&lt;w:sz-cs w:val=&quot;22&quot;/&gt;&lt;/w:rPr&gt;&lt;m:t&gt;1.2&lt;/m:t&gt;&lt;/aml:content&gt;&lt;/aml:annotation&gt;&lt;/m:r&gt;&lt;m:sSub&gt;&lt;m:sSubPr&gt;&lt;m:ctrlPr&gt;&lt;aml:annotation aml:id=&quot;1&quot; w:type=&quot;Word.Insertion&quot; aml:author=&quot;449243972@qq.com&quot; aml:createdate=&quot;2024-11-14T15:17:00Z&quot;&gt;&lt;aml:content&gt;&lt;w:rPr&gt;&lt;w:rFonts w:ascii=&quot;Cambria Math&quot;/&gt;&lt;wx:font wx:val=&quot;Cambria Math&quot;/&gt;&lt;w:i/&gt;&lt;w:sz w:val=&quot;22&quot;/&gt;&lt;w:sz-cs w:val=&quot;22&quot;/&gt;&lt;/w:rPr&gt;&lt;/aml:content&gt;&lt;/aml:annotation&gt;&lt;/m:ctrlPr&gt;&lt;/m:sSubPr&gt;&lt;m:e&gt;&lt;m:r&gt;&lt;aml:annotation aml:id=&quot;2&quot; w:type=&quot;Word.Insertion&quot; aml:author=&quot;449243972@qq.com&quot; aml:createdate=&quot;2024-11-14T15:17:00Z&quot;&gt;&lt;aml:content&gt;&lt;w:rPr&gt;&lt;w:rFonts w:ascii=&quot;Cambria Math&quot;/&gt;&lt;wx:font wx:val=&quot;Cambria Math&quot;/&gt;&lt;w:i/&gt;&lt;w:sz w:val=&quot;22&quot;/&gt;&lt;w:sz-cs w:val=&quot;22&quot;/&gt;&lt;/w:rPr&gt;&lt;m:t&gt;U&lt;/m:t&gt;&lt;/aml:content&gt;&lt;/aml:annotation&gt;&lt;/m:r&gt;&lt;/m:e&gt;&lt;m:sub&gt;&lt;m:r&gt;&lt;aml:annotation aml:id=&quot;3&quot; w:type=&quot;Word.Insertion&quot; aml:author=&quot;449243972@qq.com&quot; aml:createdate=&quot;2024-11-14T15:17:00Z&quot;&gt;&lt;aml:content&gt;&lt;w:rPr&gt;&lt;w:rFonts w:ascii=&quot;Cambria Math&quot; w:hint=&quot;fareast&quot;/&gt;&lt;wx:font wx:val=&quot;Cambria Math&quot;/&gt;&lt;w:i/&gt;&lt;w:sz w:val=&quot;22&quot;/&gt;&lt;w:sz-cs w:val=&quot;22&quot;/&gt;&lt;/w:rPr&gt;&lt;m:t&gt;m&lt;/m:t&gt;&lt;/aml:content&gt;&lt;/aml:annotation&gt;&lt;/m:r&gt;&lt;/m:sub&gt;&lt;/m:sSub&gt;&lt;m:r&gt;&lt;aml:annotation aml:id=&quot;4&quot; w:type=&quot;Word.Insertion&quot; aml:author=&quot;449243972@qq.com&quot; aml:createdate=&quot;2024-11-14T15:17:00Z&quot;&gt;&lt;aml:content&gt;&lt;w:rPr&gt;&lt;w:rFonts w:ascii=&quot;Cambria Math&quot;/&gt;&lt;wx:font wx:val=&quot;Cambria Math&quot;/&gt;&lt;w:i/&gt;&lt;w:sz w:val=&quot;22&quot;/&gt;&lt;w:sz-cs w:val=&quot;22&quot;/&gt;&lt;/w:rPr&gt;&lt;m:t&gt;/&lt;/m:t&gt;&lt;/aml:content&gt;&lt;/aml:annotation&gt;&lt;/m:r&gt;&lt;m:rad&gt;&lt;m:radPr&gt;&lt;m:degHide m:val=&quot;1&quot;/&gt;&lt;m:ctrlPr&gt;&lt;aml:annotation aml:id=&quot;5&quot; w:type=&quot;Word.Insertion&quot; aml:author=&quot;449243972@qq.com&quot; aml:createdate=&quot;2024-11-14T15:17:00Z&quot;&gt;&lt;aml:content&gt;&lt;w:rPr&gt;&lt;w:rFonts w:ascii=&quot;Cambria Math&quot;/&gt;&lt;wx:font wx:val=&quot;Cambria Math&quot;/&gt;&lt;w:i/&gt;&lt;w:sz w:val=&quot;22&quot;/&gt;&lt;w:sz-cs w:val=&quot;22&quot;/&gt;&lt;/w:rPr&gt;&lt;/aml:content&gt;&lt;/aml:annotation&gt;&lt;/m:ctrlPr&gt;&lt;/m:radPr&gt;&lt;m:deg/&gt;&lt;m:e&gt;&lt;m:r&gt;&lt;aml:annotation aml:id=&quot;6&quot; w:type=&quot;Word.Insertion&quot; aml:author=&quot;449243972@qq.com&quot; aml:createdate=&quot;2024-11-14T15:17:00Z&quot;&gt;&lt;aml:content&gt;&lt;w:rPr&gt;&lt;w:rFonts w:ascii=&quot;Cambria Math&quot;/&gt;&lt;wx:font wx:val=&quot;Cambria Math&quot;/&gt;&lt;w:i/&gt;&lt;w:sz w:val=&quot;22&quot;/&gt;&lt;w:sz-cs w:val=&quot;22&quot;/&gt;&lt;/w:rPr&gt;&lt;m:t&gt;3&lt;/m:t&gt;&lt;/aml:content&gt;&lt;/aml:annotation&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4" o:title="" chromakey="white"/>
          </v:shape>
        </w:pict>
      </w:r>
      <w:r>
        <w:rPr>
          <w:rFonts w:ascii="Times New Roman" w:hAnsi="Times New Roman" w:cs="Times New Roman"/>
          <w:sz w:val="22"/>
          <w:szCs w:val="22"/>
        </w:rPr>
        <w:fldChar w:fldCharType="end"/>
      </w:r>
      <w:r>
        <w:rPr>
          <w:rFonts w:ascii="Times New Roman" w:hAnsi="Times New Roman" w:cs="Times New Roman"/>
        </w:rPr>
        <w:t>的试验电压下测量局部放电值，应无异常；</w:t>
      </w:r>
    </w:p>
    <w:p w14:paraId="44B57FC8" w14:textId="77777777" w:rsidR="00DC3EA5" w:rsidRDefault="00000000">
      <w:pPr>
        <w:pStyle w:val="-8"/>
        <w:numPr>
          <w:ilvl w:val="1"/>
          <w:numId w:val="89"/>
        </w:numPr>
        <w:ind w:leftChars="200" w:left="840" w:hangingChars="200" w:hanging="420"/>
        <w:rPr>
          <w:rFonts w:ascii="Times New Roman" w:hAnsi="Times New Roman" w:cs="Times New Roman"/>
        </w:rPr>
      </w:pPr>
      <w:r>
        <w:rPr>
          <w:rFonts w:ascii="Times New Roman" w:hAnsi="Times New Roman" w:cs="Times New Roman"/>
        </w:rPr>
        <w:t>可采用超声或特高频法进行测量。</w:t>
      </w:r>
    </w:p>
    <w:p w14:paraId="01F3E3E4" w14:textId="77777777" w:rsidR="00DC3EA5" w:rsidRDefault="00000000">
      <w:pPr>
        <w:pStyle w:val="a7"/>
        <w:ind w:left="0"/>
        <w:outlineLvl w:val="1"/>
        <w:rPr>
          <w:rFonts w:ascii="Times New Roman"/>
        </w:rPr>
      </w:pPr>
      <w:bookmarkStart w:id="246" w:name="_Toc30336"/>
      <w:bookmarkStart w:id="247" w:name="_Toc26604"/>
      <w:bookmarkStart w:id="248" w:name="_Toc151477250"/>
      <w:r>
        <w:rPr>
          <w:rFonts w:ascii="Times New Roman"/>
        </w:rPr>
        <w:t>操动试验</w:t>
      </w:r>
      <w:bookmarkEnd w:id="246"/>
      <w:bookmarkEnd w:id="247"/>
      <w:bookmarkEnd w:id="248"/>
    </w:p>
    <w:p w14:paraId="047A5934" w14:textId="77777777" w:rsidR="00DC3EA5" w:rsidRDefault="00000000">
      <w:pPr>
        <w:pStyle w:val="affffffff2"/>
        <w:tabs>
          <w:tab w:val="center" w:pos="4201"/>
          <w:tab w:val="right" w:leader="dot" w:pos="9298"/>
        </w:tabs>
        <w:ind w:firstLine="420"/>
        <w:rPr>
          <w:rFonts w:ascii="Times New Roman"/>
        </w:rPr>
      </w:pPr>
      <w:r>
        <w:rPr>
          <w:rFonts w:ascii="Times New Roman"/>
        </w:rPr>
        <w:t>气体绝缘金属封闭开关设备的操动试验，应符合下列规定：</w:t>
      </w:r>
    </w:p>
    <w:p w14:paraId="64BCDC49" w14:textId="77777777" w:rsidR="00DC3EA5" w:rsidRDefault="00000000">
      <w:pPr>
        <w:pStyle w:val="-8"/>
        <w:numPr>
          <w:ilvl w:val="1"/>
          <w:numId w:val="90"/>
        </w:numPr>
        <w:ind w:leftChars="200" w:left="840" w:hangingChars="200" w:hanging="420"/>
        <w:rPr>
          <w:rFonts w:ascii="Times New Roman" w:hAnsi="Times New Roman" w:cs="Times New Roman"/>
        </w:rPr>
      </w:pPr>
      <w:r>
        <w:rPr>
          <w:rFonts w:ascii="Times New Roman" w:hAnsi="Times New Roman" w:cs="Times New Roman"/>
        </w:rPr>
        <w:t>试验前应对组合电器的连锁与闭锁装置进行检查，确保其动作准确可靠；</w:t>
      </w:r>
    </w:p>
    <w:p w14:paraId="3C5BB66D" w14:textId="77777777" w:rsidR="00DC3EA5" w:rsidRDefault="00000000">
      <w:pPr>
        <w:pStyle w:val="-8"/>
        <w:numPr>
          <w:ilvl w:val="1"/>
          <w:numId w:val="90"/>
        </w:numPr>
        <w:ind w:leftChars="200" w:left="840" w:hangingChars="200" w:hanging="420"/>
        <w:rPr>
          <w:rFonts w:ascii="Times New Roman" w:hAnsi="Times New Roman" w:cs="Times New Roman"/>
        </w:rPr>
      </w:pPr>
      <w:r>
        <w:rPr>
          <w:rFonts w:ascii="Times New Roman" w:hAnsi="Times New Roman" w:cs="Times New Roman"/>
        </w:rPr>
        <w:t>电动、气动或液压装置的操动试验，按产品技术文件的规定执行。</w:t>
      </w:r>
    </w:p>
    <w:p w14:paraId="25723CF4" w14:textId="77777777" w:rsidR="00DC3EA5" w:rsidRDefault="00000000">
      <w:pPr>
        <w:pStyle w:val="a7"/>
        <w:ind w:left="0"/>
        <w:outlineLvl w:val="1"/>
        <w:rPr>
          <w:rFonts w:ascii="Times New Roman"/>
        </w:rPr>
      </w:pPr>
      <w:bookmarkStart w:id="249" w:name="_Toc151477251"/>
      <w:bookmarkStart w:id="250" w:name="_Toc27849"/>
      <w:bookmarkStart w:id="251" w:name="_Toc12782"/>
      <w:r>
        <w:rPr>
          <w:rFonts w:ascii="Times New Roman"/>
        </w:rPr>
        <w:t>SF</w:t>
      </w:r>
      <w:r>
        <w:rPr>
          <w:rFonts w:ascii="Times New Roman"/>
          <w:vertAlign w:val="subscript"/>
        </w:rPr>
        <w:t>6</w:t>
      </w:r>
      <w:r>
        <w:rPr>
          <w:rFonts w:ascii="Times New Roman"/>
        </w:rPr>
        <w:t>气体含水量测量</w:t>
      </w:r>
      <w:bookmarkEnd w:id="249"/>
      <w:bookmarkEnd w:id="250"/>
      <w:bookmarkEnd w:id="251"/>
    </w:p>
    <w:p w14:paraId="2A992FD0" w14:textId="77777777" w:rsidR="00DC3EA5" w:rsidRDefault="00000000">
      <w:pPr>
        <w:pStyle w:val="affffffff2"/>
        <w:tabs>
          <w:tab w:val="center" w:pos="4201"/>
          <w:tab w:val="right" w:leader="dot" w:pos="9298"/>
        </w:tabs>
        <w:ind w:firstLine="420"/>
        <w:rPr>
          <w:rFonts w:ascii="Times New Roman"/>
          <w:color w:val="000000"/>
          <w:szCs w:val="21"/>
        </w:rPr>
      </w:pPr>
      <w:r>
        <w:rPr>
          <w:rFonts w:ascii="Times New Roman"/>
        </w:rPr>
        <w:t>气体绝缘金属封闭开关设备</w:t>
      </w:r>
      <w:r>
        <w:rPr>
          <w:rFonts w:ascii="Times New Roman"/>
          <w:color w:val="000000"/>
          <w:szCs w:val="21"/>
        </w:rPr>
        <w:t>的</w:t>
      </w:r>
      <w:r>
        <w:rPr>
          <w:rFonts w:ascii="Times New Roman"/>
        </w:rPr>
        <w:t>SF</w:t>
      </w:r>
      <w:r>
        <w:rPr>
          <w:rFonts w:ascii="Times New Roman"/>
          <w:vertAlign w:val="subscript"/>
        </w:rPr>
        <w:t>6</w:t>
      </w:r>
      <w:r>
        <w:rPr>
          <w:rFonts w:ascii="Times New Roman"/>
        </w:rPr>
        <w:t>气体湿度及纯度</w:t>
      </w:r>
      <w:r>
        <w:rPr>
          <w:rFonts w:ascii="Times New Roman"/>
          <w:color w:val="000000"/>
          <w:szCs w:val="21"/>
        </w:rPr>
        <w:t>测量，按本</w:t>
      </w:r>
      <w:r>
        <w:rPr>
          <w:rFonts w:ascii="Times New Roman"/>
        </w:rPr>
        <w:t>文件</w:t>
      </w:r>
      <w:r>
        <w:rPr>
          <w:rFonts w:ascii="Times New Roman"/>
        </w:rPr>
        <w:t>10.12</w:t>
      </w:r>
      <w:r>
        <w:rPr>
          <w:rFonts w:ascii="Times New Roman"/>
        </w:rPr>
        <w:t>的规定执行。</w:t>
      </w:r>
    </w:p>
    <w:p w14:paraId="51CC09DD" w14:textId="77777777" w:rsidR="00DC3EA5" w:rsidRDefault="00000000">
      <w:pPr>
        <w:pStyle w:val="a7"/>
        <w:ind w:left="0"/>
        <w:outlineLvl w:val="1"/>
        <w:rPr>
          <w:rFonts w:ascii="Times New Roman"/>
        </w:rPr>
      </w:pPr>
      <w:bookmarkStart w:id="252" w:name="_Toc14171"/>
      <w:bookmarkStart w:id="253" w:name="_Toc28914"/>
      <w:bookmarkStart w:id="254" w:name="_Toc151477252"/>
      <w:r>
        <w:rPr>
          <w:rFonts w:ascii="Times New Roman"/>
        </w:rPr>
        <w:t>密封性试验</w:t>
      </w:r>
      <w:bookmarkEnd w:id="252"/>
      <w:bookmarkEnd w:id="253"/>
      <w:bookmarkEnd w:id="254"/>
    </w:p>
    <w:p w14:paraId="1BA3522E" w14:textId="77777777" w:rsidR="00DC3EA5" w:rsidRDefault="00000000">
      <w:pPr>
        <w:pStyle w:val="affffffff2"/>
        <w:tabs>
          <w:tab w:val="center" w:pos="4201"/>
          <w:tab w:val="right" w:leader="dot" w:pos="9298"/>
        </w:tabs>
        <w:ind w:left="420" w:firstLineChars="0" w:firstLine="0"/>
        <w:rPr>
          <w:rFonts w:ascii="Times New Roman"/>
          <w:szCs w:val="22"/>
        </w:rPr>
      </w:pPr>
      <w:r>
        <w:rPr>
          <w:rFonts w:ascii="Times New Roman"/>
        </w:rPr>
        <w:t>气体绝缘金属封闭开关设备</w:t>
      </w:r>
      <w:r>
        <w:rPr>
          <w:rFonts w:ascii="Times New Roman"/>
          <w:color w:val="000000"/>
          <w:szCs w:val="21"/>
        </w:rPr>
        <w:t>的</w:t>
      </w:r>
      <w:r>
        <w:rPr>
          <w:rFonts w:ascii="Times New Roman"/>
        </w:rPr>
        <w:t>密封性试验</w:t>
      </w:r>
      <w:r>
        <w:rPr>
          <w:rFonts w:ascii="Times New Roman"/>
          <w:color w:val="000000"/>
          <w:szCs w:val="21"/>
        </w:rPr>
        <w:t>，按本</w:t>
      </w:r>
      <w:r>
        <w:rPr>
          <w:rFonts w:ascii="Times New Roman"/>
        </w:rPr>
        <w:t>文件</w:t>
      </w:r>
      <w:r>
        <w:rPr>
          <w:rFonts w:ascii="Times New Roman"/>
        </w:rPr>
        <w:t>10.13</w:t>
      </w:r>
      <w:r>
        <w:rPr>
          <w:rFonts w:ascii="Times New Roman"/>
        </w:rPr>
        <w:t>的规定执行。</w:t>
      </w:r>
    </w:p>
    <w:p w14:paraId="639481F4" w14:textId="77777777" w:rsidR="00DC3EA5" w:rsidRDefault="00000000">
      <w:pPr>
        <w:pStyle w:val="a7"/>
        <w:ind w:left="0"/>
        <w:outlineLvl w:val="1"/>
        <w:rPr>
          <w:rFonts w:ascii="Times New Roman"/>
        </w:rPr>
      </w:pPr>
      <w:bookmarkStart w:id="255" w:name="_Toc17686"/>
      <w:bookmarkStart w:id="256" w:name="_Toc151477253"/>
      <w:bookmarkStart w:id="257" w:name="_Toc10798"/>
      <w:r>
        <w:rPr>
          <w:rFonts w:ascii="Times New Roman"/>
        </w:rPr>
        <w:t>气体密度继电器等表计检查</w:t>
      </w:r>
      <w:bookmarkEnd w:id="255"/>
      <w:bookmarkEnd w:id="256"/>
      <w:bookmarkEnd w:id="257"/>
    </w:p>
    <w:p w14:paraId="534A6646" w14:textId="77777777" w:rsidR="00DC3EA5" w:rsidRDefault="00000000">
      <w:pPr>
        <w:pStyle w:val="affffffff2"/>
        <w:tabs>
          <w:tab w:val="center" w:pos="4201"/>
          <w:tab w:val="right" w:leader="dot" w:pos="9298"/>
        </w:tabs>
        <w:ind w:firstLineChars="0"/>
        <w:rPr>
          <w:rFonts w:ascii="Times New Roman"/>
          <w:szCs w:val="22"/>
        </w:rPr>
      </w:pPr>
      <w:r>
        <w:rPr>
          <w:rFonts w:ascii="Times New Roman"/>
        </w:rPr>
        <w:t>气体绝缘金属封闭开关设备</w:t>
      </w:r>
      <w:r>
        <w:rPr>
          <w:rFonts w:ascii="Times New Roman"/>
          <w:color w:val="000000"/>
          <w:szCs w:val="22"/>
        </w:rPr>
        <w:t>的</w:t>
      </w:r>
      <w:r>
        <w:rPr>
          <w:rFonts w:ascii="Times New Roman"/>
          <w:szCs w:val="22"/>
        </w:rPr>
        <w:t>气体密度继电器、压力表及压力动作阀的检查，</w:t>
      </w:r>
      <w:r>
        <w:rPr>
          <w:rFonts w:ascii="Times New Roman"/>
          <w:color w:val="000000"/>
          <w:szCs w:val="21"/>
        </w:rPr>
        <w:t>按本</w:t>
      </w:r>
      <w:r>
        <w:rPr>
          <w:rFonts w:ascii="Times New Roman"/>
        </w:rPr>
        <w:t>文件</w:t>
      </w:r>
      <w:r>
        <w:rPr>
          <w:rFonts w:ascii="Times New Roman"/>
        </w:rPr>
        <w:t>10.14</w:t>
      </w:r>
      <w:r>
        <w:rPr>
          <w:rFonts w:ascii="Times New Roman"/>
        </w:rPr>
        <w:t>的规定执行。</w:t>
      </w:r>
    </w:p>
    <w:p w14:paraId="68427633" w14:textId="77777777" w:rsidR="00DC3EA5" w:rsidRDefault="00000000">
      <w:pPr>
        <w:pStyle w:val="a7"/>
        <w:ind w:left="0"/>
        <w:outlineLvl w:val="1"/>
        <w:rPr>
          <w:rFonts w:ascii="Times New Roman"/>
        </w:rPr>
      </w:pPr>
      <w:bookmarkStart w:id="258" w:name="_Toc151477254"/>
      <w:bookmarkStart w:id="259" w:name="_Toc32013"/>
      <w:bookmarkStart w:id="260" w:name="_Toc10426"/>
      <w:r>
        <w:rPr>
          <w:rFonts w:ascii="Times New Roman"/>
        </w:rPr>
        <w:t>组合电器内各元件的试验</w:t>
      </w:r>
      <w:bookmarkEnd w:id="258"/>
      <w:bookmarkEnd w:id="259"/>
      <w:bookmarkEnd w:id="260"/>
    </w:p>
    <w:p w14:paraId="58BD7C82" w14:textId="77777777" w:rsidR="00DC3EA5" w:rsidRDefault="00000000">
      <w:pPr>
        <w:ind w:firstLineChars="200" w:firstLine="420"/>
        <w:rPr>
          <w:szCs w:val="22"/>
        </w:rPr>
      </w:pPr>
      <w:r>
        <w:t>气体绝缘金属封闭开关设备</w:t>
      </w:r>
      <w:r>
        <w:rPr>
          <w:color w:val="000000"/>
          <w:kern w:val="0"/>
        </w:rPr>
        <w:t>内的各元件</w:t>
      </w:r>
      <w:r>
        <w:t>包括断路器、隔离开关、负荷开关、接地开关、避雷器、互感器、套管和母线等，所对应的试验分别按本文件相应章节</w:t>
      </w:r>
      <w:r>
        <w:rPr>
          <w:rFonts w:hint="eastAsia"/>
        </w:rPr>
        <w:t>及</w:t>
      </w:r>
      <w:r>
        <w:rPr>
          <w:szCs w:val="21"/>
        </w:rPr>
        <w:t>GB 50150—2016</w:t>
      </w:r>
      <w:r>
        <w:t>的有关规定执</w:t>
      </w:r>
      <w:r>
        <w:rPr>
          <w:szCs w:val="22"/>
        </w:rPr>
        <w:t>行。</w:t>
      </w:r>
    </w:p>
    <w:p w14:paraId="785E7C56" w14:textId="77777777" w:rsidR="00DC3EA5" w:rsidRDefault="00000000">
      <w:pPr>
        <w:pStyle w:val="a6"/>
        <w:outlineLvl w:val="0"/>
        <w:rPr>
          <w:rFonts w:ascii="Times New Roman"/>
        </w:rPr>
      </w:pPr>
      <w:bookmarkStart w:id="261" w:name="_Toc151477255"/>
      <w:bookmarkStart w:id="262" w:name="_Toc6078"/>
      <w:r>
        <w:rPr>
          <w:rFonts w:ascii="Times New Roman"/>
        </w:rPr>
        <w:t>套管</w:t>
      </w:r>
      <w:bookmarkEnd w:id="261"/>
      <w:bookmarkEnd w:id="262"/>
    </w:p>
    <w:p w14:paraId="5BD4EBC6" w14:textId="77777777" w:rsidR="00DC3EA5" w:rsidRDefault="00000000">
      <w:pPr>
        <w:pStyle w:val="a7"/>
        <w:ind w:left="0"/>
        <w:outlineLvl w:val="1"/>
        <w:rPr>
          <w:rFonts w:ascii="Times New Roman"/>
        </w:rPr>
      </w:pPr>
      <w:bookmarkStart w:id="263" w:name="_Toc31635"/>
      <w:bookmarkStart w:id="264" w:name="_Toc151477256"/>
      <w:bookmarkStart w:id="265" w:name="_Toc15201"/>
      <w:r>
        <w:rPr>
          <w:rFonts w:ascii="Times New Roman"/>
        </w:rPr>
        <w:t>试验项目</w:t>
      </w:r>
      <w:bookmarkEnd w:id="263"/>
      <w:bookmarkEnd w:id="264"/>
      <w:bookmarkEnd w:id="265"/>
    </w:p>
    <w:p w14:paraId="1265E093" w14:textId="77777777" w:rsidR="00DC3EA5" w:rsidRDefault="00000000">
      <w:pPr>
        <w:pStyle w:val="affffffff2"/>
        <w:tabs>
          <w:tab w:val="center" w:pos="4201"/>
          <w:tab w:val="right" w:leader="dot" w:pos="9298"/>
        </w:tabs>
        <w:ind w:firstLine="420"/>
        <w:rPr>
          <w:rFonts w:ascii="Times New Roman"/>
        </w:rPr>
      </w:pPr>
      <w:r>
        <w:rPr>
          <w:rFonts w:ascii="Times New Roman"/>
        </w:rPr>
        <w:t>套管的试验项目，应包括下列内容：</w:t>
      </w:r>
    </w:p>
    <w:p w14:paraId="6965327A" w14:textId="77777777" w:rsidR="00DC3EA5" w:rsidRDefault="00000000">
      <w:pPr>
        <w:pStyle w:val="-8"/>
        <w:numPr>
          <w:ilvl w:val="1"/>
          <w:numId w:val="91"/>
        </w:numPr>
        <w:ind w:leftChars="200" w:left="840" w:hangingChars="200" w:hanging="420"/>
        <w:rPr>
          <w:rFonts w:ascii="Times New Roman" w:hAnsi="Times New Roman" w:cs="Times New Roman"/>
        </w:rPr>
      </w:pPr>
      <w:r>
        <w:rPr>
          <w:rFonts w:ascii="Times New Roman" w:hAnsi="Times New Roman" w:cs="Times New Roman"/>
        </w:rPr>
        <w:t>绝缘电阻测量；</w:t>
      </w:r>
    </w:p>
    <w:p w14:paraId="6A4E72AC" w14:textId="77777777" w:rsidR="00DC3EA5" w:rsidRDefault="00000000">
      <w:pPr>
        <w:pStyle w:val="-8"/>
        <w:numPr>
          <w:ilvl w:val="1"/>
          <w:numId w:val="91"/>
        </w:numPr>
        <w:ind w:leftChars="200" w:left="840" w:hangingChars="200" w:hanging="420"/>
        <w:rPr>
          <w:rFonts w:ascii="Times New Roman" w:hAnsi="Times New Roman" w:cs="Times New Roman"/>
        </w:rPr>
      </w:pPr>
      <w:r>
        <w:rPr>
          <w:rFonts w:ascii="Times New Roman" w:hAnsi="Times New Roman" w:cs="Times New Roman"/>
          <w:szCs w:val="20"/>
        </w:rPr>
        <w:t>10kV</w:t>
      </w:r>
      <w:r>
        <w:rPr>
          <w:rFonts w:ascii="Times New Roman" w:hAnsi="Times New Roman" w:cs="Times New Roman"/>
          <w:szCs w:val="20"/>
        </w:rPr>
        <w:t>电压下</w:t>
      </w:r>
      <w:r>
        <w:rPr>
          <w:rFonts w:ascii="Times New Roman" w:hAnsi="Times New Roman" w:cs="Times New Roman"/>
        </w:rPr>
        <w:t>套管的介质损耗因数</w:t>
      </w:r>
      <w:r>
        <w:rPr>
          <w:rFonts w:ascii="Times New Roman" w:hAnsi="Times New Roman" w:cs="Times New Roman"/>
        </w:rPr>
        <w:t>tanδ</w:t>
      </w:r>
      <w:r>
        <w:rPr>
          <w:rFonts w:ascii="Times New Roman" w:hAnsi="Times New Roman" w:cs="Times New Roman"/>
        </w:rPr>
        <w:t>和电容值测量；</w:t>
      </w:r>
    </w:p>
    <w:p w14:paraId="5E921017" w14:textId="77777777" w:rsidR="00DC3EA5" w:rsidRDefault="00000000">
      <w:pPr>
        <w:pStyle w:val="-8"/>
        <w:numPr>
          <w:ilvl w:val="1"/>
          <w:numId w:val="91"/>
        </w:numPr>
        <w:ind w:leftChars="200" w:left="840" w:hangingChars="200" w:hanging="420"/>
        <w:rPr>
          <w:rFonts w:ascii="Times New Roman" w:hAnsi="Times New Roman" w:cs="Times New Roman"/>
        </w:rPr>
      </w:pPr>
      <w:r>
        <w:rPr>
          <w:rFonts w:ascii="Times New Roman" w:hAnsi="Times New Roman" w:cs="Times New Roman"/>
        </w:rPr>
        <w:t>交流耐压试验；</w:t>
      </w:r>
    </w:p>
    <w:p w14:paraId="248039DE" w14:textId="77777777" w:rsidR="00DC3EA5" w:rsidRDefault="00000000">
      <w:pPr>
        <w:numPr>
          <w:ilvl w:val="1"/>
          <w:numId w:val="91"/>
        </w:numPr>
        <w:rPr>
          <w:szCs w:val="21"/>
        </w:rPr>
      </w:pPr>
      <w:r>
        <w:rPr>
          <w:szCs w:val="21"/>
        </w:rPr>
        <w:t>试验抽头对地的</w:t>
      </w:r>
      <w:r>
        <w:rPr>
          <w:szCs w:val="21"/>
        </w:rPr>
        <w:t>tanδ</w:t>
      </w:r>
      <w:r>
        <w:rPr>
          <w:szCs w:val="21"/>
        </w:rPr>
        <w:t>测量。</w:t>
      </w:r>
    </w:p>
    <w:p w14:paraId="6638C89F" w14:textId="77777777" w:rsidR="00DC3EA5" w:rsidRDefault="00000000">
      <w:pPr>
        <w:pStyle w:val="a7"/>
        <w:ind w:left="0"/>
        <w:outlineLvl w:val="1"/>
        <w:rPr>
          <w:rFonts w:ascii="Times New Roman"/>
        </w:rPr>
      </w:pPr>
      <w:bookmarkStart w:id="266" w:name="_Toc18561"/>
      <w:bookmarkStart w:id="267" w:name="_Toc357"/>
      <w:bookmarkStart w:id="268" w:name="_Toc151477257"/>
      <w:r>
        <w:rPr>
          <w:rFonts w:ascii="Times New Roman"/>
        </w:rPr>
        <w:t>绝缘电阻</w:t>
      </w:r>
      <w:bookmarkEnd w:id="266"/>
      <w:r>
        <w:rPr>
          <w:rFonts w:ascii="Times New Roman"/>
        </w:rPr>
        <w:t>测量</w:t>
      </w:r>
      <w:bookmarkEnd w:id="267"/>
      <w:bookmarkEnd w:id="268"/>
    </w:p>
    <w:p w14:paraId="2B7566D6" w14:textId="77777777" w:rsidR="00DC3EA5" w:rsidRDefault="00000000">
      <w:pPr>
        <w:pStyle w:val="affffffff2"/>
        <w:tabs>
          <w:tab w:val="center" w:pos="4201"/>
          <w:tab w:val="right" w:leader="dot" w:pos="9298"/>
        </w:tabs>
        <w:ind w:firstLine="420"/>
        <w:rPr>
          <w:rFonts w:ascii="Times New Roman"/>
        </w:rPr>
      </w:pPr>
      <w:r>
        <w:rPr>
          <w:rFonts w:ascii="Times New Roman"/>
        </w:rPr>
        <w:t>套管的绝缘电阻测量，应符合下列规定：</w:t>
      </w:r>
    </w:p>
    <w:p w14:paraId="51F6E8DF" w14:textId="77777777" w:rsidR="00DC3EA5" w:rsidRDefault="00000000">
      <w:pPr>
        <w:pStyle w:val="-8"/>
        <w:numPr>
          <w:ilvl w:val="1"/>
          <w:numId w:val="92"/>
        </w:numPr>
        <w:ind w:leftChars="200" w:left="840" w:hangingChars="200" w:hanging="420"/>
        <w:rPr>
          <w:rFonts w:ascii="Times New Roman" w:hAnsi="Times New Roman" w:cs="Times New Roman"/>
        </w:rPr>
      </w:pPr>
      <w:r>
        <w:rPr>
          <w:rFonts w:ascii="Times New Roman" w:hAnsi="Times New Roman" w:cs="Times New Roman"/>
        </w:rPr>
        <w:t>应测量主绝缘及末屏对法兰的绝缘电阻，测量末屏对法兰的绝缘电阻应使用</w:t>
      </w:r>
      <w:r>
        <w:rPr>
          <w:rFonts w:ascii="Times New Roman" w:hAnsi="Times New Roman" w:cs="Times New Roman"/>
        </w:rPr>
        <w:t>2500 V</w:t>
      </w:r>
      <w:r>
        <w:rPr>
          <w:rFonts w:ascii="Times New Roman" w:hAnsi="Times New Roman" w:cs="Times New Roman"/>
        </w:rPr>
        <w:t>绝缘电阻表；</w:t>
      </w:r>
    </w:p>
    <w:p w14:paraId="085097A5" w14:textId="77777777" w:rsidR="00DC3EA5" w:rsidRDefault="00000000">
      <w:pPr>
        <w:pStyle w:val="-8"/>
        <w:numPr>
          <w:ilvl w:val="1"/>
          <w:numId w:val="92"/>
        </w:numPr>
        <w:ind w:leftChars="200" w:left="840" w:hangingChars="200" w:hanging="420"/>
        <w:rPr>
          <w:rFonts w:ascii="Times New Roman" w:hAnsi="Times New Roman" w:cs="Times New Roman"/>
        </w:rPr>
      </w:pPr>
      <w:r>
        <w:rPr>
          <w:rFonts w:ascii="Times New Roman" w:hAnsi="Times New Roman" w:cs="Times New Roman"/>
        </w:rPr>
        <w:t>套管主绝缘电阻值不应低于产品出厂值的</w:t>
      </w:r>
      <w:r>
        <w:rPr>
          <w:rFonts w:ascii="Times New Roman" w:hAnsi="Times New Roman" w:cs="Times New Roman"/>
        </w:rPr>
        <w:t>70%</w:t>
      </w:r>
      <w:r>
        <w:rPr>
          <w:rFonts w:ascii="Times New Roman" w:hAnsi="Times New Roman" w:cs="Times New Roman"/>
        </w:rPr>
        <w:t>或不低于</w:t>
      </w:r>
      <w:r>
        <w:rPr>
          <w:rFonts w:ascii="Times New Roman" w:hAnsi="Times New Roman" w:cs="Times New Roman"/>
        </w:rPr>
        <w:t>10000 MΩ</w:t>
      </w:r>
      <w:r>
        <w:rPr>
          <w:rFonts w:ascii="Times New Roman" w:hAnsi="Times New Roman" w:cs="Times New Roman"/>
        </w:rPr>
        <w:t>；</w:t>
      </w:r>
    </w:p>
    <w:p w14:paraId="16D6463F" w14:textId="77777777" w:rsidR="00DC3EA5" w:rsidRDefault="00000000">
      <w:pPr>
        <w:pStyle w:val="-8"/>
        <w:numPr>
          <w:ilvl w:val="1"/>
          <w:numId w:val="92"/>
        </w:numPr>
        <w:ind w:leftChars="200" w:left="840" w:hangingChars="200" w:hanging="420"/>
        <w:rPr>
          <w:rFonts w:ascii="Times New Roman" w:hAnsi="Times New Roman" w:cs="Times New Roman"/>
        </w:rPr>
      </w:pPr>
      <w:r>
        <w:rPr>
          <w:rFonts w:ascii="Times New Roman" w:hAnsi="Times New Roman" w:cs="Times New Roman"/>
        </w:rPr>
        <w:t>末屏绝缘电阻值不宜小于</w:t>
      </w:r>
      <w:r>
        <w:rPr>
          <w:rFonts w:ascii="Times New Roman" w:hAnsi="Times New Roman" w:cs="Times New Roman"/>
        </w:rPr>
        <w:t>1000 MΩ</w:t>
      </w:r>
      <w:r>
        <w:rPr>
          <w:rFonts w:ascii="Times New Roman" w:hAnsi="Times New Roman" w:cs="Times New Roman"/>
        </w:rPr>
        <w:t>。</w:t>
      </w:r>
      <w:r>
        <w:rPr>
          <w:rFonts w:ascii="Times New Roman" w:hAnsi="Times New Roman" w:cs="Times New Roman"/>
        </w:rPr>
        <w:t xml:space="preserve"> </w:t>
      </w:r>
    </w:p>
    <w:p w14:paraId="3551A64B" w14:textId="77777777" w:rsidR="00DC3EA5" w:rsidRDefault="00000000">
      <w:pPr>
        <w:pStyle w:val="a7"/>
        <w:ind w:left="0"/>
        <w:outlineLvl w:val="1"/>
        <w:rPr>
          <w:rFonts w:ascii="Times New Roman"/>
        </w:rPr>
      </w:pPr>
      <w:bookmarkStart w:id="269" w:name="_Toc20530"/>
      <w:bookmarkStart w:id="270" w:name="_Toc151477258"/>
      <w:bookmarkStart w:id="271" w:name="_Toc32627"/>
      <w:r>
        <w:rPr>
          <w:rFonts w:ascii="Times New Roman"/>
          <w:szCs w:val="20"/>
        </w:rPr>
        <w:lastRenderedPageBreak/>
        <w:t>10kV</w:t>
      </w:r>
      <w:r>
        <w:rPr>
          <w:rFonts w:ascii="Times New Roman"/>
          <w:szCs w:val="20"/>
        </w:rPr>
        <w:t>电压下</w:t>
      </w:r>
      <w:r>
        <w:rPr>
          <w:rFonts w:ascii="Times New Roman"/>
        </w:rPr>
        <w:t>套管的介质损耗因数</w:t>
      </w:r>
      <w:r>
        <w:rPr>
          <w:rFonts w:ascii="Times New Roman"/>
        </w:rPr>
        <w:t>tanδ</w:t>
      </w:r>
      <w:r>
        <w:rPr>
          <w:rFonts w:ascii="Times New Roman"/>
        </w:rPr>
        <w:t>和电容值测量</w:t>
      </w:r>
      <w:bookmarkEnd w:id="269"/>
      <w:bookmarkEnd w:id="270"/>
      <w:bookmarkEnd w:id="271"/>
    </w:p>
    <w:p w14:paraId="1865690F" w14:textId="77777777" w:rsidR="00DC3EA5" w:rsidRDefault="00000000">
      <w:pPr>
        <w:pStyle w:val="affffffff2"/>
        <w:tabs>
          <w:tab w:val="center" w:pos="4201"/>
          <w:tab w:val="right" w:leader="dot" w:pos="9298"/>
        </w:tabs>
        <w:ind w:firstLine="420"/>
        <w:rPr>
          <w:rFonts w:ascii="Times New Roman"/>
        </w:rPr>
      </w:pPr>
      <w:r>
        <w:rPr>
          <w:rFonts w:ascii="Times New Roman"/>
        </w:rPr>
        <w:t>介质损耗因数</w:t>
      </w:r>
      <w:r>
        <w:rPr>
          <w:rFonts w:ascii="Times New Roman"/>
        </w:rPr>
        <w:t>tanδ</w:t>
      </w:r>
      <w:r>
        <w:rPr>
          <w:rFonts w:ascii="Times New Roman"/>
        </w:rPr>
        <w:t>和电容值测量，应符合下列规定：</w:t>
      </w:r>
      <w:r>
        <w:rPr>
          <w:rFonts w:ascii="Times New Roman"/>
        </w:rPr>
        <w:t xml:space="preserve"> </w:t>
      </w:r>
    </w:p>
    <w:p w14:paraId="057C27D0" w14:textId="77777777" w:rsidR="00DC3EA5" w:rsidRDefault="00000000">
      <w:pPr>
        <w:pStyle w:val="-8"/>
        <w:numPr>
          <w:ilvl w:val="1"/>
          <w:numId w:val="93"/>
        </w:numPr>
        <w:ind w:leftChars="200" w:left="840" w:hangingChars="200" w:hanging="420"/>
        <w:rPr>
          <w:rFonts w:ascii="Times New Roman" w:hAnsi="Times New Roman" w:cs="Times New Roman"/>
        </w:rPr>
      </w:pPr>
      <w:r>
        <w:rPr>
          <w:rFonts w:ascii="Times New Roman" w:hAnsi="Times New Roman" w:cs="Times New Roman"/>
        </w:rPr>
        <w:t>试验频率应为套管运行的额定频率，其偏差不大于</w:t>
      </w:r>
      <w:r>
        <w:rPr>
          <w:rFonts w:ascii="Times New Roman" w:hAnsi="Times New Roman" w:cs="Times New Roman"/>
        </w:rPr>
        <w:t>±5%</w:t>
      </w:r>
      <w:r>
        <w:rPr>
          <w:rFonts w:ascii="Times New Roman" w:hAnsi="Times New Roman" w:cs="Times New Roman"/>
        </w:rPr>
        <w:t>；</w:t>
      </w:r>
    </w:p>
    <w:p w14:paraId="0710155B" w14:textId="77777777" w:rsidR="00DC3EA5" w:rsidRDefault="00000000">
      <w:pPr>
        <w:pStyle w:val="-8"/>
        <w:numPr>
          <w:ilvl w:val="1"/>
          <w:numId w:val="93"/>
        </w:numPr>
        <w:ind w:leftChars="200" w:left="840" w:hangingChars="200" w:hanging="420"/>
        <w:rPr>
          <w:rFonts w:ascii="Times New Roman" w:hAnsi="Times New Roman" w:cs="Times New Roman"/>
        </w:rPr>
      </w:pPr>
      <w:r>
        <w:rPr>
          <w:rFonts w:ascii="Times New Roman" w:hAnsi="Times New Roman" w:cs="Times New Roman"/>
        </w:rPr>
        <w:t>交接试验可在</w:t>
      </w:r>
      <w:r>
        <w:rPr>
          <w:rFonts w:ascii="Times New Roman" w:hAnsi="Times New Roman" w:cs="Times New Roman"/>
        </w:rPr>
        <w:t>50 Hz</w:t>
      </w:r>
      <w:r>
        <w:rPr>
          <w:rFonts w:ascii="Times New Roman" w:hAnsi="Times New Roman" w:cs="Times New Roman"/>
        </w:rPr>
        <w:t>频率下进行，电压幅值无需修正，但应记录试验频率；</w:t>
      </w:r>
    </w:p>
    <w:p w14:paraId="0F0FFFC8" w14:textId="77777777" w:rsidR="00DC3EA5" w:rsidRDefault="00000000">
      <w:pPr>
        <w:pStyle w:val="-8"/>
        <w:numPr>
          <w:ilvl w:val="1"/>
          <w:numId w:val="93"/>
        </w:numPr>
        <w:ind w:leftChars="200" w:left="840" w:hangingChars="200" w:hanging="420"/>
        <w:rPr>
          <w:rFonts w:ascii="Times New Roman" w:hAnsi="Times New Roman" w:cs="Times New Roman"/>
        </w:rPr>
      </w:pPr>
      <w:r>
        <w:rPr>
          <w:rFonts w:ascii="Times New Roman" w:hAnsi="Times New Roman" w:cs="Times New Roman"/>
        </w:rPr>
        <w:t>套管主绝缘介质损耗因数</w:t>
      </w:r>
      <w:r>
        <w:rPr>
          <w:rFonts w:ascii="Times New Roman" w:hAnsi="Times New Roman" w:cs="Times New Roman"/>
        </w:rPr>
        <w:t>tanδ</w:t>
      </w:r>
      <w:r>
        <w:rPr>
          <w:rFonts w:ascii="Times New Roman" w:hAnsi="Times New Roman" w:cs="Times New Roman"/>
        </w:rPr>
        <w:t>（</w:t>
      </w:r>
      <w:r>
        <w:rPr>
          <w:rFonts w:ascii="Times New Roman" w:hAnsi="Times New Roman" w:cs="Times New Roman"/>
        </w:rPr>
        <w:t>%</w:t>
      </w:r>
      <w:r>
        <w:rPr>
          <w:rFonts w:ascii="Times New Roman" w:hAnsi="Times New Roman" w:cs="Times New Roman"/>
        </w:rPr>
        <w:t>）应符合表</w:t>
      </w:r>
      <w:r>
        <w:rPr>
          <w:rFonts w:ascii="Times New Roman" w:hAnsi="Times New Roman" w:cs="Times New Roman"/>
        </w:rPr>
        <w:t>4</w:t>
      </w:r>
      <w:r>
        <w:rPr>
          <w:rFonts w:ascii="Times New Roman" w:hAnsi="Times New Roman" w:cs="Times New Roman"/>
        </w:rPr>
        <w:t>的规定；</w:t>
      </w:r>
    </w:p>
    <w:p w14:paraId="73D44636" w14:textId="77777777" w:rsidR="00DC3EA5" w:rsidRDefault="00000000">
      <w:pPr>
        <w:pStyle w:val="-8"/>
        <w:numPr>
          <w:ilvl w:val="1"/>
          <w:numId w:val="93"/>
        </w:numPr>
        <w:ind w:leftChars="200" w:left="840" w:hangingChars="200" w:hanging="420"/>
        <w:rPr>
          <w:rFonts w:ascii="Times New Roman" w:hAnsi="Times New Roman" w:cs="Times New Roman"/>
        </w:rPr>
      </w:pPr>
      <w:r>
        <w:rPr>
          <w:rFonts w:ascii="Times New Roman" w:hAnsi="Times New Roman" w:cs="Times New Roman"/>
        </w:rPr>
        <w:t>实测电容值与产品铭牌数值或出厂试验值相比，其偏差应小于</w:t>
      </w:r>
      <w:r>
        <w:rPr>
          <w:rFonts w:ascii="Times New Roman" w:hAnsi="Times New Roman" w:cs="Times New Roman"/>
        </w:rPr>
        <w:t>5%</w:t>
      </w:r>
      <w:r>
        <w:rPr>
          <w:rFonts w:ascii="Times New Roman" w:hAnsi="Times New Roman" w:cs="Times New Roman"/>
        </w:rPr>
        <w:t>。</w:t>
      </w:r>
    </w:p>
    <w:p w14:paraId="31968C6A" w14:textId="77777777" w:rsidR="00DC3EA5" w:rsidRDefault="00000000">
      <w:pPr>
        <w:pStyle w:val="-0"/>
        <w:numPr>
          <w:ilvl w:val="0"/>
          <w:numId w:val="56"/>
        </w:numPr>
        <w:rPr>
          <w:rFonts w:ascii="Times New Roman" w:hAnsi="Times New Roman" w:cs="Times New Roman"/>
        </w:rPr>
      </w:pPr>
      <w:r>
        <w:rPr>
          <w:rFonts w:ascii="Times New Roman" w:hAnsi="Times New Roman" w:cs="Times New Roman"/>
        </w:rPr>
        <w:t>套管主绝缘介质损耗因数</w:t>
      </w:r>
      <w:r>
        <w:rPr>
          <w:rFonts w:ascii="Times New Roman" w:hAnsi="Times New Roman" w:cs="Times New Roman"/>
        </w:rPr>
        <w:t>tanδ</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DC3EA5" w14:paraId="1B41E497" w14:textId="77777777">
        <w:trPr>
          <w:trHeight w:val="358"/>
          <w:jc w:val="center"/>
        </w:trPr>
        <w:tc>
          <w:tcPr>
            <w:tcW w:w="4779" w:type="dxa"/>
            <w:tcBorders>
              <w:top w:val="single" w:sz="12" w:space="0" w:color="000000"/>
              <w:left w:val="single" w:sz="12" w:space="0" w:color="000000"/>
              <w:bottom w:val="single" w:sz="12" w:space="0" w:color="000000"/>
              <w:right w:val="single" w:sz="4" w:space="0" w:color="000000"/>
            </w:tcBorders>
            <w:vAlign w:val="center"/>
          </w:tcPr>
          <w:p w14:paraId="77958FA7" w14:textId="77777777" w:rsidR="00DC3EA5" w:rsidRDefault="00000000">
            <w:pPr>
              <w:pStyle w:val="-7"/>
              <w:rPr>
                <w:rFonts w:ascii="Times New Roman" w:hAnsi="Times New Roman"/>
              </w:rPr>
            </w:pPr>
            <w:r>
              <w:rPr>
                <w:rFonts w:ascii="Times New Roman" w:hAnsi="Times New Roman"/>
              </w:rPr>
              <w:t>套管主绝缘类型</w:t>
            </w:r>
          </w:p>
        </w:tc>
        <w:tc>
          <w:tcPr>
            <w:tcW w:w="4780" w:type="dxa"/>
            <w:tcBorders>
              <w:top w:val="single" w:sz="12" w:space="0" w:color="000000"/>
              <w:left w:val="single" w:sz="4" w:space="0" w:color="000000"/>
              <w:bottom w:val="single" w:sz="12" w:space="0" w:color="000000"/>
              <w:right w:val="single" w:sz="12" w:space="0" w:color="000000"/>
            </w:tcBorders>
            <w:vAlign w:val="center"/>
          </w:tcPr>
          <w:p w14:paraId="3FB4EF02" w14:textId="77777777" w:rsidR="00DC3EA5" w:rsidRDefault="00000000">
            <w:pPr>
              <w:pStyle w:val="-7"/>
              <w:rPr>
                <w:rFonts w:ascii="Times New Roman" w:hAnsi="Times New Roman"/>
              </w:rPr>
            </w:pPr>
            <w:r>
              <w:rPr>
                <w:rFonts w:ascii="Times New Roman" w:hAnsi="Times New Roman"/>
              </w:rPr>
              <w:t>tanδ</w:t>
            </w:r>
            <w:r>
              <w:rPr>
                <w:rFonts w:ascii="Times New Roman" w:hAnsi="Times New Roman"/>
              </w:rPr>
              <w:t>（</w:t>
            </w:r>
            <w:r>
              <w:rPr>
                <w:rFonts w:ascii="Times New Roman" w:hAnsi="Times New Roman"/>
              </w:rPr>
              <w:t>%</w:t>
            </w:r>
            <w:r>
              <w:rPr>
                <w:rFonts w:ascii="Times New Roman" w:hAnsi="Times New Roman"/>
              </w:rPr>
              <w:t>）最大值</w:t>
            </w:r>
          </w:p>
        </w:tc>
      </w:tr>
      <w:tr w:rsidR="00DC3EA5" w14:paraId="4C7BAAA8" w14:textId="77777777">
        <w:trPr>
          <w:trHeight w:val="340"/>
          <w:jc w:val="center"/>
        </w:trPr>
        <w:tc>
          <w:tcPr>
            <w:tcW w:w="4779" w:type="dxa"/>
            <w:tcBorders>
              <w:top w:val="single" w:sz="12" w:space="0" w:color="000000"/>
              <w:left w:val="single" w:sz="12" w:space="0" w:color="000000"/>
              <w:right w:val="single" w:sz="4" w:space="0" w:color="000000"/>
            </w:tcBorders>
            <w:vAlign w:val="center"/>
          </w:tcPr>
          <w:p w14:paraId="49EB258F" w14:textId="77777777" w:rsidR="00DC3EA5" w:rsidRDefault="00000000">
            <w:pPr>
              <w:jc w:val="center"/>
              <w:rPr>
                <w:sz w:val="18"/>
                <w:szCs w:val="18"/>
              </w:rPr>
            </w:pPr>
            <w:r>
              <w:rPr>
                <w:sz w:val="18"/>
                <w:szCs w:val="18"/>
              </w:rPr>
              <w:t>油浸纸</w:t>
            </w:r>
          </w:p>
        </w:tc>
        <w:tc>
          <w:tcPr>
            <w:tcW w:w="4780" w:type="dxa"/>
            <w:tcBorders>
              <w:top w:val="single" w:sz="12" w:space="0" w:color="000000"/>
              <w:left w:val="single" w:sz="4" w:space="0" w:color="000000"/>
              <w:right w:val="single" w:sz="12" w:space="0" w:color="000000"/>
            </w:tcBorders>
            <w:vAlign w:val="center"/>
          </w:tcPr>
          <w:p w14:paraId="5D0CBB56" w14:textId="77777777" w:rsidR="00DC3EA5" w:rsidRDefault="00000000">
            <w:pPr>
              <w:jc w:val="center"/>
              <w:rPr>
                <w:sz w:val="18"/>
                <w:szCs w:val="18"/>
              </w:rPr>
            </w:pPr>
            <w:r>
              <w:rPr>
                <w:sz w:val="18"/>
                <w:szCs w:val="18"/>
              </w:rPr>
              <w:t>0.7</w:t>
            </w:r>
          </w:p>
        </w:tc>
      </w:tr>
      <w:tr w:rsidR="00DC3EA5" w14:paraId="05AD0C29" w14:textId="77777777">
        <w:trPr>
          <w:trHeight w:val="340"/>
          <w:jc w:val="center"/>
        </w:trPr>
        <w:tc>
          <w:tcPr>
            <w:tcW w:w="4779" w:type="dxa"/>
            <w:tcBorders>
              <w:left w:val="single" w:sz="12" w:space="0" w:color="000000"/>
              <w:right w:val="single" w:sz="4" w:space="0" w:color="000000"/>
            </w:tcBorders>
            <w:vAlign w:val="center"/>
          </w:tcPr>
          <w:p w14:paraId="3F4ED5C2" w14:textId="77777777" w:rsidR="00DC3EA5" w:rsidRDefault="00000000">
            <w:pPr>
              <w:jc w:val="center"/>
              <w:rPr>
                <w:sz w:val="18"/>
                <w:szCs w:val="18"/>
              </w:rPr>
            </w:pPr>
            <w:r>
              <w:rPr>
                <w:sz w:val="18"/>
                <w:szCs w:val="18"/>
              </w:rPr>
              <w:t>胶浸纸</w:t>
            </w:r>
          </w:p>
        </w:tc>
        <w:tc>
          <w:tcPr>
            <w:tcW w:w="4780" w:type="dxa"/>
            <w:tcBorders>
              <w:left w:val="single" w:sz="4" w:space="0" w:color="000000"/>
              <w:right w:val="single" w:sz="12" w:space="0" w:color="000000"/>
            </w:tcBorders>
            <w:vAlign w:val="center"/>
          </w:tcPr>
          <w:p w14:paraId="4E6B4E70" w14:textId="77777777" w:rsidR="00DC3EA5" w:rsidRDefault="00000000">
            <w:pPr>
              <w:jc w:val="center"/>
              <w:rPr>
                <w:sz w:val="18"/>
                <w:szCs w:val="18"/>
              </w:rPr>
            </w:pPr>
            <w:r>
              <w:rPr>
                <w:sz w:val="18"/>
                <w:szCs w:val="18"/>
              </w:rPr>
              <w:t>0.7</w:t>
            </w:r>
          </w:p>
        </w:tc>
      </w:tr>
      <w:tr w:rsidR="00DC3EA5" w14:paraId="2016A35D" w14:textId="77777777">
        <w:trPr>
          <w:trHeight w:val="340"/>
          <w:jc w:val="center"/>
        </w:trPr>
        <w:tc>
          <w:tcPr>
            <w:tcW w:w="4779" w:type="dxa"/>
            <w:tcBorders>
              <w:left w:val="single" w:sz="12" w:space="0" w:color="000000"/>
              <w:right w:val="single" w:sz="4" w:space="0" w:color="000000"/>
            </w:tcBorders>
            <w:vAlign w:val="center"/>
          </w:tcPr>
          <w:p w14:paraId="5AB842D5" w14:textId="77777777" w:rsidR="00DC3EA5" w:rsidRDefault="00000000">
            <w:pPr>
              <w:jc w:val="center"/>
              <w:rPr>
                <w:sz w:val="18"/>
                <w:szCs w:val="18"/>
              </w:rPr>
            </w:pPr>
            <w:r>
              <w:rPr>
                <w:sz w:val="18"/>
                <w:szCs w:val="18"/>
              </w:rPr>
              <w:t>胶粘纸</w:t>
            </w:r>
          </w:p>
        </w:tc>
        <w:tc>
          <w:tcPr>
            <w:tcW w:w="4780" w:type="dxa"/>
            <w:tcBorders>
              <w:left w:val="single" w:sz="4" w:space="0" w:color="000000"/>
              <w:right w:val="single" w:sz="12" w:space="0" w:color="000000"/>
            </w:tcBorders>
            <w:vAlign w:val="center"/>
          </w:tcPr>
          <w:p w14:paraId="69E8B939" w14:textId="77777777" w:rsidR="00DC3EA5" w:rsidRDefault="00000000">
            <w:pPr>
              <w:jc w:val="center"/>
              <w:rPr>
                <w:sz w:val="18"/>
                <w:szCs w:val="18"/>
              </w:rPr>
            </w:pPr>
            <w:r>
              <w:rPr>
                <w:sz w:val="18"/>
                <w:szCs w:val="18"/>
              </w:rPr>
              <w:t>1.0</w:t>
            </w:r>
            <w:r>
              <w:rPr>
                <w:sz w:val="18"/>
                <w:szCs w:val="18"/>
              </w:rPr>
              <w:t>（当电压</w:t>
            </w:r>
            <w:r>
              <w:rPr>
                <w:sz w:val="18"/>
                <w:szCs w:val="18"/>
              </w:rPr>
              <w:t>35 kV</w:t>
            </w:r>
            <w:r>
              <w:rPr>
                <w:sz w:val="18"/>
                <w:szCs w:val="18"/>
              </w:rPr>
              <w:t>及以下时为</w:t>
            </w:r>
            <w:r>
              <w:rPr>
                <w:sz w:val="18"/>
                <w:szCs w:val="18"/>
              </w:rPr>
              <w:t>1.5</w:t>
            </w:r>
            <w:r>
              <w:rPr>
                <w:sz w:val="18"/>
                <w:szCs w:val="18"/>
              </w:rPr>
              <w:t>）</w:t>
            </w:r>
          </w:p>
        </w:tc>
      </w:tr>
      <w:tr w:rsidR="00DC3EA5" w14:paraId="6D04A5E5" w14:textId="77777777">
        <w:trPr>
          <w:trHeight w:val="340"/>
          <w:jc w:val="center"/>
        </w:trPr>
        <w:tc>
          <w:tcPr>
            <w:tcW w:w="4779" w:type="dxa"/>
            <w:tcBorders>
              <w:left w:val="single" w:sz="12" w:space="0" w:color="000000"/>
              <w:right w:val="single" w:sz="4" w:space="0" w:color="000000"/>
            </w:tcBorders>
            <w:vAlign w:val="center"/>
          </w:tcPr>
          <w:p w14:paraId="1F85F098" w14:textId="77777777" w:rsidR="00DC3EA5" w:rsidRDefault="00000000">
            <w:pPr>
              <w:jc w:val="center"/>
              <w:rPr>
                <w:sz w:val="18"/>
                <w:szCs w:val="18"/>
              </w:rPr>
            </w:pPr>
            <w:r>
              <w:rPr>
                <w:sz w:val="18"/>
                <w:szCs w:val="18"/>
              </w:rPr>
              <w:t>气体浸渍膜</w:t>
            </w:r>
          </w:p>
        </w:tc>
        <w:tc>
          <w:tcPr>
            <w:tcW w:w="4780" w:type="dxa"/>
            <w:tcBorders>
              <w:left w:val="single" w:sz="4" w:space="0" w:color="000000"/>
              <w:right w:val="single" w:sz="12" w:space="0" w:color="000000"/>
            </w:tcBorders>
            <w:vAlign w:val="center"/>
          </w:tcPr>
          <w:p w14:paraId="706BA778" w14:textId="77777777" w:rsidR="00DC3EA5" w:rsidRDefault="00000000">
            <w:pPr>
              <w:jc w:val="center"/>
              <w:rPr>
                <w:sz w:val="18"/>
                <w:szCs w:val="18"/>
              </w:rPr>
            </w:pPr>
            <w:r>
              <w:rPr>
                <w:sz w:val="18"/>
                <w:szCs w:val="18"/>
              </w:rPr>
              <w:t>0.5</w:t>
            </w:r>
          </w:p>
        </w:tc>
      </w:tr>
      <w:tr w:rsidR="00DC3EA5" w14:paraId="6A6D64E9" w14:textId="77777777">
        <w:trPr>
          <w:trHeight w:val="340"/>
          <w:jc w:val="center"/>
        </w:trPr>
        <w:tc>
          <w:tcPr>
            <w:tcW w:w="4779" w:type="dxa"/>
            <w:tcBorders>
              <w:left w:val="single" w:sz="12" w:space="0" w:color="000000"/>
              <w:right w:val="single" w:sz="4" w:space="0" w:color="000000"/>
            </w:tcBorders>
            <w:vAlign w:val="center"/>
          </w:tcPr>
          <w:p w14:paraId="665D3368" w14:textId="77777777" w:rsidR="00DC3EA5" w:rsidRDefault="00000000">
            <w:pPr>
              <w:jc w:val="center"/>
              <w:rPr>
                <w:sz w:val="18"/>
                <w:szCs w:val="18"/>
              </w:rPr>
            </w:pPr>
            <w:r>
              <w:rPr>
                <w:sz w:val="18"/>
                <w:szCs w:val="18"/>
              </w:rPr>
              <w:t>气体绝缘电容式</w:t>
            </w:r>
          </w:p>
        </w:tc>
        <w:tc>
          <w:tcPr>
            <w:tcW w:w="4780" w:type="dxa"/>
            <w:tcBorders>
              <w:left w:val="single" w:sz="4" w:space="0" w:color="000000"/>
              <w:right w:val="single" w:sz="12" w:space="0" w:color="000000"/>
            </w:tcBorders>
            <w:vAlign w:val="center"/>
          </w:tcPr>
          <w:p w14:paraId="208A084E" w14:textId="77777777" w:rsidR="00DC3EA5" w:rsidRDefault="00000000">
            <w:pPr>
              <w:jc w:val="center"/>
              <w:rPr>
                <w:sz w:val="18"/>
                <w:szCs w:val="18"/>
              </w:rPr>
            </w:pPr>
            <w:r>
              <w:rPr>
                <w:sz w:val="18"/>
                <w:szCs w:val="18"/>
              </w:rPr>
              <w:t>0.5</w:t>
            </w:r>
          </w:p>
        </w:tc>
      </w:tr>
      <w:tr w:rsidR="00DC3EA5" w14:paraId="5AD72A97" w14:textId="77777777">
        <w:trPr>
          <w:trHeight w:val="340"/>
          <w:jc w:val="center"/>
        </w:trPr>
        <w:tc>
          <w:tcPr>
            <w:tcW w:w="4779" w:type="dxa"/>
            <w:tcBorders>
              <w:left w:val="single" w:sz="12" w:space="0" w:color="000000"/>
              <w:right w:val="single" w:sz="4" w:space="0" w:color="000000"/>
            </w:tcBorders>
            <w:vAlign w:val="center"/>
          </w:tcPr>
          <w:p w14:paraId="01C530EA" w14:textId="77777777" w:rsidR="00DC3EA5" w:rsidRDefault="00000000">
            <w:pPr>
              <w:jc w:val="center"/>
              <w:rPr>
                <w:sz w:val="18"/>
                <w:szCs w:val="18"/>
              </w:rPr>
            </w:pPr>
            <w:r>
              <w:rPr>
                <w:sz w:val="18"/>
                <w:szCs w:val="18"/>
              </w:rPr>
              <w:t>浇铸或模塑树脂</w:t>
            </w:r>
          </w:p>
        </w:tc>
        <w:tc>
          <w:tcPr>
            <w:tcW w:w="4780" w:type="dxa"/>
            <w:tcBorders>
              <w:left w:val="single" w:sz="4" w:space="0" w:color="000000"/>
              <w:right w:val="single" w:sz="12" w:space="0" w:color="000000"/>
            </w:tcBorders>
            <w:vAlign w:val="center"/>
          </w:tcPr>
          <w:p w14:paraId="04F23490" w14:textId="77777777" w:rsidR="00DC3EA5" w:rsidRDefault="00000000">
            <w:pPr>
              <w:jc w:val="center"/>
              <w:rPr>
                <w:sz w:val="18"/>
                <w:szCs w:val="18"/>
              </w:rPr>
            </w:pPr>
            <w:r>
              <w:rPr>
                <w:sz w:val="18"/>
                <w:szCs w:val="18"/>
              </w:rPr>
              <w:t>1.5</w:t>
            </w:r>
            <w:r>
              <w:rPr>
                <w:sz w:val="18"/>
                <w:szCs w:val="18"/>
              </w:rPr>
              <w:t>（当电压</w:t>
            </w:r>
            <w:r>
              <w:rPr>
                <w:sz w:val="18"/>
                <w:szCs w:val="18"/>
              </w:rPr>
              <w:t>35 kV</w:t>
            </w:r>
            <w:r>
              <w:rPr>
                <w:sz w:val="18"/>
                <w:szCs w:val="18"/>
              </w:rPr>
              <w:t>及以下时为</w:t>
            </w:r>
            <w:r>
              <w:rPr>
                <w:sz w:val="18"/>
                <w:szCs w:val="18"/>
              </w:rPr>
              <w:t>1.5</w:t>
            </w:r>
            <w:r>
              <w:rPr>
                <w:sz w:val="18"/>
                <w:szCs w:val="18"/>
              </w:rPr>
              <w:t>）</w:t>
            </w:r>
          </w:p>
        </w:tc>
      </w:tr>
      <w:tr w:rsidR="00DC3EA5" w14:paraId="41F6FE8C" w14:textId="77777777">
        <w:trPr>
          <w:trHeight w:val="340"/>
          <w:jc w:val="center"/>
        </w:trPr>
        <w:tc>
          <w:tcPr>
            <w:tcW w:w="4779" w:type="dxa"/>
            <w:tcBorders>
              <w:left w:val="single" w:sz="12" w:space="0" w:color="000000"/>
              <w:right w:val="single" w:sz="4" w:space="0" w:color="000000"/>
            </w:tcBorders>
            <w:vAlign w:val="center"/>
          </w:tcPr>
          <w:p w14:paraId="0B89CF1F" w14:textId="77777777" w:rsidR="00DC3EA5" w:rsidRDefault="00000000">
            <w:pPr>
              <w:jc w:val="center"/>
              <w:rPr>
                <w:sz w:val="18"/>
                <w:szCs w:val="18"/>
              </w:rPr>
            </w:pPr>
            <w:r>
              <w:rPr>
                <w:sz w:val="18"/>
                <w:szCs w:val="18"/>
              </w:rPr>
              <w:t>油脂覆膜</w:t>
            </w:r>
          </w:p>
        </w:tc>
        <w:tc>
          <w:tcPr>
            <w:tcW w:w="4780" w:type="dxa"/>
            <w:tcBorders>
              <w:left w:val="single" w:sz="4" w:space="0" w:color="000000"/>
              <w:right w:val="single" w:sz="12" w:space="0" w:color="000000"/>
            </w:tcBorders>
            <w:vAlign w:val="center"/>
          </w:tcPr>
          <w:p w14:paraId="40DB8E83" w14:textId="77777777" w:rsidR="00DC3EA5" w:rsidRDefault="00000000">
            <w:pPr>
              <w:jc w:val="center"/>
              <w:rPr>
                <w:sz w:val="18"/>
                <w:szCs w:val="18"/>
              </w:rPr>
            </w:pPr>
            <w:r>
              <w:rPr>
                <w:sz w:val="18"/>
                <w:szCs w:val="18"/>
              </w:rPr>
              <w:t>0.5</w:t>
            </w:r>
          </w:p>
        </w:tc>
      </w:tr>
      <w:tr w:rsidR="00DC3EA5" w14:paraId="6C298FA6" w14:textId="77777777">
        <w:trPr>
          <w:trHeight w:val="340"/>
          <w:jc w:val="center"/>
        </w:trPr>
        <w:tc>
          <w:tcPr>
            <w:tcW w:w="4779" w:type="dxa"/>
            <w:tcBorders>
              <w:left w:val="single" w:sz="12" w:space="0" w:color="000000"/>
              <w:right w:val="single" w:sz="4" w:space="0" w:color="000000"/>
            </w:tcBorders>
            <w:vAlign w:val="center"/>
          </w:tcPr>
          <w:p w14:paraId="3B901B39" w14:textId="77777777" w:rsidR="00DC3EA5" w:rsidRDefault="00000000">
            <w:pPr>
              <w:jc w:val="center"/>
              <w:rPr>
                <w:sz w:val="18"/>
                <w:szCs w:val="18"/>
              </w:rPr>
            </w:pPr>
            <w:r>
              <w:rPr>
                <w:sz w:val="18"/>
                <w:szCs w:val="18"/>
              </w:rPr>
              <w:t>胶浸纤维</w:t>
            </w:r>
          </w:p>
        </w:tc>
        <w:tc>
          <w:tcPr>
            <w:tcW w:w="4780" w:type="dxa"/>
            <w:tcBorders>
              <w:left w:val="single" w:sz="4" w:space="0" w:color="000000"/>
              <w:right w:val="single" w:sz="12" w:space="0" w:color="000000"/>
            </w:tcBorders>
            <w:vAlign w:val="center"/>
          </w:tcPr>
          <w:p w14:paraId="227135CC" w14:textId="77777777" w:rsidR="00DC3EA5" w:rsidRDefault="00000000">
            <w:pPr>
              <w:jc w:val="center"/>
              <w:rPr>
                <w:sz w:val="18"/>
                <w:szCs w:val="18"/>
              </w:rPr>
            </w:pPr>
            <w:r>
              <w:rPr>
                <w:sz w:val="18"/>
                <w:szCs w:val="18"/>
              </w:rPr>
              <w:t>0.5</w:t>
            </w:r>
          </w:p>
        </w:tc>
      </w:tr>
      <w:tr w:rsidR="00DC3EA5" w14:paraId="68D8D4EF" w14:textId="77777777">
        <w:trPr>
          <w:trHeight w:val="340"/>
          <w:jc w:val="center"/>
        </w:trPr>
        <w:tc>
          <w:tcPr>
            <w:tcW w:w="4779" w:type="dxa"/>
            <w:tcBorders>
              <w:left w:val="single" w:sz="12" w:space="0" w:color="000000"/>
              <w:bottom w:val="single" w:sz="12" w:space="0" w:color="000000"/>
              <w:right w:val="single" w:sz="4" w:space="0" w:color="000000"/>
            </w:tcBorders>
            <w:vAlign w:val="center"/>
          </w:tcPr>
          <w:p w14:paraId="1178CA85" w14:textId="77777777" w:rsidR="00DC3EA5" w:rsidRDefault="00000000">
            <w:pPr>
              <w:jc w:val="center"/>
              <w:rPr>
                <w:sz w:val="18"/>
                <w:szCs w:val="18"/>
              </w:rPr>
            </w:pPr>
            <w:r>
              <w:rPr>
                <w:sz w:val="18"/>
                <w:szCs w:val="18"/>
              </w:rPr>
              <w:t>组合</w:t>
            </w:r>
          </w:p>
        </w:tc>
        <w:tc>
          <w:tcPr>
            <w:tcW w:w="4780" w:type="dxa"/>
            <w:tcBorders>
              <w:left w:val="single" w:sz="4" w:space="0" w:color="000000"/>
              <w:bottom w:val="single" w:sz="12" w:space="0" w:color="000000"/>
              <w:right w:val="single" w:sz="12" w:space="0" w:color="000000"/>
            </w:tcBorders>
            <w:vAlign w:val="center"/>
          </w:tcPr>
          <w:p w14:paraId="61FE037E" w14:textId="77777777" w:rsidR="00DC3EA5" w:rsidRDefault="00000000">
            <w:pPr>
              <w:jc w:val="center"/>
              <w:rPr>
                <w:sz w:val="18"/>
                <w:szCs w:val="18"/>
              </w:rPr>
            </w:pPr>
            <w:r>
              <w:rPr>
                <w:sz w:val="18"/>
                <w:szCs w:val="18"/>
              </w:rPr>
              <w:t>由供需双方商定</w:t>
            </w:r>
          </w:p>
        </w:tc>
      </w:tr>
    </w:tbl>
    <w:p w14:paraId="616DBEB2" w14:textId="77777777" w:rsidR="00DC3EA5" w:rsidRDefault="00000000">
      <w:pPr>
        <w:pStyle w:val="a7"/>
        <w:ind w:left="0"/>
        <w:outlineLvl w:val="1"/>
        <w:rPr>
          <w:rFonts w:ascii="Times New Roman"/>
        </w:rPr>
      </w:pPr>
      <w:bookmarkStart w:id="272" w:name="_Toc9843"/>
      <w:bookmarkStart w:id="273" w:name="_Toc602"/>
      <w:bookmarkStart w:id="274" w:name="_Toc151477259"/>
      <w:r>
        <w:rPr>
          <w:rFonts w:ascii="Times New Roman"/>
        </w:rPr>
        <w:t>交流耐压试验</w:t>
      </w:r>
      <w:bookmarkEnd w:id="272"/>
      <w:bookmarkEnd w:id="273"/>
      <w:bookmarkEnd w:id="274"/>
    </w:p>
    <w:p w14:paraId="4A39A5C1" w14:textId="77777777" w:rsidR="00DC3EA5" w:rsidRDefault="00000000">
      <w:pPr>
        <w:pStyle w:val="affffffff2"/>
        <w:tabs>
          <w:tab w:val="center" w:pos="4201"/>
          <w:tab w:val="right" w:leader="dot" w:pos="9298"/>
        </w:tabs>
        <w:ind w:firstLine="420"/>
        <w:rPr>
          <w:rFonts w:ascii="Times New Roman"/>
        </w:rPr>
      </w:pPr>
      <w:r>
        <w:rPr>
          <w:rFonts w:ascii="Times New Roman"/>
        </w:rPr>
        <w:t>套管的交流耐压试验，应符合下列规定：</w:t>
      </w:r>
    </w:p>
    <w:p w14:paraId="2098B6F4" w14:textId="77777777" w:rsidR="00DC3EA5" w:rsidRDefault="00000000">
      <w:pPr>
        <w:pStyle w:val="-8"/>
        <w:numPr>
          <w:ilvl w:val="1"/>
          <w:numId w:val="94"/>
        </w:numPr>
        <w:ind w:leftChars="200" w:left="840" w:hangingChars="200" w:hanging="420"/>
        <w:rPr>
          <w:rFonts w:ascii="Times New Roman" w:hAnsi="Times New Roman" w:cs="Times New Roman"/>
        </w:rPr>
      </w:pPr>
      <w:r>
        <w:rPr>
          <w:rFonts w:ascii="Times New Roman" w:hAnsi="Times New Roman" w:cs="Times New Roman"/>
        </w:rPr>
        <w:t>试验电压为出厂试验电压的</w:t>
      </w:r>
      <w:r>
        <w:rPr>
          <w:rFonts w:ascii="Times New Roman" w:hAnsi="Times New Roman" w:cs="Times New Roman"/>
        </w:rPr>
        <w:t>80%</w:t>
      </w:r>
      <w:r>
        <w:rPr>
          <w:rFonts w:ascii="Times New Roman" w:hAnsi="Times New Roman" w:cs="Times New Roman"/>
        </w:rPr>
        <w:t>，并应符合</w:t>
      </w:r>
      <w:r>
        <w:rPr>
          <w:rFonts w:ascii="Times New Roman" w:hAnsi="Times New Roman" w:cs="Times New Roman"/>
        </w:rPr>
        <w:t>GB 50150—2016</w:t>
      </w:r>
      <w:r>
        <w:rPr>
          <w:rFonts w:ascii="Times New Roman" w:hAnsi="Times New Roman" w:cs="Times New Roman"/>
        </w:rPr>
        <w:t>的有关规定；</w:t>
      </w:r>
    </w:p>
    <w:p w14:paraId="1DAF8051" w14:textId="77777777" w:rsidR="00DC3EA5" w:rsidRDefault="00000000">
      <w:pPr>
        <w:pStyle w:val="-8"/>
        <w:numPr>
          <w:ilvl w:val="1"/>
          <w:numId w:val="94"/>
        </w:numPr>
        <w:ind w:leftChars="200" w:left="840" w:hangingChars="200" w:hanging="420"/>
        <w:rPr>
          <w:rFonts w:ascii="Times New Roman" w:hAnsi="Times New Roman" w:cs="Times New Roman"/>
        </w:rPr>
      </w:pPr>
      <w:r>
        <w:rPr>
          <w:rFonts w:ascii="Times New Roman" w:hAnsi="Times New Roman" w:cs="Times New Roman"/>
        </w:rPr>
        <w:t>无闪络及击穿现象；</w:t>
      </w:r>
    </w:p>
    <w:p w14:paraId="70DA5673" w14:textId="77777777" w:rsidR="00DC3EA5" w:rsidRDefault="00000000">
      <w:pPr>
        <w:pStyle w:val="-8"/>
        <w:numPr>
          <w:ilvl w:val="1"/>
          <w:numId w:val="94"/>
        </w:numPr>
        <w:ind w:leftChars="200" w:left="840" w:hangingChars="200" w:hanging="420"/>
        <w:rPr>
          <w:rFonts w:ascii="Times New Roman" w:hAnsi="Times New Roman" w:cs="Times New Roman"/>
        </w:rPr>
      </w:pPr>
      <w:r>
        <w:rPr>
          <w:rFonts w:ascii="Times New Roman" w:hAnsi="Times New Roman" w:cs="Times New Roman"/>
        </w:rPr>
        <w:t>穿墙套管、断路器套管、变压器套管、电抗器及消弧线圈套管，均可随母线或设备一起进行交流耐压试验；</w:t>
      </w:r>
    </w:p>
    <w:p w14:paraId="03336E5F" w14:textId="77777777" w:rsidR="00DC3EA5" w:rsidRDefault="00000000">
      <w:pPr>
        <w:pStyle w:val="-8"/>
        <w:numPr>
          <w:ilvl w:val="1"/>
          <w:numId w:val="94"/>
        </w:numPr>
        <w:ind w:leftChars="200" w:left="840" w:hangingChars="200" w:hanging="420"/>
        <w:rPr>
          <w:rFonts w:ascii="Times New Roman" w:hAnsi="Times New Roman" w:cs="Times New Roman"/>
        </w:rPr>
      </w:pPr>
      <w:r>
        <w:rPr>
          <w:rFonts w:ascii="Times New Roman" w:hAnsi="Times New Roman" w:cs="Times New Roman"/>
        </w:rPr>
        <w:t>套管末屏应能耐受工频电压</w:t>
      </w:r>
      <w:r>
        <w:rPr>
          <w:rFonts w:ascii="Times New Roman" w:hAnsi="Times New Roman" w:cs="Times New Roman"/>
        </w:rPr>
        <w:t>2 kV</w:t>
      </w:r>
      <w:r>
        <w:rPr>
          <w:rFonts w:ascii="Times New Roman" w:hAnsi="Times New Roman" w:cs="Times New Roman"/>
        </w:rPr>
        <w:t>，试验时间为</w:t>
      </w:r>
      <w:r>
        <w:rPr>
          <w:rFonts w:ascii="Times New Roman" w:hAnsi="Times New Roman" w:cs="Times New Roman"/>
        </w:rPr>
        <w:t>1 min</w:t>
      </w:r>
      <w:r>
        <w:rPr>
          <w:rFonts w:ascii="Times New Roman" w:hAnsi="Times New Roman" w:cs="Times New Roman"/>
        </w:rPr>
        <w:t>。</w:t>
      </w:r>
    </w:p>
    <w:p w14:paraId="671DD7E6" w14:textId="77777777" w:rsidR="00DC3EA5" w:rsidRDefault="00000000">
      <w:pPr>
        <w:pStyle w:val="a7"/>
        <w:ind w:left="0"/>
        <w:outlineLvl w:val="1"/>
        <w:rPr>
          <w:rFonts w:ascii="Times New Roman"/>
        </w:rPr>
      </w:pPr>
      <w:bookmarkStart w:id="275" w:name="_Toc29026"/>
      <w:r>
        <w:rPr>
          <w:rFonts w:ascii="Times New Roman"/>
        </w:rPr>
        <w:t>试验抽头对地的</w:t>
      </w:r>
      <w:r>
        <w:rPr>
          <w:rFonts w:ascii="Times New Roman"/>
        </w:rPr>
        <w:t>tanδ</w:t>
      </w:r>
      <w:r>
        <w:rPr>
          <w:rFonts w:ascii="Times New Roman"/>
        </w:rPr>
        <w:t>测量</w:t>
      </w:r>
      <w:bookmarkEnd w:id="275"/>
    </w:p>
    <w:p w14:paraId="7EF084E5" w14:textId="77777777" w:rsidR="00DC3EA5" w:rsidRDefault="00000000">
      <w:pPr>
        <w:pStyle w:val="affffffff2"/>
        <w:tabs>
          <w:tab w:val="center" w:pos="4201"/>
          <w:tab w:val="right" w:leader="dot" w:pos="9298"/>
        </w:tabs>
        <w:ind w:firstLine="420"/>
        <w:rPr>
          <w:rFonts w:ascii="Times New Roman"/>
        </w:rPr>
      </w:pPr>
      <w:r>
        <w:rPr>
          <w:rFonts w:ascii="Times New Roman"/>
        </w:rPr>
        <w:t>套管试验抽头对地的</w:t>
      </w:r>
      <w:r>
        <w:rPr>
          <w:rFonts w:ascii="Times New Roman"/>
        </w:rPr>
        <w:t>tanδ</w:t>
      </w:r>
      <w:r>
        <w:rPr>
          <w:rFonts w:ascii="Times New Roman"/>
        </w:rPr>
        <w:t>测量，应符合下列规定：</w:t>
      </w:r>
      <w:r>
        <w:rPr>
          <w:rFonts w:ascii="Times New Roman"/>
        </w:rPr>
        <w:t xml:space="preserve"> </w:t>
      </w:r>
    </w:p>
    <w:p w14:paraId="6C273D13" w14:textId="77777777" w:rsidR="00DC3EA5" w:rsidRDefault="00000000">
      <w:pPr>
        <w:pStyle w:val="-8"/>
        <w:numPr>
          <w:ilvl w:val="1"/>
          <w:numId w:val="95"/>
        </w:numPr>
        <w:ind w:firstLineChars="0"/>
        <w:rPr>
          <w:rFonts w:ascii="Times New Roman" w:hAnsi="Times New Roman" w:cs="Times New Roman"/>
        </w:rPr>
      </w:pPr>
      <w:r>
        <w:rPr>
          <w:rFonts w:ascii="Times New Roman" w:hAnsi="Times New Roman" w:cs="Times New Roman"/>
        </w:rPr>
        <w:t>当试验抽头对地绝缘电阻小于</w:t>
      </w:r>
      <w:r>
        <w:rPr>
          <w:rFonts w:ascii="Times New Roman" w:hAnsi="Times New Roman" w:cs="Times New Roman"/>
        </w:rPr>
        <w:t>1000 MΩ</w:t>
      </w:r>
      <w:r>
        <w:rPr>
          <w:rFonts w:ascii="Times New Roman" w:hAnsi="Times New Roman" w:cs="Times New Roman"/>
        </w:rPr>
        <w:t>时，应测量其介损值，不应大于</w:t>
      </w:r>
      <w:r>
        <w:rPr>
          <w:rFonts w:ascii="Times New Roman" w:hAnsi="Times New Roman" w:cs="Times New Roman"/>
        </w:rPr>
        <w:t>2%</w:t>
      </w:r>
      <w:r>
        <w:rPr>
          <w:rFonts w:ascii="Times New Roman" w:hAnsi="Times New Roman" w:cs="Times New Roman"/>
        </w:rPr>
        <w:t>。</w:t>
      </w:r>
    </w:p>
    <w:p w14:paraId="385EF3B8" w14:textId="77777777" w:rsidR="00DC3EA5" w:rsidRDefault="00000000">
      <w:pPr>
        <w:pStyle w:val="-8"/>
        <w:numPr>
          <w:ilvl w:val="1"/>
          <w:numId w:val="95"/>
        </w:numPr>
        <w:ind w:firstLineChars="0"/>
        <w:rPr>
          <w:rFonts w:ascii="Times New Roman" w:hAnsi="Times New Roman" w:cs="Times New Roman"/>
        </w:rPr>
      </w:pPr>
      <w:r>
        <w:rPr>
          <w:rFonts w:ascii="Times New Roman" w:hAnsi="Times New Roman" w:cs="Times New Roman"/>
        </w:rPr>
        <w:t>试验频率应为套管运行的额定频率，其偏差不大于</w:t>
      </w:r>
      <w:r>
        <w:rPr>
          <w:rFonts w:ascii="Times New Roman" w:hAnsi="Times New Roman" w:cs="Times New Roman"/>
        </w:rPr>
        <w:t>±5%</w:t>
      </w:r>
      <w:r>
        <w:rPr>
          <w:rFonts w:ascii="Times New Roman" w:hAnsi="Times New Roman" w:cs="Times New Roman"/>
        </w:rPr>
        <w:t>；</w:t>
      </w:r>
    </w:p>
    <w:p w14:paraId="2DB8B063" w14:textId="77777777" w:rsidR="00DC3EA5" w:rsidRDefault="00000000">
      <w:pPr>
        <w:pStyle w:val="-8"/>
        <w:numPr>
          <w:ilvl w:val="1"/>
          <w:numId w:val="95"/>
        </w:numPr>
        <w:ind w:firstLineChars="0"/>
        <w:rPr>
          <w:rFonts w:ascii="Times New Roman" w:hAnsi="Times New Roman" w:cs="Times New Roman"/>
        </w:rPr>
      </w:pPr>
      <w:r>
        <w:rPr>
          <w:rFonts w:ascii="Times New Roman" w:hAnsi="Times New Roman" w:cs="Times New Roman"/>
        </w:rPr>
        <w:t>交接试验可在</w:t>
      </w:r>
      <w:r>
        <w:rPr>
          <w:rFonts w:ascii="Times New Roman" w:hAnsi="Times New Roman" w:cs="Times New Roman"/>
        </w:rPr>
        <w:t>50 Hz</w:t>
      </w:r>
      <w:r>
        <w:rPr>
          <w:rFonts w:ascii="Times New Roman" w:hAnsi="Times New Roman" w:cs="Times New Roman"/>
        </w:rPr>
        <w:t>频率下进行，电压幅值无需修正，但应记录试验频率；</w:t>
      </w:r>
    </w:p>
    <w:p w14:paraId="215397F0" w14:textId="77777777" w:rsidR="00DC3EA5" w:rsidRDefault="00000000">
      <w:pPr>
        <w:pStyle w:val="-8"/>
        <w:numPr>
          <w:ilvl w:val="1"/>
          <w:numId w:val="95"/>
        </w:numPr>
        <w:ind w:firstLineChars="0"/>
        <w:rPr>
          <w:rFonts w:ascii="Times New Roman" w:hAnsi="Times New Roman" w:cs="Times New Roman"/>
        </w:rPr>
      </w:pPr>
      <w:r>
        <w:rPr>
          <w:rFonts w:ascii="Times New Roman" w:hAnsi="Times New Roman" w:cs="Times New Roman"/>
        </w:rPr>
        <w:t>测量试验抽头对地的</w:t>
      </w:r>
      <w:r>
        <w:rPr>
          <w:rFonts w:ascii="Times New Roman" w:hAnsi="Times New Roman" w:cs="Times New Roman"/>
        </w:rPr>
        <w:t>tanδ</w:t>
      </w:r>
      <w:r>
        <w:rPr>
          <w:rFonts w:ascii="Times New Roman" w:hAnsi="Times New Roman" w:cs="Times New Roman"/>
        </w:rPr>
        <w:t>时，试验电压为</w:t>
      </w:r>
      <w:r>
        <w:rPr>
          <w:rFonts w:ascii="Times New Roman" w:hAnsi="Times New Roman" w:cs="Times New Roman"/>
        </w:rPr>
        <w:t>2 kV</w:t>
      </w:r>
      <w:r>
        <w:rPr>
          <w:rFonts w:ascii="Times New Roman" w:hAnsi="Times New Roman" w:cs="Times New Roman"/>
        </w:rPr>
        <w:t>；</w:t>
      </w:r>
    </w:p>
    <w:p w14:paraId="1EF8A117" w14:textId="77777777" w:rsidR="00DC3EA5" w:rsidRDefault="00000000">
      <w:pPr>
        <w:pStyle w:val="-8"/>
        <w:numPr>
          <w:ilvl w:val="1"/>
          <w:numId w:val="95"/>
        </w:numPr>
        <w:ind w:firstLineChars="0"/>
        <w:rPr>
          <w:rFonts w:ascii="Times New Roman" w:hAnsi="Times New Roman" w:cs="Times New Roman"/>
        </w:rPr>
      </w:pPr>
      <w:r>
        <w:rPr>
          <w:rFonts w:ascii="Times New Roman" w:hAnsi="Times New Roman" w:cs="Times New Roman"/>
        </w:rPr>
        <w:t>试验抽头对地的</w:t>
      </w:r>
      <w:r>
        <w:rPr>
          <w:rFonts w:ascii="Times New Roman" w:hAnsi="Times New Roman" w:cs="Times New Roman"/>
        </w:rPr>
        <w:t>tanδ</w:t>
      </w:r>
      <w:r>
        <w:rPr>
          <w:rFonts w:ascii="Times New Roman" w:hAnsi="Times New Roman" w:cs="Times New Roman"/>
        </w:rPr>
        <w:t>应符合产品技术规范的要求。</w:t>
      </w:r>
    </w:p>
    <w:p w14:paraId="4348AD19" w14:textId="77777777" w:rsidR="00DC3EA5" w:rsidRDefault="00000000">
      <w:pPr>
        <w:pStyle w:val="a6"/>
        <w:outlineLvl w:val="0"/>
        <w:rPr>
          <w:rFonts w:ascii="Times New Roman"/>
        </w:rPr>
      </w:pPr>
      <w:bookmarkStart w:id="276" w:name="_Toc9837"/>
      <w:bookmarkStart w:id="277" w:name="_Toc151477262"/>
      <w:r>
        <w:rPr>
          <w:rFonts w:ascii="Times New Roman"/>
        </w:rPr>
        <w:t>避雷器</w:t>
      </w:r>
      <w:bookmarkEnd w:id="276"/>
      <w:bookmarkEnd w:id="277"/>
    </w:p>
    <w:p w14:paraId="56256555" w14:textId="77777777" w:rsidR="00DC3EA5" w:rsidRDefault="00000000">
      <w:pPr>
        <w:pStyle w:val="a7"/>
        <w:ind w:left="0"/>
        <w:outlineLvl w:val="1"/>
        <w:rPr>
          <w:rFonts w:ascii="Times New Roman"/>
        </w:rPr>
      </w:pPr>
      <w:bookmarkStart w:id="278" w:name="_Toc151477263"/>
      <w:bookmarkStart w:id="279" w:name="_Toc2890"/>
      <w:bookmarkStart w:id="280" w:name="_Toc2294"/>
      <w:r>
        <w:rPr>
          <w:rFonts w:ascii="Times New Roman"/>
        </w:rPr>
        <w:t>试验项目</w:t>
      </w:r>
      <w:bookmarkEnd w:id="278"/>
      <w:bookmarkEnd w:id="279"/>
      <w:bookmarkEnd w:id="280"/>
    </w:p>
    <w:p w14:paraId="73AD5221" w14:textId="77777777" w:rsidR="00DC3EA5" w:rsidRDefault="00000000">
      <w:pPr>
        <w:pStyle w:val="affffffff2"/>
        <w:tabs>
          <w:tab w:val="center" w:pos="4201"/>
          <w:tab w:val="right" w:leader="dot" w:pos="9298"/>
        </w:tabs>
        <w:ind w:firstLine="420"/>
        <w:rPr>
          <w:rFonts w:ascii="Times New Roman"/>
        </w:rPr>
      </w:pPr>
      <w:r>
        <w:rPr>
          <w:rFonts w:ascii="Times New Roman"/>
        </w:rPr>
        <w:t>避雷器的试验项目，应包括下列内容：</w:t>
      </w:r>
    </w:p>
    <w:p w14:paraId="5B34BD8A" w14:textId="77777777" w:rsidR="00DC3EA5" w:rsidRDefault="00000000">
      <w:pPr>
        <w:pStyle w:val="-8"/>
        <w:numPr>
          <w:ilvl w:val="1"/>
          <w:numId w:val="96"/>
        </w:numPr>
        <w:ind w:leftChars="200" w:left="840" w:hangingChars="200" w:hanging="420"/>
        <w:rPr>
          <w:rFonts w:ascii="Times New Roman" w:hAnsi="Times New Roman" w:cs="Times New Roman"/>
        </w:rPr>
      </w:pPr>
      <w:r>
        <w:rPr>
          <w:rFonts w:ascii="Times New Roman" w:hAnsi="Times New Roman" w:cs="Times New Roman"/>
        </w:rPr>
        <w:t>绝缘电阻测量；</w:t>
      </w:r>
    </w:p>
    <w:p w14:paraId="11583339" w14:textId="77777777" w:rsidR="00DC3EA5" w:rsidRDefault="00000000">
      <w:pPr>
        <w:pStyle w:val="-8"/>
        <w:numPr>
          <w:ilvl w:val="1"/>
          <w:numId w:val="96"/>
        </w:numPr>
        <w:ind w:leftChars="200" w:left="840" w:hangingChars="200" w:hanging="420"/>
        <w:rPr>
          <w:rFonts w:ascii="Times New Roman" w:hAnsi="Times New Roman" w:cs="Times New Roman"/>
        </w:rPr>
      </w:pPr>
      <w:r>
        <w:rPr>
          <w:rFonts w:ascii="Times New Roman" w:hAnsi="Times New Roman" w:cs="Times New Roman"/>
        </w:rPr>
        <w:t>直流参考电压和</w:t>
      </w:r>
      <w:r>
        <w:rPr>
          <w:rFonts w:ascii="Times New Roman" w:hAnsi="Times New Roman" w:cs="Times New Roman"/>
        </w:rPr>
        <w:t>0.75</w:t>
      </w:r>
      <w:r>
        <w:rPr>
          <w:rFonts w:ascii="Times New Roman" w:hAnsi="Times New Roman" w:cs="Times New Roman"/>
        </w:rPr>
        <w:t>倍直流参考电压下的泄漏电流测量；</w:t>
      </w:r>
    </w:p>
    <w:p w14:paraId="7FB1CE3F" w14:textId="77777777" w:rsidR="00DC3EA5" w:rsidRDefault="00000000">
      <w:pPr>
        <w:pStyle w:val="-8"/>
        <w:numPr>
          <w:ilvl w:val="1"/>
          <w:numId w:val="96"/>
        </w:numPr>
        <w:ind w:leftChars="200" w:left="840" w:hangingChars="200" w:hanging="420"/>
        <w:rPr>
          <w:rFonts w:ascii="Times New Roman" w:hAnsi="Times New Roman" w:cs="Times New Roman"/>
        </w:rPr>
      </w:pPr>
      <w:r>
        <w:rPr>
          <w:rFonts w:ascii="Times New Roman" w:hAnsi="Times New Roman" w:cs="Times New Roman"/>
        </w:rPr>
        <w:lastRenderedPageBreak/>
        <w:t>交流参考电压和持续电流测量；</w:t>
      </w:r>
    </w:p>
    <w:p w14:paraId="63423E19" w14:textId="77777777" w:rsidR="00DC3EA5" w:rsidRDefault="00000000">
      <w:pPr>
        <w:pStyle w:val="-8"/>
        <w:numPr>
          <w:ilvl w:val="1"/>
          <w:numId w:val="96"/>
        </w:numPr>
        <w:ind w:leftChars="200" w:left="840" w:hangingChars="200" w:hanging="420"/>
        <w:rPr>
          <w:rFonts w:ascii="Times New Roman" w:hAnsi="Times New Roman" w:cs="Times New Roman"/>
        </w:rPr>
      </w:pPr>
      <w:r>
        <w:rPr>
          <w:rFonts w:ascii="Times New Roman" w:hAnsi="Times New Roman" w:cs="Times New Roman"/>
        </w:rPr>
        <w:t>放电计数器动作情况及监视电流表指示检查。</w:t>
      </w:r>
    </w:p>
    <w:p w14:paraId="7F551E9E" w14:textId="77777777" w:rsidR="00DC3EA5" w:rsidRDefault="00000000">
      <w:pPr>
        <w:pStyle w:val="a7"/>
        <w:ind w:left="0"/>
        <w:outlineLvl w:val="1"/>
        <w:rPr>
          <w:rFonts w:ascii="Times New Roman"/>
        </w:rPr>
      </w:pPr>
      <w:bookmarkStart w:id="281" w:name="_Toc151477264"/>
      <w:bookmarkStart w:id="282" w:name="_Toc21195"/>
      <w:bookmarkStart w:id="283" w:name="_Toc27296"/>
      <w:r>
        <w:rPr>
          <w:rFonts w:ascii="Times New Roman"/>
        </w:rPr>
        <w:t>绝缘电阻测量</w:t>
      </w:r>
      <w:bookmarkEnd w:id="281"/>
      <w:bookmarkEnd w:id="282"/>
      <w:bookmarkEnd w:id="283"/>
    </w:p>
    <w:p w14:paraId="7F8495EC" w14:textId="77777777" w:rsidR="00DC3EA5" w:rsidRDefault="00000000">
      <w:pPr>
        <w:pStyle w:val="affffffff2"/>
        <w:tabs>
          <w:tab w:val="center" w:pos="4201"/>
          <w:tab w:val="right" w:leader="dot" w:pos="9298"/>
        </w:tabs>
        <w:ind w:firstLine="420"/>
        <w:rPr>
          <w:rFonts w:ascii="Times New Roman"/>
        </w:rPr>
      </w:pPr>
      <w:r>
        <w:rPr>
          <w:rFonts w:ascii="Times New Roman"/>
        </w:rPr>
        <w:t>避雷器的绝缘电阻测量，应符合下列规定：</w:t>
      </w:r>
    </w:p>
    <w:p w14:paraId="1C7868C3" w14:textId="77777777" w:rsidR="00DC3EA5" w:rsidRDefault="00000000">
      <w:pPr>
        <w:pStyle w:val="-8"/>
        <w:numPr>
          <w:ilvl w:val="1"/>
          <w:numId w:val="97"/>
        </w:numPr>
        <w:ind w:leftChars="200" w:left="840" w:hangingChars="200" w:hanging="420"/>
        <w:rPr>
          <w:rFonts w:ascii="Times New Roman" w:hAnsi="Times New Roman" w:cs="Times New Roman"/>
        </w:rPr>
      </w:pPr>
      <w:r>
        <w:rPr>
          <w:rFonts w:ascii="Times New Roman" w:hAnsi="Times New Roman" w:cs="Times New Roman"/>
        </w:rPr>
        <w:t>绝缘电阻测量包括避雷器本体和绝缘底座绝缘电阻测量；</w:t>
      </w:r>
    </w:p>
    <w:p w14:paraId="5257B537" w14:textId="77777777" w:rsidR="00DC3EA5" w:rsidRDefault="00000000">
      <w:pPr>
        <w:pStyle w:val="-8"/>
        <w:numPr>
          <w:ilvl w:val="1"/>
          <w:numId w:val="97"/>
        </w:numPr>
        <w:ind w:leftChars="200" w:left="840" w:hangingChars="200" w:hanging="420"/>
        <w:rPr>
          <w:rFonts w:ascii="Times New Roman" w:hAnsi="Times New Roman" w:cs="Times New Roman"/>
        </w:rPr>
      </w:pPr>
      <w:r>
        <w:rPr>
          <w:rFonts w:ascii="Times New Roman" w:hAnsi="Times New Roman" w:cs="Times New Roman"/>
        </w:rPr>
        <w:t>35 kV</w:t>
      </w:r>
      <w:r>
        <w:rPr>
          <w:rFonts w:ascii="Times New Roman" w:hAnsi="Times New Roman" w:cs="Times New Roman"/>
        </w:rPr>
        <w:t>以上，避雷器本体绝缘电阻测量宜采用</w:t>
      </w:r>
      <w:r>
        <w:rPr>
          <w:rFonts w:ascii="Times New Roman" w:hAnsi="Times New Roman" w:cs="Times New Roman"/>
        </w:rPr>
        <w:t>5000 V</w:t>
      </w:r>
      <w:r>
        <w:rPr>
          <w:rFonts w:ascii="Times New Roman" w:hAnsi="Times New Roman" w:cs="Times New Roman"/>
        </w:rPr>
        <w:t>兆欧表，绝缘电阻不低于</w:t>
      </w:r>
      <w:r>
        <w:rPr>
          <w:rFonts w:ascii="Times New Roman" w:hAnsi="Times New Roman" w:cs="Times New Roman"/>
        </w:rPr>
        <w:t>2500 MΩ</w:t>
      </w:r>
      <w:r>
        <w:rPr>
          <w:rFonts w:ascii="Times New Roman" w:hAnsi="Times New Roman" w:cs="Times New Roman"/>
        </w:rPr>
        <w:t>；</w:t>
      </w:r>
    </w:p>
    <w:p w14:paraId="09CFD78D" w14:textId="77777777" w:rsidR="00DC3EA5" w:rsidRDefault="00000000">
      <w:pPr>
        <w:pStyle w:val="-8"/>
        <w:numPr>
          <w:ilvl w:val="1"/>
          <w:numId w:val="97"/>
        </w:numPr>
        <w:ind w:leftChars="200" w:left="840" w:hangingChars="200" w:hanging="420"/>
        <w:rPr>
          <w:rFonts w:ascii="Times New Roman" w:hAnsi="Times New Roman" w:cs="Times New Roman"/>
        </w:rPr>
      </w:pPr>
      <w:r>
        <w:rPr>
          <w:rFonts w:ascii="Times New Roman" w:hAnsi="Times New Roman" w:cs="Times New Roman"/>
        </w:rPr>
        <w:t>35 kV</w:t>
      </w:r>
      <w:r>
        <w:rPr>
          <w:rFonts w:ascii="Times New Roman" w:hAnsi="Times New Roman" w:cs="Times New Roman"/>
        </w:rPr>
        <w:t>及以下，避雷器本体绝缘电阻测量宜采用</w:t>
      </w:r>
      <w:r>
        <w:rPr>
          <w:rFonts w:ascii="Times New Roman" w:hAnsi="Times New Roman" w:cs="Times New Roman"/>
        </w:rPr>
        <w:t>2500 V</w:t>
      </w:r>
      <w:r>
        <w:rPr>
          <w:rFonts w:ascii="Times New Roman" w:hAnsi="Times New Roman" w:cs="Times New Roman"/>
        </w:rPr>
        <w:t>兆欧表，绝缘电阻不低于</w:t>
      </w:r>
      <w:r>
        <w:rPr>
          <w:rFonts w:ascii="Times New Roman" w:hAnsi="Times New Roman" w:cs="Times New Roman"/>
        </w:rPr>
        <w:t>1000 MΩ</w:t>
      </w:r>
      <w:r>
        <w:rPr>
          <w:rFonts w:ascii="Times New Roman" w:hAnsi="Times New Roman" w:cs="Times New Roman"/>
        </w:rPr>
        <w:t>；</w:t>
      </w:r>
    </w:p>
    <w:p w14:paraId="058CE42A" w14:textId="77777777" w:rsidR="00DC3EA5" w:rsidRDefault="00000000">
      <w:pPr>
        <w:pStyle w:val="-8"/>
        <w:numPr>
          <w:ilvl w:val="1"/>
          <w:numId w:val="97"/>
        </w:numPr>
        <w:ind w:leftChars="200" w:left="840" w:hangingChars="200" w:hanging="420"/>
        <w:rPr>
          <w:rFonts w:ascii="Times New Roman" w:hAnsi="Times New Roman" w:cs="Times New Roman"/>
        </w:rPr>
      </w:pPr>
      <w:r>
        <w:rPr>
          <w:rFonts w:ascii="Times New Roman" w:hAnsi="Times New Roman" w:cs="Times New Roman"/>
        </w:rPr>
        <w:t>避雷器底座绝缘电阻测量采用</w:t>
      </w:r>
      <w:r>
        <w:rPr>
          <w:rFonts w:ascii="Times New Roman" w:hAnsi="Times New Roman" w:cs="Times New Roman"/>
        </w:rPr>
        <w:t>2500 V</w:t>
      </w:r>
      <w:r>
        <w:rPr>
          <w:rFonts w:ascii="Times New Roman" w:hAnsi="Times New Roman" w:cs="Times New Roman"/>
        </w:rPr>
        <w:t>绝缘电阻表进行测量，绝缘电阻应不小于</w:t>
      </w:r>
      <w:r>
        <w:rPr>
          <w:rFonts w:ascii="Times New Roman" w:hAnsi="Times New Roman" w:cs="Times New Roman"/>
        </w:rPr>
        <w:t>100 MΩ</w:t>
      </w:r>
      <w:r>
        <w:rPr>
          <w:rFonts w:ascii="Times New Roman" w:hAnsi="Times New Roman" w:cs="Times New Roman"/>
        </w:rPr>
        <w:t>；若避雷器底座直接接地则无需做此项试验。</w:t>
      </w:r>
    </w:p>
    <w:p w14:paraId="0919CB9E" w14:textId="77777777" w:rsidR="00DC3EA5" w:rsidRDefault="00000000">
      <w:pPr>
        <w:pStyle w:val="a7"/>
        <w:ind w:left="0"/>
        <w:outlineLvl w:val="1"/>
        <w:rPr>
          <w:rFonts w:ascii="Times New Roman"/>
        </w:rPr>
      </w:pPr>
      <w:bookmarkStart w:id="284" w:name="_Toc32174"/>
      <w:bookmarkStart w:id="285" w:name="_Toc8605"/>
      <w:bookmarkStart w:id="286" w:name="_Toc151477265"/>
      <w:r>
        <w:rPr>
          <w:rFonts w:ascii="Times New Roman"/>
        </w:rPr>
        <w:t>直流参考电压和</w:t>
      </w:r>
      <w:r>
        <w:rPr>
          <w:rFonts w:ascii="Times New Roman"/>
        </w:rPr>
        <w:t>0.75</w:t>
      </w:r>
      <w:r>
        <w:rPr>
          <w:rFonts w:ascii="Times New Roman"/>
        </w:rPr>
        <w:t>倍直流参考电压下的泄漏电流测量</w:t>
      </w:r>
      <w:bookmarkEnd w:id="284"/>
      <w:bookmarkEnd w:id="285"/>
      <w:bookmarkEnd w:id="286"/>
    </w:p>
    <w:p w14:paraId="3DA53441" w14:textId="77777777" w:rsidR="00DC3EA5" w:rsidRDefault="00000000">
      <w:pPr>
        <w:pStyle w:val="affffffff2"/>
        <w:tabs>
          <w:tab w:val="center" w:pos="4201"/>
          <w:tab w:val="right" w:leader="dot" w:pos="9298"/>
        </w:tabs>
        <w:ind w:firstLine="420"/>
        <w:rPr>
          <w:rFonts w:ascii="Times New Roman"/>
        </w:rPr>
      </w:pPr>
      <w:r>
        <w:rPr>
          <w:rFonts w:ascii="Times New Roman"/>
        </w:rPr>
        <w:t>避雷器的直流参考电压和</w:t>
      </w:r>
      <w:r>
        <w:rPr>
          <w:rFonts w:ascii="Times New Roman"/>
        </w:rPr>
        <w:t>0.75</w:t>
      </w:r>
      <w:r>
        <w:rPr>
          <w:rFonts w:ascii="Times New Roman"/>
        </w:rPr>
        <w:t>倍直流参考电压下的泄漏电流测量，应符合下列规定：</w:t>
      </w:r>
    </w:p>
    <w:p w14:paraId="05D282E0"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rPr>
        <w:t>按照</w:t>
      </w:r>
      <w:r>
        <w:rPr>
          <w:rFonts w:ascii="Times New Roman" w:hAnsi="Times New Roman" w:cs="Times New Roman"/>
        </w:rPr>
        <w:t>GB/T 11032</w:t>
      </w:r>
      <w:r>
        <w:rPr>
          <w:rFonts w:ascii="Times New Roman" w:hAnsi="Times New Roman" w:cs="Times New Roman"/>
        </w:rPr>
        <w:t>有关规定执行；</w:t>
      </w:r>
    </w:p>
    <w:p w14:paraId="77F37602"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rPr>
        <w:t>测量电流的导线应使用屏蔽线，测量时应记录环境温度和相对湿度；</w:t>
      </w:r>
    </w:p>
    <w:p w14:paraId="52031220"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rPr>
        <w:t>对于</w:t>
      </w:r>
      <w:r>
        <w:rPr>
          <w:rFonts w:ascii="Times New Roman" w:hAnsi="Times New Roman" w:cs="Times New Roman"/>
        </w:rPr>
        <w:t>GIS</w:t>
      </w:r>
      <w:r>
        <w:rPr>
          <w:rFonts w:ascii="Times New Roman" w:hAnsi="Times New Roman" w:cs="Times New Roman"/>
        </w:rPr>
        <w:t>内的避雷器，应在现场具备条件时进行试验；</w:t>
      </w:r>
    </w:p>
    <w:p w14:paraId="5ADB48F0"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position w:val="-10"/>
        </w:rPr>
        <w:object w:dxaOrig="456" w:dyaOrig="321" w14:anchorId="4EE658DB">
          <v:shape id="_x0000_i1037" type="#_x0000_t75" style="width:23pt;height:16pt" o:ole="">
            <v:imagedata r:id="rId35" o:title=""/>
          </v:shape>
          <o:OLEObject Type="Embed" ProgID="Equation.DSMT4" ShapeID="_x0000_i1037" DrawAspect="Content" ObjectID="_1793207900" r:id="rId36"/>
        </w:object>
      </w:r>
      <w:r>
        <w:rPr>
          <w:rFonts w:ascii="Times New Roman" w:hAnsi="Times New Roman" w:cs="Times New Roman"/>
        </w:rPr>
        <w:t>不得低于</w:t>
      </w:r>
      <w:r>
        <w:rPr>
          <w:rFonts w:ascii="Times New Roman" w:hAnsi="Times New Roman" w:cs="Times New Roman"/>
        </w:rPr>
        <w:t>GB/T 11032</w:t>
      </w:r>
      <w:r>
        <w:rPr>
          <w:rFonts w:ascii="Times New Roman" w:hAnsi="Times New Roman" w:cs="Times New Roman"/>
        </w:rPr>
        <w:t>中的有关规定；</w:t>
      </w:r>
    </w:p>
    <w:p w14:paraId="298A0DEF"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position w:val="-10"/>
        </w:rPr>
        <w:object w:dxaOrig="456" w:dyaOrig="321" w14:anchorId="75EB9A1B">
          <v:shape id="_x0000_i1038" type="#_x0000_t75" style="width:23pt;height:16pt" o:ole="">
            <v:imagedata r:id="rId35" o:title=""/>
          </v:shape>
          <o:OLEObject Type="Embed" ProgID="Equation.DSMT4" ShapeID="_x0000_i1038" DrawAspect="Content" ObjectID="_1793207901" r:id="rId37"/>
        </w:object>
      </w:r>
      <w:r>
        <w:rPr>
          <w:rFonts w:ascii="Times New Roman" w:hAnsi="Times New Roman" w:cs="Times New Roman"/>
        </w:rPr>
        <w:t>实测值与出厂值或制造厂规定值比较，变化不应大于</w:t>
      </w:r>
      <w:r>
        <w:rPr>
          <w:rFonts w:ascii="Times New Roman" w:hAnsi="Times New Roman" w:cs="Times New Roman"/>
        </w:rPr>
        <w:t>±5%</w:t>
      </w:r>
      <w:r>
        <w:rPr>
          <w:rFonts w:ascii="Times New Roman" w:hAnsi="Times New Roman" w:cs="Times New Roman"/>
        </w:rPr>
        <w:t>；</w:t>
      </w:r>
    </w:p>
    <w:p w14:paraId="30454F22" w14:textId="77777777" w:rsidR="00DC3EA5" w:rsidRDefault="00000000">
      <w:pPr>
        <w:pStyle w:val="-8"/>
        <w:numPr>
          <w:ilvl w:val="1"/>
          <w:numId w:val="98"/>
        </w:numPr>
        <w:ind w:leftChars="200" w:left="840" w:hangingChars="200" w:hanging="420"/>
        <w:rPr>
          <w:rFonts w:ascii="Times New Roman" w:hAnsi="Times New Roman" w:cs="Times New Roman"/>
        </w:rPr>
      </w:pPr>
      <w:r>
        <w:rPr>
          <w:rFonts w:ascii="Times New Roman" w:hAnsi="Times New Roman" w:cs="Times New Roman"/>
        </w:rPr>
        <w:t>0.75</w:t>
      </w:r>
      <w:r>
        <w:rPr>
          <w:rFonts w:ascii="Times New Roman" w:hAnsi="Times New Roman" w:cs="Times New Roman"/>
        </w:rPr>
        <w:t>倍直流参考电压下的泄漏电流值，对于单柱避雷器，其泄漏电流值应不超过</w:t>
      </w:r>
      <w:r>
        <w:rPr>
          <w:rFonts w:ascii="Times New Roman" w:hAnsi="Times New Roman" w:cs="Times New Roman"/>
        </w:rPr>
        <w:t>50 μA</w:t>
      </w:r>
      <w:r>
        <w:rPr>
          <w:rFonts w:ascii="Times New Roman" w:hAnsi="Times New Roman" w:cs="Times New Roman"/>
        </w:rPr>
        <w:t>或符合产品技术条件的规定；对于多柱并联避雷器，泄漏电流值应不大于制造厂标准的规定值。</w:t>
      </w:r>
    </w:p>
    <w:p w14:paraId="6DF9A5DD" w14:textId="77777777" w:rsidR="00DC3EA5" w:rsidRDefault="00000000">
      <w:pPr>
        <w:pStyle w:val="a7"/>
        <w:ind w:left="0"/>
        <w:outlineLvl w:val="1"/>
        <w:rPr>
          <w:rFonts w:ascii="Times New Roman"/>
        </w:rPr>
      </w:pPr>
      <w:bookmarkStart w:id="287" w:name="_Toc2070"/>
      <w:bookmarkStart w:id="288" w:name="_Toc3535"/>
      <w:bookmarkStart w:id="289" w:name="_Toc151477266"/>
      <w:r>
        <w:rPr>
          <w:rFonts w:ascii="Times New Roman"/>
        </w:rPr>
        <w:t>交流参考电压和持续电流测量</w:t>
      </w:r>
      <w:bookmarkEnd w:id="287"/>
      <w:bookmarkEnd w:id="288"/>
      <w:bookmarkEnd w:id="289"/>
    </w:p>
    <w:p w14:paraId="1D5CF950" w14:textId="77777777" w:rsidR="00DC3EA5" w:rsidRDefault="00000000">
      <w:pPr>
        <w:pStyle w:val="affffffff2"/>
        <w:tabs>
          <w:tab w:val="center" w:pos="4201"/>
          <w:tab w:val="right" w:leader="dot" w:pos="9298"/>
        </w:tabs>
        <w:ind w:firstLine="420"/>
        <w:rPr>
          <w:rFonts w:ascii="Times New Roman"/>
        </w:rPr>
      </w:pPr>
      <w:r>
        <w:rPr>
          <w:rFonts w:ascii="Times New Roman"/>
        </w:rPr>
        <w:t>避雷器的交流参考电压和持续电流测量，应符合下列规定：</w:t>
      </w:r>
    </w:p>
    <w:p w14:paraId="12D52671" w14:textId="77777777" w:rsidR="00DC3EA5" w:rsidRDefault="00000000">
      <w:pPr>
        <w:pStyle w:val="-8"/>
        <w:numPr>
          <w:ilvl w:val="1"/>
          <w:numId w:val="99"/>
        </w:numPr>
        <w:ind w:firstLineChars="0"/>
        <w:rPr>
          <w:rFonts w:ascii="Times New Roman" w:hAnsi="Times New Roman" w:cs="Times New Roman"/>
        </w:rPr>
      </w:pPr>
      <w:r>
        <w:rPr>
          <w:rFonts w:ascii="Times New Roman" w:hAnsi="Times New Roman" w:cs="Times New Roman"/>
        </w:rPr>
        <w:t>试验频率应为避雷器运行的额定频率，其偏差不大于</w:t>
      </w:r>
      <w:r>
        <w:rPr>
          <w:rFonts w:ascii="Times New Roman" w:hAnsi="Times New Roman" w:cs="Times New Roman"/>
        </w:rPr>
        <w:t>±5%</w:t>
      </w:r>
      <w:r>
        <w:rPr>
          <w:rFonts w:ascii="Times New Roman" w:hAnsi="Times New Roman" w:cs="Times New Roman"/>
        </w:rPr>
        <w:t>；</w:t>
      </w:r>
    </w:p>
    <w:p w14:paraId="16306F41" w14:textId="77777777" w:rsidR="00DC3EA5" w:rsidRDefault="00000000">
      <w:pPr>
        <w:pStyle w:val="-8"/>
        <w:numPr>
          <w:ilvl w:val="1"/>
          <w:numId w:val="99"/>
        </w:numPr>
        <w:ind w:firstLineChars="0"/>
        <w:rPr>
          <w:rFonts w:ascii="Times New Roman" w:hAnsi="Times New Roman" w:cs="Times New Roman"/>
        </w:rPr>
      </w:pPr>
      <w:r>
        <w:rPr>
          <w:rFonts w:ascii="Times New Roman" w:hAnsi="Times New Roman" w:cs="Times New Roman"/>
        </w:rPr>
        <w:t>交接试验可在</w:t>
      </w:r>
      <w:r>
        <w:rPr>
          <w:rFonts w:ascii="Times New Roman" w:hAnsi="Times New Roman" w:cs="Times New Roman"/>
        </w:rPr>
        <w:t>50 Hz</w:t>
      </w:r>
      <w:r>
        <w:rPr>
          <w:rFonts w:ascii="Times New Roman" w:hAnsi="Times New Roman" w:cs="Times New Roman"/>
        </w:rPr>
        <w:t>频率下进行，电压幅值无需修正，但应记录试验频率；</w:t>
      </w:r>
    </w:p>
    <w:p w14:paraId="5B28DEE9" w14:textId="77777777" w:rsidR="00DC3EA5" w:rsidRDefault="00000000">
      <w:pPr>
        <w:pStyle w:val="-8"/>
        <w:numPr>
          <w:ilvl w:val="1"/>
          <w:numId w:val="99"/>
        </w:numPr>
        <w:ind w:leftChars="200" w:left="840" w:hangingChars="200" w:hanging="420"/>
        <w:rPr>
          <w:rFonts w:ascii="Times New Roman" w:hAnsi="Times New Roman" w:cs="Times New Roman"/>
        </w:rPr>
      </w:pPr>
      <w:r>
        <w:rPr>
          <w:rFonts w:ascii="Times New Roman" w:hAnsi="Times New Roman" w:cs="Times New Roman"/>
        </w:rPr>
        <w:t>测量运行电压下的全电流、阻性电流或功率损耗，应符合技术文件的规定；</w:t>
      </w:r>
      <w:r>
        <w:rPr>
          <w:rFonts w:ascii="Times New Roman" w:hAnsi="Times New Roman" w:cs="Times New Roman"/>
        </w:rPr>
        <w:t xml:space="preserve"> </w:t>
      </w:r>
    </w:p>
    <w:p w14:paraId="49FC89BA" w14:textId="77777777" w:rsidR="00DC3EA5" w:rsidRDefault="00000000">
      <w:pPr>
        <w:pStyle w:val="-8"/>
        <w:numPr>
          <w:ilvl w:val="1"/>
          <w:numId w:val="99"/>
        </w:numPr>
        <w:ind w:leftChars="200" w:left="840" w:hangingChars="200" w:hanging="420"/>
        <w:rPr>
          <w:rFonts w:ascii="Times New Roman" w:hAnsi="Times New Roman" w:cs="Times New Roman"/>
        </w:rPr>
      </w:pPr>
      <w:r>
        <w:rPr>
          <w:rFonts w:ascii="Times New Roman" w:hAnsi="Times New Roman" w:cs="Times New Roman"/>
        </w:rPr>
        <w:t>测量时应记录环境温度、相对湿度和运行电压，应注意瓷套表面状况的影响及相互干扰。</w:t>
      </w:r>
    </w:p>
    <w:p w14:paraId="783C92C9" w14:textId="77777777" w:rsidR="00DC3EA5" w:rsidRDefault="00000000">
      <w:pPr>
        <w:pStyle w:val="a7"/>
        <w:ind w:left="0"/>
        <w:outlineLvl w:val="1"/>
        <w:rPr>
          <w:rFonts w:ascii="Times New Roman"/>
        </w:rPr>
      </w:pPr>
      <w:bookmarkStart w:id="290" w:name="_Toc21260"/>
      <w:bookmarkStart w:id="291" w:name="_Toc151477267"/>
      <w:bookmarkStart w:id="292" w:name="_Toc27964"/>
      <w:r>
        <w:rPr>
          <w:rFonts w:ascii="Times New Roman"/>
        </w:rPr>
        <w:t>放电计数器动作情况及监视电流表指示检查</w:t>
      </w:r>
      <w:bookmarkEnd w:id="290"/>
      <w:bookmarkEnd w:id="291"/>
      <w:bookmarkEnd w:id="292"/>
    </w:p>
    <w:p w14:paraId="46D830A4" w14:textId="77777777" w:rsidR="00DC3EA5" w:rsidRDefault="00000000">
      <w:pPr>
        <w:pStyle w:val="affffffff2"/>
        <w:tabs>
          <w:tab w:val="center" w:pos="4201"/>
          <w:tab w:val="right" w:leader="dot" w:pos="9298"/>
        </w:tabs>
        <w:ind w:firstLine="420"/>
        <w:rPr>
          <w:rFonts w:ascii="Times New Roman"/>
        </w:rPr>
      </w:pPr>
      <w:r>
        <w:rPr>
          <w:rFonts w:ascii="Times New Roman"/>
        </w:rPr>
        <w:t>避雷器的放电计数器动作情况及监视电流表指示检查，应符合下列规定：</w:t>
      </w:r>
    </w:p>
    <w:p w14:paraId="6ECED4B9" w14:textId="77777777" w:rsidR="00DC3EA5" w:rsidRDefault="00000000">
      <w:pPr>
        <w:pStyle w:val="-8"/>
        <w:numPr>
          <w:ilvl w:val="1"/>
          <w:numId w:val="100"/>
        </w:numPr>
        <w:ind w:leftChars="200" w:left="840" w:hangingChars="200" w:hanging="420"/>
        <w:rPr>
          <w:rFonts w:ascii="Times New Roman" w:hAnsi="Times New Roman" w:cs="Times New Roman"/>
        </w:rPr>
      </w:pPr>
      <w:r>
        <w:rPr>
          <w:rFonts w:ascii="Times New Roman" w:hAnsi="Times New Roman" w:cs="Times New Roman"/>
        </w:rPr>
        <w:t>检查放电计数器的动作应可靠；</w:t>
      </w:r>
    </w:p>
    <w:p w14:paraId="0FC3B28C" w14:textId="77777777" w:rsidR="00DC3EA5" w:rsidRDefault="00000000">
      <w:pPr>
        <w:pStyle w:val="-8"/>
        <w:numPr>
          <w:ilvl w:val="1"/>
          <w:numId w:val="100"/>
        </w:numPr>
        <w:ind w:leftChars="200" w:left="840" w:hangingChars="200" w:hanging="420"/>
        <w:rPr>
          <w:rFonts w:ascii="Times New Roman" w:hAnsi="Times New Roman" w:cs="Times New Roman"/>
        </w:rPr>
      </w:pPr>
      <w:r>
        <w:rPr>
          <w:rFonts w:ascii="Times New Roman" w:hAnsi="Times New Roman" w:cs="Times New Roman"/>
        </w:rPr>
        <w:t>如有避雷器监视电流表，需检查其指示良好。</w:t>
      </w:r>
    </w:p>
    <w:p w14:paraId="61A569B7" w14:textId="77777777" w:rsidR="00DC3EA5" w:rsidRDefault="00000000">
      <w:pPr>
        <w:pStyle w:val="a6"/>
        <w:outlineLvl w:val="0"/>
        <w:rPr>
          <w:rFonts w:ascii="Times New Roman"/>
        </w:rPr>
      </w:pPr>
      <w:bookmarkStart w:id="293" w:name="_Toc6392"/>
      <w:r>
        <w:rPr>
          <w:rFonts w:ascii="Times New Roman"/>
        </w:rPr>
        <w:t>交流交联聚乙烯海底电缆</w:t>
      </w:r>
      <w:bookmarkEnd w:id="293"/>
    </w:p>
    <w:p w14:paraId="21D58EEA" w14:textId="77777777" w:rsidR="00DC3EA5" w:rsidRDefault="00000000">
      <w:pPr>
        <w:pStyle w:val="a7"/>
        <w:ind w:left="0"/>
        <w:outlineLvl w:val="1"/>
        <w:rPr>
          <w:rFonts w:ascii="Times New Roman"/>
        </w:rPr>
      </w:pPr>
      <w:bookmarkStart w:id="294" w:name="_Toc14734"/>
      <w:bookmarkStart w:id="295" w:name="_Toc151477269"/>
      <w:bookmarkStart w:id="296" w:name="_Toc2928"/>
      <w:r>
        <w:rPr>
          <w:rFonts w:ascii="Times New Roman"/>
        </w:rPr>
        <w:t>试验项目</w:t>
      </w:r>
      <w:bookmarkEnd w:id="294"/>
      <w:bookmarkEnd w:id="295"/>
      <w:bookmarkEnd w:id="296"/>
    </w:p>
    <w:p w14:paraId="18D85D09" w14:textId="77777777" w:rsidR="00DC3EA5" w:rsidRDefault="00000000">
      <w:pPr>
        <w:pStyle w:val="affffffff2"/>
        <w:tabs>
          <w:tab w:val="center" w:pos="4201"/>
          <w:tab w:val="right" w:leader="dot" w:pos="9298"/>
        </w:tabs>
        <w:ind w:firstLine="420"/>
        <w:rPr>
          <w:rFonts w:ascii="Times New Roman"/>
        </w:rPr>
      </w:pPr>
      <w:r>
        <w:rPr>
          <w:rFonts w:ascii="Times New Roman"/>
        </w:rPr>
        <w:t>交流交联聚乙烯海底电缆的试验项目，应包括下列内容：</w:t>
      </w:r>
    </w:p>
    <w:p w14:paraId="3F75D452" w14:textId="77777777" w:rsidR="00DC3EA5" w:rsidRDefault="00000000">
      <w:pPr>
        <w:pStyle w:val="-8"/>
        <w:numPr>
          <w:ilvl w:val="1"/>
          <w:numId w:val="101"/>
        </w:numPr>
        <w:ind w:leftChars="200" w:left="840" w:hangingChars="200" w:hanging="420"/>
        <w:rPr>
          <w:rFonts w:ascii="Times New Roman" w:hAnsi="Times New Roman" w:cs="Times New Roman"/>
        </w:rPr>
      </w:pPr>
      <w:r>
        <w:rPr>
          <w:rFonts w:ascii="Times New Roman" w:hAnsi="Times New Roman" w:cs="Times New Roman"/>
        </w:rPr>
        <w:t>主绝缘及外护层绝缘电阻测量；</w:t>
      </w:r>
    </w:p>
    <w:p w14:paraId="265F3485" w14:textId="77777777" w:rsidR="00DC3EA5" w:rsidRDefault="00000000">
      <w:pPr>
        <w:pStyle w:val="-8"/>
        <w:numPr>
          <w:ilvl w:val="1"/>
          <w:numId w:val="101"/>
        </w:numPr>
        <w:ind w:leftChars="200" w:left="840" w:hangingChars="200" w:hanging="420"/>
        <w:rPr>
          <w:rFonts w:ascii="Times New Roman" w:hAnsi="Times New Roman" w:cs="Times New Roman"/>
        </w:rPr>
      </w:pPr>
      <w:r>
        <w:rPr>
          <w:rFonts w:ascii="Times New Roman" w:hAnsi="Times New Roman" w:cs="Times New Roman"/>
        </w:rPr>
        <w:t>主绝缘交流耐压试验；</w:t>
      </w:r>
    </w:p>
    <w:p w14:paraId="2D6E86EB" w14:textId="77777777" w:rsidR="00DC3EA5" w:rsidRDefault="00000000">
      <w:pPr>
        <w:pStyle w:val="-8"/>
        <w:numPr>
          <w:ilvl w:val="1"/>
          <w:numId w:val="101"/>
        </w:numPr>
        <w:ind w:leftChars="200" w:left="840" w:hangingChars="200" w:hanging="420"/>
        <w:rPr>
          <w:rFonts w:ascii="Times New Roman" w:hAnsi="Times New Roman" w:cs="Times New Roman"/>
        </w:rPr>
      </w:pPr>
      <w:r>
        <w:rPr>
          <w:rFonts w:ascii="Times New Roman" w:hAnsi="Times New Roman" w:cs="Times New Roman"/>
        </w:rPr>
        <w:t>海底电缆线路局部放电测量；</w:t>
      </w:r>
    </w:p>
    <w:p w14:paraId="043AAC7B" w14:textId="77777777" w:rsidR="00DC3EA5" w:rsidRDefault="00000000">
      <w:pPr>
        <w:numPr>
          <w:ilvl w:val="1"/>
          <w:numId w:val="101"/>
        </w:numPr>
        <w:rPr>
          <w:szCs w:val="21"/>
        </w:rPr>
      </w:pPr>
      <w:r>
        <w:rPr>
          <w:szCs w:val="21"/>
        </w:rPr>
        <w:t>时域反射计试验（</w:t>
      </w:r>
      <w:r>
        <w:rPr>
          <w:szCs w:val="21"/>
        </w:rPr>
        <w:t>TDR)</w:t>
      </w:r>
      <w:r>
        <w:rPr>
          <w:szCs w:val="21"/>
        </w:rPr>
        <w:t>。</w:t>
      </w:r>
    </w:p>
    <w:p w14:paraId="59F7AC9F" w14:textId="77777777" w:rsidR="00DC3EA5" w:rsidRDefault="00000000">
      <w:pPr>
        <w:pStyle w:val="a7"/>
        <w:ind w:left="0"/>
        <w:outlineLvl w:val="1"/>
        <w:rPr>
          <w:rFonts w:ascii="Times New Roman"/>
        </w:rPr>
      </w:pPr>
      <w:bookmarkStart w:id="297" w:name="_Toc20023"/>
      <w:bookmarkStart w:id="298" w:name="_Toc151477270"/>
      <w:bookmarkStart w:id="299" w:name="_Toc6130"/>
      <w:r>
        <w:rPr>
          <w:rFonts w:ascii="Times New Roman"/>
        </w:rPr>
        <w:lastRenderedPageBreak/>
        <w:t>主绝缘及外护层绝缘电阻测量</w:t>
      </w:r>
      <w:bookmarkEnd w:id="297"/>
      <w:bookmarkEnd w:id="298"/>
      <w:bookmarkEnd w:id="299"/>
    </w:p>
    <w:p w14:paraId="0DA6239C" w14:textId="77777777" w:rsidR="00DC3EA5" w:rsidRDefault="00000000">
      <w:pPr>
        <w:pStyle w:val="affffffff2"/>
        <w:tabs>
          <w:tab w:val="center" w:pos="4201"/>
          <w:tab w:val="right" w:leader="dot" w:pos="9298"/>
        </w:tabs>
        <w:ind w:firstLine="420"/>
        <w:rPr>
          <w:rFonts w:ascii="Times New Roman"/>
        </w:rPr>
      </w:pPr>
      <w:r>
        <w:rPr>
          <w:rFonts w:ascii="Times New Roman"/>
        </w:rPr>
        <w:t>海底电缆的主绝缘及外护层绝缘电阻测量，应符合下列规定：</w:t>
      </w:r>
    </w:p>
    <w:p w14:paraId="39B0D4F7" w14:textId="77777777" w:rsidR="00DC3EA5" w:rsidRDefault="00000000">
      <w:pPr>
        <w:pStyle w:val="-8"/>
        <w:numPr>
          <w:ilvl w:val="1"/>
          <w:numId w:val="102"/>
        </w:numPr>
        <w:ind w:leftChars="200" w:left="840" w:hangingChars="200" w:hanging="420"/>
        <w:rPr>
          <w:rFonts w:ascii="Times New Roman" w:hAnsi="Times New Roman" w:cs="Times New Roman"/>
        </w:rPr>
      </w:pPr>
      <w:r>
        <w:rPr>
          <w:rFonts w:ascii="Times New Roman" w:hAnsi="Times New Roman" w:cs="Times New Roman"/>
        </w:rPr>
        <w:t>电缆绝缘电阻测量宜采用</w:t>
      </w:r>
      <w:r>
        <w:rPr>
          <w:rFonts w:ascii="Times New Roman" w:hAnsi="Times New Roman" w:cs="Times New Roman"/>
        </w:rPr>
        <w:t>2500 V</w:t>
      </w:r>
      <w:r>
        <w:rPr>
          <w:rFonts w:ascii="Times New Roman" w:hAnsi="Times New Roman" w:cs="Times New Roman"/>
        </w:rPr>
        <w:t>兆欧表，</w:t>
      </w:r>
      <w:r>
        <w:rPr>
          <w:rFonts w:ascii="Times New Roman" w:hAnsi="Times New Roman" w:cs="Times New Roman"/>
        </w:rPr>
        <w:t>6 kV</w:t>
      </w:r>
      <w:r>
        <w:rPr>
          <w:rFonts w:ascii="Times New Roman" w:hAnsi="Times New Roman" w:cs="Times New Roman"/>
        </w:rPr>
        <w:t>及以上电缆也可用</w:t>
      </w:r>
      <w:r>
        <w:rPr>
          <w:rFonts w:ascii="Times New Roman" w:hAnsi="Times New Roman" w:cs="Times New Roman"/>
        </w:rPr>
        <w:t>5000 V</w:t>
      </w:r>
      <w:r>
        <w:rPr>
          <w:rFonts w:ascii="Times New Roman" w:hAnsi="Times New Roman" w:cs="Times New Roman"/>
        </w:rPr>
        <w:t>兆欧表；</w:t>
      </w:r>
    </w:p>
    <w:p w14:paraId="4FE6D189" w14:textId="77777777" w:rsidR="00DC3EA5" w:rsidRDefault="00000000">
      <w:pPr>
        <w:pStyle w:val="-8"/>
        <w:numPr>
          <w:ilvl w:val="1"/>
          <w:numId w:val="102"/>
        </w:numPr>
        <w:ind w:leftChars="200" w:left="840" w:hangingChars="200" w:hanging="420"/>
        <w:rPr>
          <w:rFonts w:ascii="Times New Roman" w:hAnsi="Times New Roman" w:cs="Times New Roman"/>
        </w:rPr>
      </w:pPr>
      <w:r>
        <w:rPr>
          <w:rFonts w:ascii="Times New Roman" w:hAnsi="Times New Roman" w:cs="Times New Roman"/>
        </w:rPr>
        <w:t>橡塑电缆外护套、内衬层的测量宜采用</w:t>
      </w:r>
      <w:r>
        <w:rPr>
          <w:rFonts w:ascii="Times New Roman" w:hAnsi="Times New Roman" w:cs="Times New Roman"/>
        </w:rPr>
        <w:t>500 V</w:t>
      </w:r>
      <w:r>
        <w:rPr>
          <w:rFonts w:ascii="Times New Roman" w:hAnsi="Times New Roman" w:cs="Times New Roman"/>
        </w:rPr>
        <w:t>兆欧表；</w:t>
      </w:r>
    </w:p>
    <w:p w14:paraId="65014B62" w14:textId="77777777" w:rsidR="00DC3EA5" w:rsidRDefault="00000000">
      <w:pPr>
        <w:pStyle w:val="-8"/>
        <w:numPr>
          <w:ilvl w:val="1"/>
          <w:numId w:val="102"/>
        </w:numPr>
        <w:ind w:leftChars="200" w:left="840" w:hangingChars="200" w:hanging="420"/>
        <w:rPr>
          <w:rFonts w:ascii="Times New Roman" w:hAnsi="Times New Roman" w:cs="Times New Roman"/>
        </w:rPr>
      </w:pPr>
      <w:r>
        <w:rPr>
          <w:rFonts w:ascii="Times New Roman" w:hAnsi="Times New Roman" w:cs="Times New Roman"/>
        </w:rPr>
        <w:t>耐压试验前后，绝缘电阻测量应无明显变化；</w:t>
      </w:r>
    </w:p>
    <w:p w14:paraId="7DB5EDE7" w14:textId="77777777" w:rsidR="00DC3EA5" w:rsidRDefault="00000000">
      <w:pPr>
        <w:pStyle w:val="-8"/>
        <w:numPr>
          <w:ilvl w:val="1"/>
          <w:numId w:val="102"/>
        </w:numPr>
        <w:ind w:leftChars="200" w:left="840" w:hangingChars="200" w:hanging="420"/>
        <w:rPr>
          <w:rFonts w:ascii="Times New Roman" w:hAnsi="Times New Roman" w:cs="Times New Roman"/>
        </w:rPr>
      </w:pPr>
      <w:r>
        <w:rPr>
          <w:rFonts w:ascii="Times New Roman" w:hAnsi="Times New Roman" w:cs="Times New Roman"/>
        </w:rPr>
        <w:t>橡塑电缆外护套、内衬层的绝缘电阻不应低于</w:t>
      </w:r>
      <w:r>
        <w:rPr>
          <w:rFonts w:ascii="Times New Roman" w:hAnsi="Times New Roman" w:cs="Times New Roman"/>
        </w:rPr>
        <w:t>0.5 MΩ/km</w:t>
      </w:r>
      <w:r>
        <w:rPr>
          <w:rFonts w:ascii="Times New Roman" w:hAnsi="Times New Roman" w:cs="Times New Roman"/>
        </w:rPr>
        <w:t>。</w:t>
      </w:r>
    </w:p>
    <w:p w14:paraId="4774A80F" w14:textId="77777777" w:rsidR="00DC3EA5" w:rsidRDefault="00000000">
      <w:pPr>
        <w:pStyle w:val="a7"/>
        <w:ind w:left="0"/>
        <w:outlineLvl w:val="1"/>
        <w:rPr>
          <w:rFonts w:ascii="Times New Roman"/>
        </w:rPr>
      </w:pPr>
      <w:bookmarkStart w:id="300" w:name="_Toc14299"/>
      <w:bookmarkStart w:id="301" w:name="_Toc14591"/>
      <w:bookmarkStart w:id="302" w:name="_Toc151477271"/>
      <w:r>
        <w:rPr>
          <w:rFonts w:ascii="Times New Roman"/>
        </w:rPr>
        <w:t>主绝缘交流耐压试验</w:t>
      </w:r>
      <w:bookmarkEnd w:id="300"/>
      <w:bookmarkEnd w:id="301"/>
      <w:bookmarkEnd w:id="302"/>
    </w:p>
    <w:p w14:paraId="61602C14" w14:textId="77777777" w:rsidR="00DC3EA5" w:rsidRDefault="00000000">
      <w:pPr>
        <w:pStyle w:val="affffffff2"/>
        <w:tabs>
          <w:tab w:val="center" w:pos="4201"/>
          <w:tab w:val="right" w:leader="dot" w:pos="9298"/>
        </w:tabs>
        <w:ind w:firstLine="420"/>
        <w:rPr>
          <w:rFonts w:ascii="Times New Roman"/>
        </w:rPr>
      </w:pPr>
      <w:r>
        <w:rPr>
          <w:rFonts w:ascii="Times New Roman"/>
        </w:rPr>
        <w:t>海底电缆的主绝缘交流耐压试验，应符合下列规定：</w:t>
      </w:r>
    </w:p>
    <w:p w14:paraId="4187D2EF" w14:textId="77777777" w:rsidR="00DC3EA5" w:rsidRDefault="00000000">
      <w:pPr>
        <w:pStyle w:val="-8"/>
        <w:numPr>
          <w:ilvl w:val="1"/>
          <w:numId w:val="103"/>
        </w:numPr>
        <w:ind w:leftChars="200" w:left="840" w:hangingChars="200" w:hanging="420"/>
        <w:rPr>
          <w:rFonts w:ascii="Times New Roman" w:hAnsi="Times New Roman" w:cs="Times New Roman"/>
        </w:rPr>
      </w:pPr>
      <w:r>
        <w:rPr>
          <w:rFonts w:ascii="Times New Roman" w:hAnsi="Times New Roman" w:cs="Times New Roman"/>
        </w:rPr>
        <w:t>应优先在采用</w:t>
      </w:r>
      <w:r>
        <w:rPr>
          <w:rFonts w:ascii="Times New Roman" w:hAnsi="Times New Roman" w:cs="Times New Roman"/>
        </w:rPr>
        <w:t>10 Hz</w:t>
      </w:r>
      <w:r>
        <w:rPr>
          <w:rFonts w:ascii="Times New Roman" w:hAnsi="Times New Roman" w:cs="Times New Roman"/>
        </w:rPr>
        <w:t>～</w:t>
      </w:r>
      <w:r>
        <w:rPr>
          <w:rFonts w:ascii="Times New Roman" w:hAnsi="Times New Roman" w:cs="Times New Roman"/>
        </w:rPr>
        <w:t>300Hz</w:t>
      </w:r>
      <w:r>
        <w:rPr>
          <w:rFonts w:ascii="Times New Roman" w:hAnsi="Times New Roman" w:cs="Times New Roman"/>
        </w:rPr>
        <w:t>下进行交流耐压试验，试验电压和时间应符合</w:t>
      </w:r>
      <w:r>
        <w:rPr>
          <w:rFonts w:ascii="Times New Roman" w:hAnsi="Times New Roman" w:cs="Times New Roman"/>
        </w:rPr>
        <w:t>GB 50150—2016</w:t>
      </w:r>
      <w:r>
        <w:rPr>
          <w:rFonts w:ascii="Times New Roman" w:hAnsi="Times New Roman" w:cs="Times New Roman"/>
        </w:rPr>
        <w:t>的有关规定；</w:t>
      </w:r>
    </w:p>
    <w:p w14:paraId="12B3E23C" w14:textId="77777777" w:rsidR="00DC3EA5" w:rsidRDefault="00000000">
      <w:pPr>
        <w:pStyle w:val="-8"/>
        <w:numPr>
          <w:ilvl w:val="1"/>
          <w:numId w:val="103"/>
        </w:numPr>
        <w:ind w:leftChars="200" w:left="840" w:hangingChars="200" w:hanging="420"/>
        <w:rPr>
          <w:rFonts w:ascii="Times New Roman" w:hAnsi="Times New Roman" w:cs="Times New Roman"/>
        </w:rPr>
      </w:pPr>
      <w:r>
        <w:rPr>
          <w:rFonts w:ascii="Times New Roman" w:hAnsi="Times New Roman" w:cs="Times New Roman"/>
        </w:rPr>
        <w:t>或不具备上述试验条件或有特殊规定时，可采用施加正常系统对地电压</w:t>
      </w:r>
      <w:r>
        <w:rPr>
          <w:rFonts w:ascii="Times New Roman" w:hAnsi="Times New Roman" w:cs="Times New Roman"/>
        </w:rPr>
        <w:t>24 h</w:t>
      </w:r>
      <w:r>
        <w:rPr>
          <w:rFonts w:ascii="Times New Roman" w:hAnsi="Times New Roman" w:cs="Times New Roman"/>
        </w:rPr>
        <w:t>方法代替交流耐压。</w:t>
      </w:r>
    </w:p>
    <w:p w14:paraId="19FACF3F" w14:textId="77777777" w:rsidR="00DC3EA5" w:rsidRDefault="00000000">
      <w:pPr>
        <w:pStyle w:val="a7"/>
        <w:ind w:left="0"/>
        <w:outlineLvl w:val="1"/>
        <w:rPr>
          <w:rFonts w:ascii="Times New Roman"/>
        </w:rPr>
      </w:pPr>
      <w:bookmarkStart w:id="303" w:name="_Toc29760"/>
      <w:bookmarkStart w:id="304" w:name="_Toc13216"/>
      <w:bookmarkStart w:id="305" w:name="_Toc151477273"/>
      <w:r>
        <w:rPr>
          <w:rFonts w:ascii="Times New Roman"/>
        </w:rPr>
        <w:t>海底电缆线路局部放电测量</w:t>
      </w:r>
      <w:bookmarkEnd w:id="303"/>
      <w:bookmarkEnd w:id="304"/>
      <w:bookmarkEnd w:id="305"/>
    </w:p>
    <w:p w14:paraId="45ED673F" w14:textId="77777777" w:rsidR="00DC3EA5" w:rsidRDefault="00000000">
      <w:pPr>
        <w:ind w:firstLine="420"/>
      </w:pPr>
      <w:r>
        <w:t>66 kV</w:t>
      </w:r>
      <w:r>
        <w:t>及以上海底电缆线路安装完成后，可结合交流耐压试验进行局部放电测量。</w:t>
      </w:r>
    </w:p>
    <w:p w14:paraId="3F9EC10A" w14:textId="77777777" w:rsidR="00DC3EA5" w:rsidRDefault="00000000">
      <w:pPr>
        <w:pStyle w:val="a7"/>
        <w:ind w:left="0"/>
        <w:outlineLvl w:val="1"/>
        <w:rPr>
          <w:rFonts w:ascii="Times New Roman"/>
        </w:rPr>
      </w:pPr>
      <w:bookmarkStart w:id="306" w:name="_Toc25957"/>
      <w:r>
        <w:rPr>
          <w:rFonts w:ascii="Times New Roman"/>
        </w:rPr>
        <w:t>时域反射计试验（</w:t>
      </w:r>
      <w:r>
        <w:rPr>
          <w:rFonts w:ascii="Times New Roman"/>
        </w:rPr>
        <w:t>TDR)</w:t>
      </w:r>
      <w:bookmarkEnd w:id="306"/>
    </w:p>
    <w:p w14:paraId="48607EB7" w14:textId="77777777" w:rsidR="00DC3EA5" w:rsidRDefault="00000000">
      <w:pPr>
        <w:ind w:firstLine="420"/>
      </w:pPr>
      <w:bookmarkStart w:id="307" w:name="OLE_LINK2"/>
      <w:r>
        <w:t>海底电缆的时域反射计试验，应符合下列规定：</w:t>
      </w:r>
    </w:p>
    <w:p w14:paraId="38EA0367" w14:textId="77777777" w:rsidR="00DC3EA5" w:rsidRDefault="00000000">
      <w:pPr>
        <w:pStyle w:val="-8"/>
        <w:numPr>
          <w:ilvl w:val="1"/>
          <w:numId w:val="104"/>
        </w:numPr>
        <w:ind w:firstLineChars="0"/>
        <w:rPr>
          <w:rFonts w:ascii="Times New Roman" w:hAnsi="Times New Roman" w:cs="Times New Roman"/>
        </w:rPr>
      </w:pPr>
      <w:r>
        <w:rPr>
          <w:rFonts w:ascii="Times New Roman" w:hAnsi="Times New Roman" w:cs="Times New Roman"/>
        </w:rPr>
        <w:t>电缆宜在安装后进行时域反射测试；</w:t>
      </w:r>
    </w:p>
    <w:p w14:paraId="049166DB" w14:textId="77777777" w:rsidR="00DC3EA5" w:rsidRDefault="00000000">
      <w:pPr>
        <w:pStyle w:val="-8"/>
        <w:numPr>
          <w:ilvl w:val="1"/>
          <w:numId w:val="104"/>
        </w:numPr>
        <w:ind w:firstLineChars="0"/>
        <w:rPr>
          <w:rFonts w:ascii="Times New Roman" w:hAnsi="Times New Roman" w:cs="Times New Roman"/>
        </w:rPr>
      </w:pPr>
      <w:r>
        <w:rPr>
          <w:rFonts w:ascii="Times New Roman" w:hAnsi="Times New Roman" w:cs="Times New Roman"/>
        </w:rPr>
        <w:t>需要提前获知电缆的相关参数，包括电缆阻抗、电脉冲传播速度、电缆长度等；</w:t>
      </w:r>
    </w:p>
    <w:p w14:paraId="59238A44" w14:textId="77777777" w:rsidR="00DC3EA5" w:rsidRDefault="00000000">
      <w:pPr>
        <w:numPr>
          <w:ilvl w:val="1"/>
          <w:numId w:val="104"/>
        </w:numPr>
        <w:rPr>
          <w:szCs w:val="21"/>
        </w:rPr>
      </w:pPr>
      <w:r>
        <w:rPr>
          <w:szCs w:val="21"/>
        </w:rPr>
        <w:t>测试方法可采用低压脉冲法、脉冲电流法和稳定电弧法等，所用试验仪器可对故障点进行定位。</w:t>
      </w:r>
    </w:p>
    <w:p w14:paraId="437C4113" w14:textId="77777777" w:rsidR="00DC3EA5" w:rsidRDefault="00000000">
      <w:pPr>
        <w:pStyle w:val="a6"/>
        <w:outlineLvl w:val="0"/>
        <w:rPr>
          <w:rFonts w:ascii="Times New Roman"/>
        </w:rPr>
      </w:pPr>
      <w:bookmarkStart w:id="308" w:name="_Toc28395"/>
      <w:bookmarkEnd w:id="307"/>
      <w:r>
        <w:rPr>
          <w:rFonts w:ascii="Times New Roman"/>
        </w:rPr>
        <w:t>绝缘油和</w:t>
      </w:r>
      <w:r>
        <w:rPr>
          <w:rFonts w:ascii="Times New Roman"/>
        </w:rPr>
        <w:t>SF</w:t>
      </w:r>
      <w:r>
        <w:rPr>
          <w:rFonts w:ascii="Times New Roman"/>
          <w:vertAlign w:val="subscript"/>
        </w:rPr>
        <w:t>6</w:t>
      </w:r>
      <w:r>
        <w:rPr>
          <w:rFonts w:ascii="Times New Roman"/>
        </w:rPr>
        <w:t>气体</w:t>
      </w:r>
      <w:bookmarkEnd w:id="308"/>
    </w:p>
    <w:p w14:paraId="10D93EBC" w14:textId="77777777" w:rsidR="00DC3EA5" w:rsidRDefault="00000000">
      <w:pPr>
        <w:pStyle w:val="a7"/>
        <w:ind w:left="0"/>
        <w:outlineLvl w:val="1"/>
        <w:rPr>
          <w:rFonts w:ascii="Times New Roman"/>
        </w:rPr>
      </w:pPr>
      <w:bookmarkStart w:id="309" w:name="_Toc2981"/>
      <w:r>
        <w:rPr>
          <w:rFonts w:ascii="Times New Roman"/>
        </w:rPr>
        <w:t>绝缘油试验项目及要求</w:t>
      </w:r>
      <w:bookmarkEnd w:id="309"/>
    </w:p>
    <w:p w14:paraId="79487B0D" w14:textId="77777777" w:rsidR="00DC3EA5" w:rsidRDefault="00000000">
      <w:pPr>
        <w:pStyle w:val="-8"/>
        <w:numPr>
          <w:ilvl w:val="1"/>
          <w:numId w:val="105"/>
        </w:numPr>
        <w:ind w:firstLineChars="0"/>
        <w:rPr>
          <w:rFonts w:ascii="Times New Roman" w:hAnsi="Times New Roman" w:cs="Times New Roman"/>
        </w:rPr>
      </w:pPr>
      <w:r>
        <w:rPr>
          <w:rFonts w:ascii="Times New Roman" w:hAnsi="Times New Roman" w:cs="Times New Roman"/>
        </w:rPr>
        <w:t>绝缘油试验项目及要求应符合</w:t>
      </w:r>
      <w:r>
        <w:rPr>
          <w:rFonts w:ascii="Times New Roman" w:hAnsi="Times New Roman" w:cs="Times New Roman"/>
        </w:rPr>
        <w:t>GB 50150—2016</w:t>
      </w:r>
      <w:r>
        <w:rPr>
          <w:rFonts w:ascii="Times New Roman" w:hAnsi="Times New Roman" w:cs="Times New Roman"/>
        </w:rPr>
        <w:t>中表</w:t>
      </w:r>
      <w:r>
        <w:rPr>
          <w:rFonts w:ascii="Times New Roman" w:hAnsi="Times New Roman" w:cs="Times New Roman"/>
        </w:rPr>
        <w:t>19.O.1</w:t>
      </w:r>
      <w:r>
        <w:rPr>
          <w:rFonts w:ascii="Times New Roman" w:hAnsi="Times New Roman" w:cs="Times New Roman"/>
        </w:rPr>
        <w:t>的规定；</w:t>
      </w:r>
    </w:p>
    <w:p w14:paraId="6CA589DF" w14:textId="77777777" w:rsidR="00DC3EA5" w:rsidRDefault="00000000">
      <w:pPr>
        <w:pStyle w:val="-8"/>
        <w:numPr>
          <w:ilvl w:val="1"/>
          <w:numId w:val="105"/>
        </w:numPr>
        <w:ind w:firstLineChars="0"/>
        <w:rPr>
          <w:rFonts w:ascii="Times New Roman" w:hAnsi="Times New Roman" w:cs="Times New Roman"/>
        </w:rPr>
      </w:pPr>
      <w:r>
        <w:rPr>
          <w:rFonts w:ascii="Times New Roman" w:hAnsi="Times New Roman" w:cs="Times New Roman"/>
        </w:rPr>
        <w:t>新油验收及充油电气设备的绝缘油试验分类，应符合</w:t>
      </w:r>
      <w:r>
        <w:rPr>
          <w:rFonts w:ascii="Times New Roman" w:hAnsi="Times New Roman" w:cs="Times New Roman"/>
        </w:rPr>
        <w:t>GB 50150—2016</w:t>
      </w:r>
      <w:r>
        <w:rPr>
          <w:rFonts w:ascii="Times New Roman" w:hAnsi="Times New Roman" w:cs="Times New Roman"/>
        </w:rPr>
        <w:t>中表</w:t>
      </w:r>
      <w:r>
        <w:rPr>
          <w:rFonts w:ascii="Times New Roman" w:hAnsi="Times New Roman" w:cs="Times New Roman"/>
        </w:rPr>
        <w:t>19.O.2</w:t>
      </w:r>
      <w:r>
        <w:rPr>
          <w:rFonts w:ascii="Times New Roman" w:hAnsi="Times New Roman" w:cs="Times New Roman"/>
        </w:rPr>
        <w:t>的规定；</w:t>
      </w:r>
    </w:p>
    <w:p w14:paraId="25A71C6F" w14:textId="77777777" w:rsidR="00DC3EA5" w:rsidRDefault="00000000">
      <w:pPr>
        <w:pStyle w:val="-8"/>
        <w:numPr>
          <w:ilvl w:val="1"/>
          <w:numId w:val="105"/>
        </w:numPr>
        <w:ind w:firstLineChars="0"/>
        <w:rPr>
          <w:rFonts w:ascii="Times New Roman" w:hAnsi="Times New Roman" w:cs="Times New Roman"/>
        </w:rPr>
      </w:pPr>
      <w:r>
        <w:rPr>
          <w:rFonts w:ascii="Times New Roman" w:hAnsi="Times New Roman" w:cs="Times New Roman"/>
        </w:rPr>
        <w:t>当绝缘油需要进行混合时，在混合前应按混油的实际使用比例先取混油样进行分析，其结果应符合</w:t>
      </w:r>
      <w:r>
        <w:rPr>
          <w:rFonts w:ascii="Times New Roman" w:hAnsi="Times New Roman" w:cs="Times New Roman"/>
        </w:rPr>
        <w:t>GB/T 14542</w:t>
      </w:r>
      <w:r>
        <w:rPr>
          <w:rFonts w:ascii="Times New Roman" w:hAnsi="Times New Roman" w:cs="Times New Roman"/>
        </w:rPr>
        <w:t>的有关规定。</w:t>
      </w:r>
    </w:p>
    <w:p w14:paraId="16FAA1DF" w14:textId="77777777" w:rsidR="00DC3EA5" w:rsidRDefault="00000000">
      <w:pPr>
        <w:pStyle w:val="a7"/>
        <w:ind w:left="0"/>
        <w:outlineLvl w:val="1"/>
        <w:rPr>
          <w:rFonts w:ascii="Times New Roman"/>
        </w:rPr>
      </w:pPr>
      <w:bookmarkStart w:id="310" w:name="_Toc22784"/>
      <w:r>
        <w:rPr>
          <w:rFonts w:ascii="Times New Roman"/>
        </w:rPr>
        <w:t>SF</w:t>
      </w:r>
      <w:r>
        <w:rPr>
          <w:rFonts w:ascii="Times New Roman"/>
          <w:vertAlign w:val="subscript"/>
        </w:rPr>
        <w:t>6</w:t>
      </w:r>
      <w:r>
        <w:rPr>
          <w:rFonts w:ascii="Times New Roman"/>
        </w:rPr>
        <w:t>试验项目及要求</w:t>
      </w:r>
      <w:bookmarkEnd w:id="310"/>
    </w:p>
    <w:p w14:paraId="2820AFCB" w14:textId="77777777" w:rsidR="00DC3EA5" w:rsidRDefault="00000000">
      <w:pPr>
        <w:pStyle w:val="-8"/>
        <w:numPr>
          <w:ilvl w:val="1"/>
          <w:numId w:val="106"/>
        </w:numPr>
        <w:ind w:firstLineChars="0"/>
        <w:rPr>
          <w:rFonts w:ascii="Times New Roman" w:hAnsi="Times New Roman" w:cs="Times New Roman"/>
        </w:rPr>
      </w:pPr>
      <w:r>
        <w:rPr>
          <w:rFonts w:ascii="Times New Roman" w:hAnsi="Times New Roman" w:cs="Times New Roman"/>
        </w:rPr>
        <w:t>SF</w:t>
      </w:r>
      <w:r>
        <w:rPr>
          <w:rFonts w:ascii="Times New Roman" w:hAnsi="Times New Roman" w:cs="Times New Roman"/>
          <w:vertAlign w:val="subscript"/>
        </w:rPr>
        <w:t>6</w:t>
      </w:r>
      <w:r>
        <w:rPr>
          <w:rFonts w:ascii="Times New Roman" w:hAnsi="Times New Roman" w:cs="Times New Roman"/>
        </w:rPr>
        <w:t>新气到货后，充入设备前应对每批次的气瓶进行抽检，并应按</w:t>
      </w:r>
      <w:r>
        <w:rPr>
          <w:rFonts w:ascii="Times New Roman" w:hAnsi="Times New Roman" w:cs="Times New Roman"/>
        </w:rPr>
        <w:t>GB 12022</w:t>
      </w:r>
      <w:r>
        <w:rPr>
          <w:rFonts w:ascii="Times New Roman" w:hAnsi="Times New Roman" w:cs="Times New Roman"/>
        </w:rPr>
        <w:t>的要求验收，</w:t>
      </w:r>
      <w:r>
        <w:rPr>
          <w:rFonts w:ascii="Times New Roman" w:hAnsi="Times New Roman" w:cs="Times New Roman"/>
        </w:rPr>
        <w:t>SF</w:t>
      </w:r>
      <w:r>
        <w:rPr>
          <w:rFonts w:ascii="Times New Roman" w:hAnsi="Times New Roman" w:cs="Times New Roman"/>
          <w:vertAlign w:val="subscript"/>
        </w:rPr>
        <w:t>6</w:t>
      </w:r>
      <w:r>
        <w:rPr>
          <w:rFonts w:ascii="Times New Roman" w:hAnsi="Times New Roman" w:cs="Times New Roman"/>
        </w:rPr>
        <w:t>新到气瓶抽检比例宜符合表</w:t>
      </w:r>
      <w:r>
        <w:rPr>
          <w:rFonts w:ascii="Times New Roman" w:hAnsi="Times New Roman" w:cs="Times New Roman"/>
        </w:rPr>
        <w:t>5</w:t>
      </w:r>
      <w:r>
        <w:rPr>
          <w:rFonts w:ascii="Times New Roman" w:hAnsi="Times New Roman" w:cs="Times New Roman"/>
        </w:rPr>
        <w:t>的规定，其他每瓶可只测定含水量；</w:t>
      </w:r>
    </w:p>
    <w:p w14:paraId="0904D90A" w14:textId="77777777" w:rsidR="00DC3EA5" w:rsidRDefault="00000000">
      <w:pPr>
        <w:pStyle w:val="-0"/>
        <w:numPr>
          <w:ilvl w:val="0"/>
          <w:numId w:val="56"/>
        </w:numPr>
        <w:rPr>
          <w:rFonts w:ascii="Times New Roman" w:hAnsi="Times New Roman" w:cs="Times New Roman"/>
        </w:rPr>
      </w:pPr>
      <w:r>
        <w:rPr>
          <w:rFonts w:ascii="Times New Roman" w:hAnsi="Times New Roman" w:cs="Times New Roman"/>
        </w:rPr>
        <w:t>SF</w:t>
      </w:r>
      <w:r>
        <w:rPr>
          <w:rFonts w:ascii="Times New Roman" w:hAnsi="Times New Roman" w:cs="Times New Roman"/>
          <w:vertAlign w:val="subscript"/>
        </w:rPr>
        <w:t>6</w:t>
      </w:r>
      <w:r>
        <w:rPr>
          <w:rFonts w:ascii="Times New Roman" w:hAnsi="Times New Roman" w:cs="Times New Roman"/>
        </w:rPr>
        <w:t>新到气瓶抽检比例</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DC3EA5" w14:paraId="6BE687BE" w14:textId="77777777">
        <w:trPr>
          <w:trHeight w:val="274"/>
          <w:jc w:val="center"/>
        </w:trPr>
        <w:tc>
          <w:tcPr>
            <w:tcW w:w="4779" w:type="dxa"/>
            <w:tcBorders>
              <w:top w:val="single" w:sz="12" w:space="0" w:color="000000"/>
              <w:left w:val="single" w:sz="12" w:space="0" w:color="000000"/>
              <w:bottom w:val="single" w:sz="12" w:space="0" w:color="000000"/>
              <w:right w:val="single" w:sz="4" w:space="0" w:color="000000"/>
            </w:tcBorders>
            <w:vAlign w:val="center"/>
          </w:tcPr>
          <w:p w14:paraId="1A070364" w14:textId="77777777" w:rsidR="00DC3EA5" w:rsidRDefault="00000000">
            <w:pPr>
              <w:pStyle w:val="-7"/>
              <w:rPr>
                <w:rFonts w:ascii="Times New Roman" w:hAnsi="Times New Roman"/>
              </w:rPr>
            </w:pPr>
            <w:r>
              <w:rPr>
                <w:rFonts w:ascii="Times New Roman" w:hAnsi="Times New Roman"/>
              </w:rPr>
              <w:t>每批气瓶数</w:t>
            </w:r>
          </w:p>
        </w:tc>
        <w:tc>
          <w:tcPr>
            <w:tcW w:w="4780" w:type="dxa"/>
            <w:tcBorders>
              <w:top w:val="single" w:sz="12" w:space="0" w:color="000000"/>
              <w:left w:val="single" w:sz="4" w:space="0" w:color="000000"/>
              <w:bottom w:val="single" w:sz="12" w:space="0" w:color="000000"/>
              <w:right w:val="single" w:sz="12" w:space="0" w:color="000000"/>
            </w:tcBorders>
            <w:vAlign w:val="center"/>
          </w:tcPr>
          <w:p w14:paraId="1A19D3FE" w14:textId="77777777" w:rsidR="00DC3EA5" w:rsidRDefault="00000000">
            <w:pPr>
              <w:pStyle w:val="-7"/>
              <w:rPr>
                <w:rFonts w:ascii="Times New Roman" w:hAnsi="Times New Roman"/>
              </w:rPr>
            </w:pPr>
            <w:r>
              <w:rPr>
                <w:rFonts w:ascii="Times New Roman" w:hAnsi="Times New Roman"/>
              </w:rPr>
              <w:t>选取的最少气瓶数</w:t>
            </w:r>
          </w:p>
        </w:tc>
      </w:tr>
      <w:tr w:rsidR="00DC3EA5" w14:paraId="6DB36FB0" w14:textId="77777777">
        <w:trPr>
          <w:trHeight w:val="340"/>
          <w:jc w:val="center"/>
        </w:trPr>
        <w:tc>
          <w:tcPr>
            <w:tcW w:w="4779" w:type="dxa"/>
            <w:tcBorders>
              <w:top w:val="single" w:sz="12" w:space="0" w:color="000000"/>
              <w:left w:val="single" w:sz="12" w:space="0" w:color="000000"/>
              <w:right w:val="single" w:sz="4" w:space="0" w:color="000000"/>
            </w:tcBorders>
            <w:vAlign w:val="center"/>
          </w:tcPr>
          <w:p w14:paraId="05F28760" w14:textId="77777777" w:rsidR="00DC3EA5" w:rsidRDefault="00000000">
            <w:pPr>
              <w:jc w:val="center"/>
              <w:rPr>
                <w:sz w:val="18"/>
                <w:szCs w:val="18"/>
              </w:rPr>
            </w:pPr>
            <w:r>
              <w:rPr>
                <w:sz w:val="18"/>
                <w:szCs w:val="18"/>
              </w:rPr>
              <w:t>1</w:t>
            </w:r>
          </w:p>
        </w:tc>
        <w:tc>
          <w:tcPr>
            <w:tcW w:w="4780" w:type="dxa"/>
            <w:tcBorders>
              <w:top w:val="single" w:sz="12" w:space="0" w:color="000000"/>
              <w:left w:val="single" w:sz="4" w:space="0" w:color="000000"/>
              <w:right w:val="single" w:sz="12" w:space="0" w:color="000000"/>
            </w:tcBorders>
            <w:vAlign w:val="center"/>
          </w:tcPr>
          <w:p w14:paraId="44403163" w14:textId="77777777" w:rsidR="00DC3EA5" w:rsidRDefault="00000000">
            <w:pPr>
              <w:jc w:val="center"/>
              <w:rPr>
                <w:sz w:val="18"/>
                <w:szCs w:val="18"/>
              </w:rPr>
            </w:pPr>
            <w:r>
              <w:rPr>
                <w:sz w:val="18"/>
                <w:szCs w:val="18"/>
              </w:rPr>
              <w:t>1</w:t>
            </w:r>
          </w:p>
        </w:tc>
      </w:tr>
      <w:tr w:rsidR="00DC3EA5" w14:paraId="78D1A802" w14:textId="77777777">
        <w:trPr>
          <w:trHeight w:val="340"/>
          <w:jc w:val="center"/>
        </w:trPr>
        <w:tc>
          <w:tcPr>
            <w:tcW w:w="4779" w:type="dxa"/>
            <w:tcBorders>
              <w:left w:val="single" w:sz="12" w:space="0" w:color="000000"/>
              <w:right w:val="single" w:sz="4" w:space="0" w:color="000000"/>
            </w:tcBorders>
            <w:vAlign w:val="center"/>
          </w:tcPr>
          <w:p w14:paraId="17D0B325" w14:textId="77777777" w:rsidR="00DC3EA5" w:rsidRDefault="00000000">
            <w:pPr>
              <w:jc w:val="center"/>
              <w:rPr>
                <w:sz w:val="18"/>
                <w:szCs w:val="18"/>
              </w:rPr>
            </w:pPr>
            <w:r>
              <w:rPr>
                <w:sz w:val="18"/>
                <w:szCs w:val="18"/>
              </w:rPr>
              <w:t>2-40</w:t>
            </w:r>
          </w:p>
        </w:tc>
        <w:tc>
          <w:tcPr>
            <w:tcW w:w="4780" w:type="dxa"/>
            <w:tcBorders>
              <w:left w:val="single" w:sz="4" w:space="0" w:color="000000"/>
              <w:right w:val="single" w:sz="12" w:space="0" w:color="000000"/>
            </w:tcBorders>
            <w:vAlign w:val="center"/>
          </w:tcPr>
          <w:p w14:paraId="3C753DD3" w14:textId="77777777" w:rsidR="00DC3EA5" w:rsidRDefault="00000000">
            <w:pPr>
              <w:jc w:val="center"/>
              <w:rPr>
                <w:sz w:val="18"/>
                <w:szCs w:val="18"/>
              </w:rPr>
            </w:pPr>
            <w:r>
              <w:rPr>
                <w:sz w:val="18"/>
                <w:szCs w:val="18"/>
              </w:rPr>
              <w:t>2</w:t>
            </w:r>
          </w:p>
        </w:tc>
      </w:tr>
      <w:tr w:rsidR="00DC3EA5" w14:paraId="1A3BF493" w14:textId="77777777">
        <w:trPr>
          <w:trHeight w:val="340"/>
          <w:jc w:val="center"/>
        </w:trPr>
        <w:tc>
          <w:tcPr>
            <w:tcW w:w="4779" w:type="dxa"/>
            <w:tcBorders>
              <w:left w:val="single" w:sz="12" w:space="0" w:color="000000"/>
              <w:right w:val="single" w:sz="4" w:space="0" w:color="000000"/>
            </w:tcBorders>
            <w:vAlign w:val="center"/>
          </w:tcPr>
          <w:p w14:paraId="1E274532" w14:textId="77777777" w:rsidR="00DC3EA5" w:rsidRDefault="00000000">
            <w:pPr>
              <w:jc w:val="center"/>
              <w:rPr>
                <w:sz w:val="18"/>
                <w:szCs w:val="18"/>
              </w:rPr>
            </w:pPr>
            <w:r>
              <w:rPr>
                <w:sz w:val="18"/>
                <w:szCs w:val="18"/>
              </w:rPr>
              <w:t>41-70</w:t>
            </w:r>
          </w:p>
        </w:tc>
        <w:tc>
          <w:tcPr>
            <w:tcW w:w="4780" w:type="dxa"/>
            <w:tcBorders>
              <w:left w:val="single" w:sz="4" w:space="0" w:color="000000"/>
              <w:right w:val="single" w:sz="12" w:space="0" w:color="000000"/>
            </w:tcBorders>
            <w:vAlign w:val="center"/>
          </w:tcPr>
          <w:p w14:paraId="63965B5D" w14:textId="77777777" w:rsidR="00DC3EA5" w:rsidRDefault="00000000">
            <w:pPr>
              <w:jc w:val="center"/>
              <w:rPr>
                <w:sz w:val="18"/>
                <w:szCs w:val="18"/>
              </w:rPr>
            </w:pPr>
            <w:r>
              <w:rPr>
                <w:sz w:val="18"/>
                <w:szCs w:val="18"/>
              </w:rPr>
              <w:t>3</w:t>
            </w:r>
          </w:p>
        </w:tc>
      </w:tr>
      <w:tr w:rsidR="00DC3EA5" w14:paraId="74A6525B" w14:textId="77777777">
        <w:trPr>
          <w:trHeight w:val="340"/>
          <w:jc w:val="center"/>
        </w:trPr>
        <w:tc>
          <w:tcPr>
            <w:tcW w:w="4779" w:type="dxa"/>
            <w:tcBorders>
              <w:left w:val="single" w:sz="12" w:space="0" w:color="000000"/>
              <w:bottom w:val="single" w:sz="12" w:space="0" w:color="000000"/>
              <w:right w:val="single" w:sz="4" w:space="0" w:color="000000"/>
            </w:tcBorders>
            <w:vAlign w:val="center"/>
          </w:tcPr>
          <w:p w14:paraId="09227390" w14:textId="77777777" w:rsidR="00DC3EA5" w:rsidRDefault="00000000">
            <w:pPr>
              <w:jc w:val="center"/>
              <w:rPr>
                <w:sz w:val="18"/>
                <w:szCs w:val="18"/>
              </w:rPr>
            </w:pPr>
            <w:r>
              <w:rPr>
                <w:sz w:val="18"/>
                <w:szCs w:val="18"/>
              </w:rPr>
              <w:t>71</w:t>
            </w:r>
            <w:r>
              <w:rPr>
                <w:sz w:val="18"/>
                <w:szCs w:val="18"/>
              </w:rPr>
              <w:t>以上</w:t>
            </w:r>
          </w:p>
        </w:tc>
        <w:tc>
          <w:tcPr>
            <w:tcW w:w="4780" w:type="dxa"/>
            <w:tcBorders>
              <w:left w:val="single" w:sz="4" w:space="0" w:color="000000"/>
              <w:bottom w:val="single" w:sz="12" w:space="0" w:color="000000"/>
              <w:right w:val="single" w:sz="12" w:space="0" w:color="000000"/>
            </w:tcBorders>
            <w:vAlign w:val="center"/>
          </w:tcPr>
          <w:p w14:paraId="09B80BB8" w14:textId="77777777" w:rsidR="00DC3EA5" w:rsidRDefault="00000000">
            <w:pPr>
              <w:jc w:val="center"/>
              <w:rPr>
                <w:sz w:val="18"/>
                <w:szCs w:val="18"/>
              </w:rPr>
            </w:pPr>
            <w:r>
              <w:rPr>
                <w:sz w:val="18"/>
                <w:szCs w:val="18"/>
              </w:rPr>
              <w:t>4</w:t>
            </w:r>
          </w:p>
        </w:tc>
      </w:tr>
    </w:tbl>
    <w:p w14:paraId="73987D3B" w14:textId="77777777" w:rsidR="00DC3EA5" w:rsidRDefault="00000000">
      <w:pPr>
        <w:pStyle w:val="-8"/>
        <w:numPr>
          <w:ilvl w:val="1"/>
          <w:numId w:val="106"/>
        </w:numPr>
        <w:ind w:firstLineChars="0"/>
        <w:rPr>
          <w:rFonts w:ascii="Times New Roman" w:hAnsi="Times New Roman" w:cs="Times New Roman"/>
        </w:rPr>
      </w:pPr>
      <w:r>
        <w:rPr>
          <w:rFonts w:ascii="Times New Roman" w:hAnsi="Times New Roman" w:cs="Times New Roman"/>
        </w:rPr>
        <w:lastRenderedPageBreak/>
        <w:t>SF</w:t>
      </w:r>
      <w:r>
        <w:rPr>
          <w:rFonts w:ascii="Times New Roman" w:hAnsi="Times New Roman" w:cs="Times New Roman"/>
          <w:vertAlign w:val="subscript"/>
        </w:rPr>
        <w:t>6</w:t>
      </w:r>
      <w:r>
        <w:rPr>
          <w:rFonts w:ascii="Times New Roman" w:hAnsi="Times New Roman" w:cs="Times New Roman"/>
        </w:rPr>
        <w:t>气体在充入电气设备</w:t>
      </w:r>
      <w:r>
        <w:rPr>
          <w:rFonts w:ascii="Times New Roman" w:hAnsi="Times New Roman" w:cs="Times New Roman"/>
        </w:rPr>
        <w:t>24 h</w:t>
      </w:r>
      <w:r>
        <w:rPr>
          <w:rFonts w:ascii="Times New Roman" w:hAnsi="Times New Roman" w:cs="Times New Roman"/>
        </w:rPr>
        <w:t>后方可进行试验。</w:t>
      </w:r>
    </w:p>
    <w:p w14:paraId="3C09297C" w14:textId="77777777" w:rsidR="00DC3EA5" w:rsidRDefault="00000000">
      <w:pPr>
        <w:pStyle w:val="a6"/>
        <w:outlineLvl w:val="0"/>
        <w:rPr>
          <w:rFonts w:ascii="Times New Roman"/>
        </w:rPr>
      </w:pPr>
      <w:bookmarkStart w:id="311" w:name="_Toc22535"/>
      <w:r>
        <w:rPr>
          <w:rFonts w:ascii="Times New Roman"/>
        </w:rPr>
        <w:t>接地装置</w:t>
      </w:r>
      <w:bookmarkEnd w:id="311"/>
    </w:p>
    <w:p w14:paraId="46894700" w14:textId="77777777" w:rsidR="00DC3EA5" w:rsidRDefault="00000000">
      <w:pPr>
        <w:pStyle w:val="a7"/>
        <w:ind w:left="0"/>
        <w:outlineLvl w:val="1"/>
        <w:rPr>
          <w:rFonts w:ascii="Times New Roman"/>
        </w:rPr>
      </w:pPr>
      <w:bookmarkStart w:id="312" w:name="_Toc28833"/>
      <w:r>
        <w:rPr>
          <w:rFonts w:ascii="Times New Roman"/>
        </w:rPr>
        <w:t>试验项目</w:t>
      </w:r>
      <w:bookmarkEnd w:id="312"/>
    </w:p>
    <w:p w14:paraId="1B759362" w14:textId="77777777" w:rsidR="00DC3EA5" w:rsidRDefault="00000000">
      <w:pPr>
        <w:pStyle w:val="affffffff2"/>
        <w:tabs>
          <w:tab w:val="center" w:pos="4201"/>
          <w:tab w:val="right" w:leader="dot" w:pos="9298"/>
        </w:tabs>
        <w:ind w:firstLine="420"/>
        <w:rPr>
          <w:rFonts w:ascii="Times New Roman"/>
        </w:rPr>
      </w:pPr>
      <w:r>
        <w:rPr>
          <w:rFonts w:ascii="Times New Roman"/>
        </w:rPr>
        <w:t>电气设备和防雷设施接地装置的试验项目，应包括下列内容：</w:t>
      </w:r>
    </w:p>
    <w:p w14:paraId="08A3DBEA" w14:textId="77777777" w:rsidR="00DC3EA5" w:rsidRDefault="00000000">
      <w:pPr>
        <w:pStyle w:val="-8"/>
        <w:numPr>
          <w:ilvl w:val="1"/>
          <w:numId w:val="107"/>
        </w:numPr>
        <w:ind w:firstLineChars="0"/>
        <w:rPr>
          <w:rFonts w:ascii="Times New Roman" w:hAnsi="Times New Roman" w:cs="Times New Roman"/>
        </w:rPr>
      </w:pPr>
      <w:r>
        <w:rPr>
          <w:rFonts w:ascii="Times New Roman" w:hAnsi="Times New Roman" w:cs="Times New Roman"/>
        </w:rPr>
        <w:t>接地网电气完整性测试；</w:t>
      </w:r>
    </w:p>
    <w:p w14:paraId="11385429" w14:textId="77777777" w:rsidR="00DC3EA5" w:rsidRDefault="00000000">
      <w:pPr>
        <w:pStyle w:val="-8"/>
        <w:numPr>
          <w:ilvl w:val="1"/>
          <w:numId w:val="107"/>
        </w:numPr>
        <w:ind w:firstLineChars="0"/>
        <w:rPr>
          <w:rFonts w:ascii="Times New Roman" w:hAnsi="Times New Roman" w:cs="Times New Roman"/>
        </w:rPr>
      </w:pPr>
      <w:r>
        <w:rPr>
          <w:rFonts w:ascii="Times New Roman" w:hAnsi="Times New Roman" w:cs="Times New Roman"/>
        </w:rPr>
        <w:t>接地阻抗测量；</w:t>
      </w:r>
    </w:p>
    <w:p w14:paraId="39016C8E" w14:textId="77777777" w:rsidR="00DC3EA5" w:rsidRDefault="00000000">
      <w:pPr>
        <w:pStyle w:val="-8"/>
        <w:numPr>
          <w:ilvl w:val="1"/>
          <w:numId w:val="107"/>
        </w:numPr>
        <w:ind w:firstLineChars="0"/>
        <w:rPr>
          <w:rFonts w:ascii="Times New Roman" w:hAnsi="Times New Roman" w:cs="Times New Roman"/>
        </w:rPr>
      </w:pPr>
      <w:r>
        <w:rPr>
          <w:rFonts w:ascii="Times New Roman" w:hAnsi="Times New Roman" w:cs="Times New Roman"/>
        </w:rPr>
        <w:t>场区地表电位梯度、接触电位差、跨步电压和转移电位测量。</w:t>
      </w:r>
    </w:p>
    <w:p w14:paraId="06AE5E41" w14:textId="77777777" w:rsidR="00DC3EA5" w:rsidRDefault="00000000">
      <w:pPr>
        <w:pStyle w:val="a7"/>
        <w:ind w:left="0"/>
        <w:outlineLvl w:val="1"/>
        <w:rPr>
          <w:rFonts w:ascii="Times New Roman"/>
        </w:rPr>
      </w:pPr>
      <w:bookmarkStart w:id="313" w:name="_Toc17656"/>
      <w:r>
        <w:rPr>
          <w:rFonts w:ascii="Times New Roman"/>
        </w:rPr>
        <w:t>接地网电气完整性测试</w:t>
      </w:r>
      <w:bookmarkEnd w:id="313"/>
    </w:p>
    <w:p w14:paraId="6A628ED8" w14:textId="77777777" w:rsidR="00DC3EA5" w:rsidRDefault="00000000">
      <w:pPr>
        <w:pStyle w:val="affffffff2"/>
        <w:tabs>
          <w:tab w:val="center" w:pos="4201"/>
          <w:tab w:val="right" w:leader="dot" w:pos="9298"/>
        </w:tabs>
        <w:ind w:firstLine="420"/>
        <w:rPr>
          <w:rFonts w:ascii="Times New Roman"/>
        </w:rPr>
      </w:pPr>
      <w:r>
        <w:rPr>
          <w:rFonts w:ascii="Times New Roman"/>
        </w:rPr>
        <w:t>电气设备和防雷设施的接地网电气完整性测试，应符合下列规定：</w:t>
      </w:r>
    </w:p>
    <w:p w14:paraId="620EED40" w14:textId="77777777" w:rsidR="00DC3EA5" w:rsidRDefault="00000000">
      <w:pPr>
        <w:pStyle w:val="-8"/>
        <w:numPr>
          <w:ilvl w:val="1"/>
          <w:numId w:val="108"/>
        </w:numPr>
        <w:ind w:firstLineChars="0"/>
        <w:rPr>
          <w:rFonts w:ascii="Times New Roman" w:hAnsi="Times New Roman" w:cs="Times New Roman"/>
        </w:rPr>
      </w:pPr>
      <w:r>
        <w:rPr>
          <w:rFonts w:ascii="Times New Roman" w:hAnsi="Times New Roman" w:cs="Times New Roman"/>
        </w:rPr>
        <w:t>应测量同一接地网的各相邻设备接地线之间的电气导通情况，以直流电阻值表示；</w:t>
      </w:r>
    </w:p>
    <w:p w14:paraId="71B0A8F5" w14:textId="77777777" w:rsidR="00DC3EA5" w:rsidRDefault="00000000">
      <w:pPr>
        <w:pStyle w:val="-8"/>
        <w:numPr>
          <w:ilvl w:val="1"/>
          <w:numId w:val="108"/>
        </w:numPr>
        <w:ind w:firstLineChars="0"/>
        <w:rPr>
          <w:rFonts w:ascii="Times New Roman" w:hAnsi="Times New Roman" w:cs="Times New Roman"/>
        </w:rPr>
      </w:pPr>
      <w:r>
        <w:rPr>
          <w:rFonts w:ascii="Times New Roman" w:hAnsi="Times New Roman" w:cs="Times New Roman"/>
        </w:rPr>
        <w:t>直流电阻值不宜大于</w:t>
      </w:r>
      <w:r>
        <w:rPr>
          <w:rFonts w:ascii="Times New Roman" w:hAnsi="Times New Roman" w:cs="Times New Roman"/>
        </w:rPr>
        <w:t>0.05 Ω</w:t>
      </w:r>
      <w:r>
        <w:rPr>
          <w:rFonts w:ascii="Times New Roman" w:hAnsi="Times New Roman" w:cs="Times New Roman"/>
        </w:rPr>
        <w:t>。</w:t>
      </w:r>
    </w:p>
    <w:p w14:paraId="214EB0BF" w14:textId="77777777" w:rsidR="00DC3EA5" w:rsidRDefault="00000000">
      <w:pPr>
        <w:pStyle w:val="a7"/>
        <w:ind w:left="0"/>
        <w:outlineLvl w:val="1"/>
        <w:rPr>
          <w:rFonts w:ascii="Times New Roman"/>
        </w:rPr>
      </w:pPr>
      <w:bookmarkStart w:id="314" w:name="_Toc4081"/>
      <w:r>
        <w:rPr>
          <w:rFonts w:ascii="Times New Roman"/>
        </w:rPr>
        <w:t>接地阻抗测量</w:t>
      </w:r>
      <w:bookmarkEnd w:id="314"/>
    </w:p>
    <w:p w14:paraId="62DF5F09" w14:textId="77777777" w:rsidR="00DC3EA5" w:rsidRDefault="00000000">
      <w:pPr>
        <w:pStyle w:val="affffffff2"/>
        <w:tabs>
          <w:tab w:val="center" w:pos="4201"/>
          <w:tab w:val="right" w:leader="dot" w:pos="9298"/>
        </w:tabs>
        <w:ind w:firstLine="420"/>
        <w:rPr>
          <w:rFonts w:ascii="Times New Roman"/>
        </w:rPr>
      </w:pPr>
      <w:r>
        <w:rPr>
          <w:rFonts w:ascii="Times New Roman"/>
        </w:rPr>
        <w:t>电气设备和防雷设施的接地阻抗测量，应符合下列规定：</w:t>
      </w:r>
    </w:p>
    <w:p w14:paraId="2E4DB955" w14:textId="77777777" w:rsidR="00DC3EA5" w:rsidRDefault="00000000">
      <w:pPr>
        <w:pStyle w:val="-8"/>
        <w:numPr>
          <w:ilvl w:val="1"/>
          <w:numId w:val="109"/>
        </w:numPr>
        <w:ind w:firstLineChars="0"/>
        <w:rPr>
          <w:rFonts w:ascii="Times New Roman" w:hAnsi="Times New Roman" w:cs="Times New Roman"/>
        </w:rPr>
      </w:pPr>
      <w:r>
        <w:rPr>
          <w:rFonts w:ascii="Times New Roman" w:hAnsi="Times New Roman" w:cs="Times New Roman"/>
        </w:rPr>
        <w:t>接地阻抗值应符合设计文件规定，当设计文件没有规定时应符合</w:t>
      </w:r>
      <w:r>
        <w:rPr>
          <w:rFonts w:ascii="Times New Roman" w:hAnsi="Times New Roman" w:cs="Times New Roman"/>
        </w:rPr>
        <w:t>GB 50150—2016</w:t>
      </w:r>
      <w:r>
        <w:rPr>
          <w:rFonts w:ascii="Times New Roman" w:hAnsi="Times New Roman" w:cs="Times New Roman"/>
        </w:rPr>
        <w:t>中表</w:t>
      </w:r>
      <w:r>
        <w:rPr>
          <w:rFonts w:ascii="Times New Roman" w:hAnsi="Times New Roman" w:cs="Times New Roman"/>
        </w:rPr>
        <w:t>25.0.3</w:t>
      </w:r>
      <w:r>
        <w:rPr>
          <w:rFonts w:ascii="Times New Roman" w:hAnsi="Times New Roman" w:cs="Times New Roman"/>
        </w:rPr>
        <w:t>的要求；</w:t>
      </w:r>
    </w:p>
    <w:p w14:paraId="76CBBC48" w14:textId="77777777" w:rsidR="00DC3EA5" w:rsidRDefault="00000000">
      <w:pPr>
        <w:pStyle w:val="-8"/>
        <w:numPr>
          <w:ilvl w:val="1"/>
          <w:numId w:val="109"/>
        </w:numPr>
        <w:ind w:firstLineChars="0"/>
        <w:rPr>
          <w:rFonts w:ascii="Times New Roman" w:hAnsi="Times New Roman" w:cs="Times New Roman"/>
        </w:rPr>
      </w:pPr>
      <w:r>
        <w:rPr>
          <w:rFonts w:ascii="Times New Roman" w:hAnsi="Times New Roman" w:cs="Times New Roman"/>
        </w:rPr>
        <w:t>试验方法可按现行行业标准《接地装置特性参数测量导则》</w:t>
      </w:r>
      <w:r>
        <w:rPr>
          <w:rFonts w:ascii="Times New Roman" w:hAnsi="Times New Roman" w:cs="Times New Roman"/>
        </w:rPr>
        <w:t>DL/T 475</w:t>
      </w:r>
      <w:r>
        <w:rPr>
          <w:rFonts w:ascii="Times New Roman" w:hAnsi="Times New Roman" w:cs="Times New Roman"/>
        </w:rPr>
        <w:t>的有关规定执行，试验时应排除与接地网连接的架空地线、电缆的影响；</w:t>
      </w:r>
    </w:p>
    <w:p w14:paraId="0102FE29" w14:textId="77777777" w:rsidR="00DC3EA5" w:rsidRDefault="00000000">
      <w:pPr>
        <w:pStyle w:val="-8"/>
        <w:numPr>
          <w:ilvl w:val="1"/>
          <w:numId w:val="109"/>
        </w:numPr>
        <w:ind w:firstLineChars="0"/>
        <w:rPr>
          <w:rFonts w:ascii="Times New Roman" w:hAnsi="Times New Roman" w:cs="Times New Roman"/>
        </w:rPr>
      </w:pPr>
      <w:r>
        <w:rPr>
          <w:rFonts w:ascii="Times New Roman" w:hAnsi="Times New Roman" w:cs="Times New Roman"/>
        </w:rPr>
        <w:t>应在扩建接地网与原接地网连接后进行全场全面测试。</w:t>
      </w:r>
    </w:p>
    <w:p w14:paraId="6ADD22DD" w14:textId="77777777" w:rsidR="00DC3EA5" w:rsidRDefault="00000000">
      <w:pPr>
        <w:pStyle w:val="a7"/>
        <w:ind w:left="0"/>
        <w:outlineLvl w:val="1"/>
        <w:rPr>
          <w:rFonts w:ascii="Times New Roman"/>
        </w:rPr>
      </w:pPr>
      <w:bookmarkStart w:id="315" w:name="_Toc12219"/>
      <w:r>
        <w:rPr>
          <w:rFonts w:ascii="Times New Roman"/>
        </w:rPr>
        <w:t>场区地表电位梯度、接触电位差、跨步电压和转移电位测量</w:t>
      </w:r>
      <w:bookmarkEnd w:id="315"/>
    </w:p>
    <w:p w14:paraId="408F6C6D" w14:textId="77777777" w:rsidR="00DC3EA5" w:rsidRDefault="00000000">
      <w:pPr>
        <w:pStyle w:val="affffffff2"/>
        <w:tabs>
          <w:tab w:val="center" w:pos="4201"/>
          <w:tab w:val="right" w:leader="dot" w:pos="9298"/>
        </w:tabs>
        <w:ind w:firstLine="420"/>
        <w:rPr>
          <w:rFonts w:ascii="Times New Roman"/>
        </w:rPr>
      </w:pPr>
      <w:r>
        <w:rPr>
          <w:rFonts w:ascii="Times New Roman"/>
        </w:rPr>
        <w:t>电气设备和防雷设施接地装置的场区地表电位梯度、接触电位差、跨步电压和转移电位测量，应符合下列规定：</w:t>
      </w:r>
    </w:p>
    <w:p w14:paraId="593F6571" w14:textId="77777777" w:rsidR="00DC3EA5" w:rsidRDefault="00000000">
      <w:pPr>
        <w:pStyle w:val="-8"/>
        <w:numPr>
          <w:ilvl w:val="1"/>
          <w:numId w:val="110"/>
        </w:numPr>
        <w:ind w:firstLineChars="0"/>
        <w:rPr>
          <w:rFonts w:ascii="Times New Roman" w:hAnsi="Times New Roman" w:cs="Times New Roman"/>
        </w:rPr>
      </w:pPr>
      <w:r>
        <w:rPr>
          <w:rFonts w:ascii="Times New Roman" w:hAnsi="Times New Roman" w:cs="Times New Roman"/>
        </w:rPr>
        <w:t>对于大型接地装置宜测量场区地表电位梯度、接触电位差、跨步电压和转移电位，试验方法可按</w:t>
      </w:r>
      <w:r>
        <w:rPr>
          <w:rFonts w:ascii="Times New Roman" w:hAnsi="Times New Roman" w:cs="Times New Roman"/>
        </w:rPr>
        <w:t>DL/T 475</w:t>
      </w:r>
      <w:r>
        <w:rPr>
          <w:rFonts w:ascii="Times New Roman" w:hAnsi="Times New Roman" w:cs="Times New Roman"/>
        </w:rPr>
        <w:t>的有关规定执行，试验时应排除与接地网连接的架空地线、电缆的影响；</w:t>
      </w:r>
    </w:p>
    <w:p w14:paraId="702383B4" w14:textId="77777777" w:rsidR="00DC3EA5" w:rsidRDefault="00000000">
      <w:pPr>
        <w:pStyle w:val="-8"/>
        <w:numPr>
          <w:ilvl w:val="1"/>
          <w:numId w:val="110"/>
        </w:numPr>
        <w:ind w:firstLineChars="0"/>
        <w:rPr>
          <w:rFonts w:ascii="Times New Roman" w:hAnsi="Times New Roman" w:cs="Times New Roman"/>
        </w:rPr>
      </w:pPr>
      <w:r>
        <w:rPr>
          <w:rFonts w:ascii="Times New Roman" w:hAnsi="Times New Roman" w:cs="Times New Roman"/>
        </w:rPr>
        <w:t>当接地网接地阻抗不满足要求时，应测量场区地表电位梯度、接触电位差、跨步电压和转移电位，并应进行综合分析。</w:t>
      </w:r>
    </w:p>
    <w:bookmarkEnd w:id="55"/>
    <w:bookmarkEnd w:id="56"/>
    <w:p w14:paraId="1D808090" w14:textId="77777777" w:rsidR="00DC3EA5" w:rsidRDefault="00DC3EA5">
      <w:pPr>
        <w:widowControl/>
        <w:rPr>
          <w:color w:val="5B9BD5" w:themeColor="accent1"/>
        </w:rPr>
      </w:pPr>
    </w:p>
    <w:p w14:paraId="65D0C4A4" w14:textId="77777777" w:rsidR="00DC3EA5" w:rsidRDefault="00000000">
      <w:pPr>
        <w:pStyle w:val="affffffff2"/>
        <w:ind w:firstLine="422"/>
        <w:jc w:val="center"/>
        <w:rPr>
          <w:rFonts w:hAnsi="宋体" w:hint="eastAsia"/>
        </w:rPr>
      </w:pPr>
      <w:r>
        <w:rPr>
          <w:rFonts w:ascii="黑体" w:eastAsia="黑体" w:hAnsi="黑体" w:hint="eastAsia"/>
          <w:b/>
        </w:rPr>
        <w:t>━━━━━━━━━━━</w:t>
      </w:r>
    </w:p>
    <w:sectPr w:rsidR="00DC3EA5">
      <w:headerReference w:type="default" r:id="rId38"/>
      <w:footerReference w:type="default" r:id="rId39"/>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5CF7" w14:textId="77777777" w:rsidR="007A4F17" w:rsidRDefault="007A4F17">
      <w:r>
        <w:separator/>
      </w:r>
    </w:p>
  </w:endnote>
  <w:endnote w:type="continuationSeparator" w:id="0">
    <w:p w14:paraId="248B3CD4" w14:textId="77777777" w:rsidR="007A4F17" w:rsidRDefault="007A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7E36" w14:textId="77777777" w:rsidR="00DC3EA5"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14</w:t>
    </w:r>
    <w:r>
      <w:rPr>
        <w:rStyle w:val="afffffff4"/>
      </w:rPr>
      <w:fldChar w:fldCharType="end"/>
    </w:r>
  </w:p>
  <w:p w14:paraId="7EB8BECC" w14:textId="77777777" w:rsidR="00DC3EA5" w:rsidRDefault="00DC3EA5">
    <w:pPr>
      <w:pStyle w:val="afffffffb"/>
      <w:ind w:right="360" w:firstLine="360"/>
      <w:rPr>
        <w:rStyle w:val="aff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8206" w14:textId="77777777" w:rsidR="00DC3EA5"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w:t>
    </w:r>
    <w:r>
      <w:rPr>
        <w:rStyle w:val="afffffff4"/>
      </w:rPr>
      <w:fldChar w:fldCharType="end"/>
    </w:r>
  </w:p>
  <w:p w14:paraId="13C1ECC2" w14:textId="77777777" w:rsidR="00DC3EA5" w:rsidRDefault="00DC3EA5">
    <w:pPr>
      <w:pStyle w:val="afffffffc"/>
      <w:ind w:right="360" w:firstLine="360"/>
      <w:rPr>
        <w:rStyle w:val="aff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78A" w14:textId="77777777" w:rsidR="00DC3EA5" w:rsidRDefault="00DC3EA5">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282" w14:textId="77777777" w:rsidR="00DC3EA5" w:rsidRDefault="00000000">
    <w:pPr>
      <w:pStyle w:val="afffff3"/>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13</w:t>
    </w:r>
    <w:r>
      <w:rPr>
        <w:rStyle w:val="afffffff4"/>
      </w:rPr>
      <w:fldChar w:fldCharType="end"/>
    </w:r>
  </w:p>
  <w:p w14:paraId="6345E448" w14:textId="77777777" w:rsidR="00DC3EA5" w:rsidRDefault="00DC3EA5">
    <w:pPr>
      <w:pStyle w:val="afffffffc"/>
      <w:ind w:right="360" w:firstLine="360"/>
      <w:rPr>
        <w:rStyle w:val="aff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95D7" w14:textId="77777777" w:rsidR="007A4F17" w:rsidRDefault="007A4F17">
      <w:r>
        <w:separator/>
      </w:r>
    </w:p>
  </w:footnote>
  <w:footnote w:type="continuationSeparator" w:id="0">
    <w:p w14:paraId="196D9DE8" w14:textId="77777777" w:rsidR="007A4F17" w:rsidRDefault="007A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E074" w14:textId="77777777" w:rsidR="00DC3EA5" w:rsidRDefault="00000000">
    <w:pPr>
      <w:pStyle w:val="afffffffe"/>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2780" w14:textId="77777777" w:rsidR="00DC3EA5" w:rsidRDefault="00000000">
    <w:pPr>
      <w:pStyle w:val="afffffffd"/>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5526" w14:textId="77777777" w:rsidR="00DC3EA5" w:rsidRDefault="00000000">
    <w:pPr>
      <w:pStyle w:val="affffffff"/>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16F" w14:textId="77777777" w:rsidR="00DC3EA5" w:rsidRDefault="00000000">
    <w:pPr>
      <w:pStyle w:val="afffffffd"/>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8639F5"/>
    <w:multiLevelType w:val="multilevel"/>
    <w:tmpl w:val="828639F5"/>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84F13B7D"/>
    <w:multiLevelType w:val="multilevel"/>
    <w:tmpl w:val="84F13B7D"/>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8E8151D0"/>
    <w:multiLevelType w:val="multilevel"/>
    <w:tmpl w:val="8E8151D0"/>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985F087C"/>
    <w:multiLevelType w:val="multilevel"/>
    <w:tmpl w:val="985F087C"/>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9F73C49E"/>
    <w:multiLevelType w:val="multilevel"/>
    <w:tmpl w:val="9F73C49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A068D48E"/>
    <w:multiLevelType w:val="multilevel"/>
    <w:tmpl w:val="A068D48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A2455814"/>
    <w:multiLevelType w:val="multilevel"/>
    <w:tmpl w:val="A2455814"/>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A43E5693"/>
    <w:multiLevelType w:val="multilevel"/>
    <w:tmpl w:val="A43E5693"/>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A7CBCD2A"/>
    <w:multiLevelType w:val="multilevel"/>
    <w:tmpl w:val="A7CBCD2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B69B6925"/>
    <w:multiLevelType w:val="multilevel"/>
    <w:tmpl w:val="B69B6925"/>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BCDDDF4A"/>
    <w:multiLevelType w:val="multilevel"/>
    <w:tmpl w:val="BCDDDF4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BFBB4270"/>
    <w:multiLevelType w:val="multilevel"/>
    <w:tmpl w:val="BFBB4270"/>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C3B7356A"/>
    <w:multiLevelType w:val="multilevel"/>
    <w:tmpl w:val="C3B7356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D275A301"/>
    <w:multiLevelType w:val="multilevel"/>
    <w:tmpl w:val="D275A301"/>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D3624B20"/>
    <w:multiLevelType w:val="multilevel"/>
    <w:tmpl w:val="D3624B20"/>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D620D06B"/>
    <w:multiLevelType w:val="multilevel"/>
    <w:tmpl w:val="D620D06B"/>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D9AF8318"/>
    <w:multiLevelType w:val="multilevel"/>
    <w:tmpl w:val="D9AF8318"/>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DCEC06BC"/>
    <w:multiLevelType w:val="multilevel"/>
    <w:tmpl w:val="DCEC06BC"/>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E3F7AE88"/>
    <w:multiLevelType w:val="multilevel"/>
    <w:tmpl w:val="E3F7AE88"/>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E7AFBF74"/>
    <w:multiLevelType w:val="multilevel"/>
    <w:tmpl w:val="E7AFBF74"/>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E8A68858"/>
    <w:multiLevelType w:val="multilevel"/>
    <w:tmpl w:val="E8A68858"/>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F5A93D7E"/>
    <w:multiLevelType w:val="multilevel"/>
    <w:tmpl w:val="F5A93D7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F63F0C8B"/>
    <w:multiLevelType w:val="multilevel"/>
    <w:tmpl w:val="F63F0C8B"/>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FC6A3FA9"/>
    <w:multiLevelType w:val="multilevel"/>
    <w:tmpl w:val="FC6A3FA9"/>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FE100DF3"/>
    <w:multiLevelType w:val="multilevel"/>
    <w:tmpl w:val="FE100DF3"/>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7"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8"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29"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30"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31"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32"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3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4"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35" w15:restartNumberingAfterBreak="0">
    <w:nsid w:val="02170741"/>
    <w:multiLevelType w:val="multilevel"/>
    <w:tmpl w:val="02170741"/>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028D78B5"/>
    <w:multiLevelType w:val="multilevel"/>
    <w:tmpl w:val="028D78B5"/>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036FA5C1"/>
    <w:multiLevelType w:val="multilevel"/>
    <w:tmpl w:val="036FA5C1"/>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04125C87"/>
    <w:multiLevelType w:val="multilevel"/>
    <w:tmpl w:val="04125C87"/>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06CE5876"/>
    <w:multiLevelType w:val="multilevel"/>
    <w:tmpl w:val="06CE5876"/>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1"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42" w15:restartNumberingAfterBreak="0">
    <w:nsid w:val="097810B9"/>
    <w:multiLevelType w:val="multilevel"/>
    <w:tmpl w:val="097810B9"/>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0A8E28E6"/>
    <w:multiLevelType w:val="multilevel"/>
    <w:tmpl w:val="0A8E28E6"/>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0AB9B591"/>
    <w:multiLevelType w:val="multilevel"/>
    <w:tmpl w:val="0AB9B591"/>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6" w15:restartNumberingAfterBreak="0">
    <w:nsid w:val="0C2E602D"/>
    <w:multiLevelType w:val="multilevel"/>
    <w:tmpl w:val="0C2E602D"/>
    <w:lvl w:ilvl="0">
      <w:start w:val="1"/>
      <w:numFmt w:val="japaneseCounting"/>
      <w:lvlText w:val="（%1）"/>
      <w:lvlJc w:val="left"/>
      <w:pPr>
        <w:ind w:left="1970" w:hanging="1410"/>
      </w:pPr>
      <w:rPr>
        <w:rFonts w:hint="default"/>
      </w:r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48" w15:restartNumberingAfterBreak="0">
    <w:nsid w:val="13497A37"/>
    <w:multiLevelType w:val="multilevel"/>
    <w:tmpl w:val="13497A37"/>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15C8DFDC"/>
    <w:multiLevelType w:val="multilevel"/>
    <w:tmpl w:val="15C8DFDC"/>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18FBD5A2"/>
    <w:multiLevelType w:val="multilevel"/>
    <w:tmpl w:val="18FBD5A2"/>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1BD31DFE"/>
    <w:multiLevelType w:val="multilevel"/>
    <w:tmpl w:val="1BD31DF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15:restartNumberingAfterBreak="0">
    <w:nsid w:val="1C30AA25"/>
    <w:multiLevelType w:val="multilevel"/>
    <w:tmpl w:val="1C30AA25"/>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default"/>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4" w15:restartNumberingAfterBreak="0">
    <w:nsid w:val="201666CA"/>
    <w:multiLevelType w:val="multilevel"/>
    <w:tmpl w:val="201666C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2209D78D"/>
    <w:multiLevelType w:val="multilevel"/>
    <w:tmpl w:val="2209D78D"/>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228E4FB7"/>
    <w:multiLevelType w:val="multilevel"/>
    <w:tmpl w:val="228E4FB7"/>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28849478"/>
    <w:multiLevelType w:val="multilevel"/>
    <w:tmpl w:val="28849478"/>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28BE293D"/>
    <w:multiLevelType w:val="multilevel"/>
    <w:tmpl w:val="28BE293D"/>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0" w15:restartNumberingAfterBreak="0">
    <w:nsid w:val="2B1F7FA1"/>
    <w:multiLevelType w:val="multilevel"/>
    <w:tmpl w:val="2B1F7FA1"/>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2C4E66A7"/>
    <w:multiLevelType w:val="multilevel"/>
    <w:tmpl w:val="2C4E66A7"/>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3" w15:restartNumberingAfterBreak="0">
    <w:nsid w:val="2E224EF0"/>
    <w:multiLevelType w:val="multilevel"/>
    <w:tmpl w:val="2E224EF0"/>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2EC9C094"/>
    <w:multiLevelType w:val="multilevel"/>
    <w:tmpl w:val="2EC9C094"/>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31177DC4"/>
    <w:multiLevelType w:val="multilevel"/>
    <w:tmpl w:val="31177DC4"/>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31319504"/>
    <w:multiLevelType w:val="multilevel"/>
    <w:tmpl w:val="31319504"/>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32C0A58A"/>
    <w:multiLevelType w:val="multilevel"/>
    <w:tmpl w:val="32C0A58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34706D7F"/>
    <w:multiLevelType w:val="multilevel"/>
    <w:tmpl w:val="34706D7F"/>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35041B65"/>
    <w:multiLevelType w:val="multilevel"/>
    <w:tmpl w:val="35041B65"/>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35E88078"/>
    <w:multiLevelType w:val="multilevel"/>
    <w:tmpl w:val="35E88078"/>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39C947EB"/>
    <w:multiLevelType w:val="multilevel"/>
    <w:tmpl w:val="39C947EB"/>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3" w15:restartNumberingAfterBreak="0">
    <w:nsid w:val="3ABA174C"/>
    <w:multiLevelType w:val="multilevel"/>
    <w:tmpl w:val="3ABA174C"/>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3B5A64D2"/>
    <w:multiLevelType w:val="multilevel"/>
    <w:tmpl w:val="3B5A64D2"/>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3C7C9124"/>
    <w:multiLevelType w:val="multilevel"/>
    <w:tmpl w:val="3C7C9124"/>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3DE1CCE2"/>
    <w:multiLevelType w:val="multilevel"/>
    <w:tmpl w:val="3DE1CCE2"/>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15:restartNumberingAfterBreak="0">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8" w15:restartNumberingAfterBreak="0">
    <w:nsid w:val="42D291AB"/>
    <w:multiLevelType w:val="multilevel"/>
    <w:tmpl w:val="42D291AB"/>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441633CA"/>
    <w:multiLevelType w:val="multilevel"/>
    <w:tmpl w:val="441633C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44C50F90"/>
    <w:multiLevelType w:val="multilevel"/>
    <w:tmpl w:val="44C50F90"/>
    <w:lvl w:ilvl="0">
      <w:start w:val="1"/>
      <w:numFmt w:val="lowerLetter"/>
      <w:pStyle w:val="af5"/>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1" w15:restartNumberingAfterBreak="0">
    <w:nsid w:val="456A9DDA"/>
    <w:multiLevelType w:val="multilevel"/>
    <w:tmpl w:val="456A9DD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49DDCB5E"/>
    <w:multiLevelType w:val="multilevel"/>
    <w:tmpl w:val="49DDCB5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84" w15:restartNumberingAfterBreak="0">
    <w:nsid w:val="4E15CB1C"/>
    <w:multiLevelType w:val="multilevel"/>
    <w:tmpl w:val="4E15CB1C"/>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5245EEDE"/>
    <w:multiLevelType w:val="multilevel"/>
    <w:tmpl w:val="5245EED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6" w15:restartNumberingAfterBreak="0">
    <w:nsid w:val="54CF7E5E"/>
    <w:multiLevelType w:val="multilevel"/>
    <w:tmpl w:val="54CF7E5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7" w15:restartNumberingAfterBreak="0">
    <w:nsid w:val="557F06C2"/>
    <w:multiLevelType w:val="multilevel"/>
    <w:tmpl w:val="557F06C2"/>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9" w15:restartNumberingAfterBreak="0">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5C3C67EE"/>
    <w:multiLevelType w:val="multilevel"/>
    <w:tmpl w:val="5C3C67EE"/>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5D13590A"/>
    <w:multiLevelType w:val="multilevel"/>
    <w:tmpl w:val="5D13590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2" w15:restartNumberingAfterBreak="0">
    <w:nsid w:val="5DC41D4E"/>
    <w:multiLevelType w:val="multilevel"/>
    <w:tmpl w:val="5DC41D4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15:restartNumberingAfterBreak="0">
    <w:nsid w:val="5E691FC3"/>
    <w:multiLevelType w:val="multilevel"/>
    <w:tmpl w:val="5E691FC3"/>
    <w:lvl w:ilvl="0">
      <w:start w:val="1"/>
      <w:numFmt w:val="decimal"/>
      <w:suff w:val="nothing"/>
      <w:lvlText w:val="%1　"/>
      <w:lvlJc w:val="left"/>
      <w:pPr>
        <w:ind w:left="0" w:firstLine="0"/>
      </w:pPr>
      <w:rPr>
        <w:rFonts w:ascii="黑体" w:eastAsia="黑体" w:hAnsi="Times New Roman" w:hint="eastAsia"/>
        <w:b w:val="0"/>
        <w:i w:val="0"/>
        <w:sz w:val="21"/>
      </w:rPr>
    </w:lvl>
    <w:lvl w:ilvl="1">
      <w:start w:val="1"/>
      <w:numFmt w:val="decimal"/>
      <w:pStyle w:val="-"/>
      <w:suff w:val="nothing"/>
      <w:lvlText w:val="%1.%2　"/>
      <w:lvlJc w:val="left"/>
      <w:pPr>
        <w:ind w:left="0" w:firstLine="0"/>
      </w:pPr>
      <w:rPr>
        <w:rFonts w:ascii="黑体" w:eastAsia="黑体" w:hAnsi="Times New Roman" w:hint="eastAsia"/>
        <w:b w:val="0"/>
        <w:i w:val="0"/>
        <w:caps w:val="0"/>
        <w:strike w:val="0"/>
        <w:dstrike w:val="0"/>
        <w:vanish w:val="0"/>
        <w:spacing w:val="0"/>
        <w:kern w:val="0"/>
        <w:position w:val="0"/>
        <w:sz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4" w15:restartNumberingAfterBreak="0">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5" w15:restartNumberingAfterBreak="0">
    <w:nsid w:val="612A71EE"/>
    <w:multiLevelType w:val="multilevel"/>
    <w:tmpl w:val="612A71EE"/>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6"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7" w15:restartNumberingAfterBreak="0">
    <w:nsid w:val="67F867DA"/>
    <w:multiLevelType w:val="multilevel"/>
    <w:tmpl w:val="67F867DA"/>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8" w15:restartNumberingAfterBreak="0">
    <w:nsid w:val="6D2A9E4F"/>
    <w:multiLevelType w:val="multilevel"/>
    <w:tmpl w:val="6D2A9E4F"/>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0" w15:restartNumberingAfterBreak="0">
    <w:nsid w:val="6E31AE4B"/>
    <w:multiLevelType w:val="multilevel"/>
    <w:tmpl w:val="6E31AE4B"/>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71973AD7"/>
    <w:multiLevelType w:val="multilevel"/>
    <w:tmpl w:val="71973AD7"/>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2" w15:restartNumberingAfterBreak="0">
    <w:nsid w:val="719B1F25"/>
    <w:multiLevelType w:val="multilevel"/>
    <w:tmpl w:val="719B1F25"/>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3" w15:restartNumberingAfterBreak="0">
    <w:nsid w:val="75DACD52"/>
    <w:multiLevelType w:val="multilevel"/>
    <w:tmpl w:val="75DACD52"/>
    <w:lvl w:ilvl="0">
      <w:start w:val="1"/>
      <w:numFmt w:val="lowerLetter"/>
      <w:lvlText w:val="%1）"/>
      <w:lvlJc w:val="left"/>
      <w:pPr>
        <w:ind w:left="840" w:hanging="420"/>
      </w:pPr>
      <w:rPr>
        <w:rFonts w:ascii="Times New Roman" w:eastAsia="宋体"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4" w15:restartNumberingAfterBreak="0">
    <w:nsid w:val="75E222A4"/>
    <w:multiLevelType w:val="multilevel"/>
    <w:tmpl w:val="75E222A4"/>
    <w:lvl w:ilvl="0">
      <w:start w:val="1"/>
      <w:numFmt w:val="decimal"/>
      <w:pStyle w:val="-0"/>
      <w:suff w:val="nothing"/>
      <w:lvlText w:val="表 %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106" w15:restartNumberingAfterBreak="0">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7" w15:restartNumberingAfterBreak="0">
    <w:nsid w:val="7B207939"/>
    <w:multiLevelType w:val="multilevel"/>
    <w:tmpl w:val="7B207939"/>
    <w:lvl w:ilvl="0">
      <w:start w:val="1"/>
      <w:numFmt w:val="decimal"/>
      <w:suff w:val="nothing"/>
      <w:lvlText w:val="%1"/>
      <w:lvlJc w:val="left"/>
      <w:pPr>
        <w:ind w:left="425" w:hanging="425"/>
      </w:pPr>
      <w:rPr>
        <w:rFonts w:hint="eastAsia"/>
      </w:rPr>
    </w:lvl>
    <w:lvl w:ilvl="1">
      <w:start w:val="1"/>
      <w:numFmt w:val="lowerLetter"/>
      <w:lvlText w:val="%2）"/>
      <w:lvlJc w:val="left"/>
      <w:pPr>
        <w:ind w:left="839" w:hanging="419"/>
      </w:pPr>
      <w:rPr>
        <w:rFonts w:ascii="Times New Roman" w:eastAsia="宋体"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142384668">
    <w:abstractNumId w:val="28"/>
  </w:num>
  <w:num w:numId="2" w16cid:durableId="329874134">
    <w:abstractNumId w:val="30"/>
  </w:num>
  <w:num w:numId="3" w16cid:durableId="1744177312">
    <w:abstractNumId w:val="33"/>
  </w:num>
  <w:num w:numId="4" w16cid:durableId="2044669753">
    <w:abstractNumId w:val="34"/>
  </w:num>
  <w:num w:numId="5" w16cid:durableId="683214295">
    <w:abstractNumId w:val="31"/>
  </w:num>
  <w:num w:numId="6" w16cid:durableId="1678926570">
    <w:abstractNumId w:val="27"/>
  </w:num>
  <w:num w:numId="7" w16cid:durableId="2145147993">
    <w:abstractNumId w:val="32"/>
  </w:num>
  <w:num w:numId="8" w16cid:durableId="658465534">
    <w:abstractNumId w:val="29"/>
  </w:num>
  <w:num w:numId="9" w16cid:durableId="1509757579">
    <w:abstractNumId w:val="26"/>
  </w:num>
  <w:num w:numId="10" w16cid:durableId="139807249">
    <w:abstractNumId w:val="25"/>
  </w:num>
  <w:num w:numId="11" w16cid:durableId="803934618">
    <w:abstractNumId w:val="53"/>
  </w:num>
  <w:num w:numId="12" w16cid:durableId="882912934">
    <w:abstractNumId w:val="96"/>
  </w:num>
  <w:num w:numId="13" w16cid:durableId="429936533">
    <w:abstractNumId w:val="94"/>
  </w:num>
  <w:num w:numId="14" w16cid:durableId="175002667">
    <w:abstractNumId w:val="59"/>
  </w:num>
  <w:num w:numId="15" w16cid:durableId="211501826">
    <w:abstractNumId w:val="106"/>
  </w:num>
  <w:num w:numId="16" w16cid:durableId="1057968364">
    <w:abstractNumId w:val="45"/>
  </w:num>
  <w:num w:numId="17" w16cid:durableId="804470492">
    <w:abstractNumId w:val="80"/>
  </w:num>
  <w:num w:numId="18" w16cid:durableId="811943077">
    <w:abstractNumId w:val="89"/>
  </w:num>
  <w:num w:numId="19" w16cid:durableId="1216702735">
    <w:abstractNumId w:val="41"/>
  </w:num>
  <w:num w:numId="20" w16cid:durableId="1364328625">
    <w:abstractNumId w:val="88"/>
  </w:num>
  <w:num w:numId="21" w16cid:durableId="1719012652">
    <w:abstractNumId w:val="99"/>
  </w:num>
  <w:num w:numId="22" w16cid:durableId="846596437">
    <w:abstractNumId w:val="40"/>
  </w:num>
  <w:num w:numId="23" w16cid:durableId="1910309318">
    <w:abstractNumId w:val="77"/>
  </w:num>
  <w:num w:numId="24" w16cid:durableId="381175992">
    <w:abstractNumId w:val="83"/>
  </w:num>
  <w:num w:numId="25" w16cid:durableId="1230843962">
    <w:abstractNumId w:val="105"/>
  </w:num>
  <w:num w:numId="26" w16cid:durableId="1318270367">
    <w:abstractNumId w:val="47"/>
  </w:num>
  <w:num w:numId="27" w16cid:durableId="2128036167">
    <w:abstractNumId w:val="68"/>
  </w:num>
  <w:num w:numId="28" w16cid:durableId="1760783621">
    <w:abstractNumId w:val="62"/>
  </w:num>
  <w:num w:numId="29" w16cid:durableId="848910342">
    <w:abstractNumId w:val="46"/>
  </w:num>
  <w:num w:numId="30" w16cid:durableId="1831797638">
    <w:abstractNumId w:val="104"/>
  </w:num>
  <w:num w:numId="31" w16cid:durableId="1068266054">
    <w:abstractNumId w:val="93"/>
  </w:num>
  <w:num w:numId="32" w16cid:durableId="612977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970893">
    <w:abstractNumId w:val="79"/>
  </w:num>
  <w:num w:numId="34" w16cid:durableId="1810005783">
    <w:abstractNumId w:val="60"/>
  </w:num>
  <w:num w:numId="35" w16cid:durableId="1291860909">
    <w:abstractNumId w:val="52"/>
  </w:num>
  <w:num w:numId="36" w16cid:durableId="196430807">
    <w:abstractNumId w:val="8"/>
  </w:num>
  <w:num w:numId="37" w16cid:durableId="2096590683">
    <w:abstractNumId w:val="14"/>
  </w:num>
  <w:num w:numId="38" w16cid:durableId="370423090">
    <w:abstractNumId w:val="21"/>
  </w:num>
  <w:num w:numId="39" w16cid:durableId="733360426">
    <w:abstractNumId w:val="5"/>
  </w:num>
  <w:num w:numId="40" w16cid:durableId="2034844747">
    <w:abstractNumId w:val="3"/>
  </w:num>
  <w:num w:numId="41" w16cid:durableId="730421647">
    <w:abstractNumId w:val="12"/>
  </w:num>
  <w:num w:numId="42" w16cid:durableId="1521580917">
    <w:abstractNumId w:val="103"/>
  </w:num>
  <w:num w:numId="43" w16cid:durableId="899630745">
    <w:abstractNumId w:val="95"/>
  </w:num>
  <w:num w:numId="44" w16cid:durableId="848256862">
    <w:abstractNumId w:val="55"/>
  </w:num>
  <w:num w:numId="45" w16cid:durableId="400979444">
    <w:abstractNumId w:val="16"/>
  </w:num>
  <w:num w:numId="46" w16cid:durableId="2088065690">
    <w:abstractNumId w:val="11"/>
  </w:num>
  <w:num w:numId="47" w16cid:durableId="201747011">
    <w:abstractNumId w:val="37"/>
  </w:num>
  <w:num w:numId="48" w16cid:durableId="271715482">
    <w:abstractNumId w:val="4"/>
  </w:num>
  <w:num w:numId="49" w16cid:durableId="596718890">
    <w:abstractNumId w:val="9"/>
  </w:num>
  <w:num w:numId="50" w16cid:durableId="1905675640">
    <w:abstractNumId w:val="51"/>
  </w:num>
  <w:num w:numId="51" w16cid:durableId="1212645053">
    <w:abstractNumId w:val="72"/>
  </w:num>
  <w:num w:numId="52" w16cid:durableId="1891963060">
    <w:abstractNumId w:val="91"/>
  </w:num>
  <w:num w:numId="53" w16cid:durableId="446971505">
    <w:abstractNumId w:val="57"/>
  </w:num>
  <w:num w:numId="54" w16cid:durableId="944195655">
    <w:abstractNumId w:val="0"/>
  </w:num>
  <w:num w:numId="55" w16cid:durableId="233206887">
    <w:abstractNumId w:val="10"/>
  </w:num>
  <w:num w:numId="56" w16cid:durableId="604118705">
    <w:abstractNumId w:val="104"/>
    <w:lvlOverride w:ilvl="0">
      <w:lvl w:ilvl="0">
        <w:start w:val="1"/>
        <w:numFmt w:val="decimal"/>
        <w:pStyle w:val="-0"/>
        <w:suff w:val="nothing"/>
        <w:lvlText w:val="表 %1　"/>
        <w:lvlJc w:val="left"/>
        <w:pPr>
          <w:ind w:left="420" w:hanging="420"/>
        </w:pPr>
        <w:rPr>
          <w:rFonts w:hint="eastAsia"/>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57" w16cid:durableId="453447489">
    <w:abstractNumId w:val="7"/>
  </w:num>
  <w:num w:numId="58" w16cid:durableId="2141458873">
    <w:abstractNumId w:val="17"/>
  </w:num>
  <w:num w:numId="59" w16cid:durableId="1722628241">
    <w:abstractNumId w:val="67"/>
  </w:num>
  <w:num w:numId="60" w16cid:durableId="340012238">
    <w:abstractNumId w:val="81"/>
  </w:num>
  <w:num w:numId="61" w16cid:durableId="299384374">
    <w:abstractNumId w:val="86"/>
  </w:num>
  <w:num w:numId="62" w16cid:durableId="1857646691">
    <w:abstractNumId w:val="92"/>
  </w:num>
  <w:num w:numId="63" w16cid:durableId="1506045062">
    <w:abstractNumId w:val="54"/>
  </w:num>
  <w:num w:numId="64" w16cid:durableId="787898813">
    <w:abstractNumId w:val="85"/>
  </w:num>
  <w:num w:numId="65" w16cid:durableId="1445424119">
    <w:abstractNumId w:val="98"/>
  </w:num>
  <w:num w:numId="66" w16cid:durableId="1079523068">
    <w:abstractNumId w:val="107"/>
  </w:num>
  <w:num w:numId="67" w16cid:durableId="252932600">
    <w:abstractNumId w:val="63"/>
  </w:num>
  <w:num w:numId="68" w16cid:durableId="1177842425">
    <w:abstractNumId w:val="35"/>
  </w:num>
  <w:num w:numId="69" w16cid:durableId="525365167">
    <w:abstractNumId w:val="66"/>
  </w:num>
  <w:num w:numId="70" w16cid:durableId="969167228">
    <w:abstractNumId w:val="6"/>
  </w:num>
  <w:num w:numId="71" w16cid:durableId="1022978064">
    <w:abstractNumId w:val="13"/>
  </w:num>
  <w:num w:numId="72" w16cid:durableId="913472640">
    <w:abstractNumId w:val="15"/>
  </w:num>
  <w:num w:numId="73" w16cid:durableId="1492984304">
    <w:abstractNumId w:val="76"/>
  </w:num>
  <w:num w:numId="74" w16cid:durableId="1283614448">
    <w:abstractNumId w:val="50"/>
  </w:num>
  <w:num w:numId="75" w16cid:durableId="1988514775">
    <w:abstractNumId w:val="101"/>
  </w:num>
  <w:num w:numId="76" w16cid:durableId="483086912">
    <w:abstractNumId w:val="42"/>
  </w:num>
  <w:num w:numId="77" w16cid:durableId="528565885">
    <w:abstractNumId w:val="36"/>
  </w:num>
  <w:num w:numId="78" w16cid:durableId="1093475193">
    <w:abstractNumId w:val="44"/>
  </w:num>
  <w:num w:numId="79" w16cid:durableId="25645399">
    <w:abstractNumId w:val="82"/>
  </w:num>
  <w:num w:numId="80" w16cid:durableId="241640883">
    <w:abstractNumId w:val="75"/>
  </w:num>
  <w:num w:numId="81" w16cid:durableId="398216749">
    <w:abstractNumId w:val="97"/>
  </w:num>
  <w:num w:numId="82" w16cid:durableId="318076635">
    <w:abstractNumId w:val="39"/>
  </w:num>
  <w:num w:numId="83" w16cid:durableId="518928575">
    <w:abstractNumId w:val="61"/>
  </w:num>
  <w:num w:numId="84" w16cid:durableId="711267156">
    <w:abstractNumId w:val="22"/>
  </w:num>
  <w:num w:numId="85" w16cid:durableId="440956725">
    <w:abstractNumId w:val="102"/>
  </w:num>
  <w:num w:numId="86" w16cid:durableId="1386446037">
    <w:abstractNumId w:val="73"/>
  </w:num>
  <w:num w:numId="87" w16cid:durableId="1807046156">
    <w:abstractNumId w:val="100"/>
  </w:num>
  <w:num w:numId="88" w16cid:durableId="1010762094">
    <w:abstractNumId w:val="84"/>
  </w:num>
  <w:num w:numId="89" w16cid:durableId="441653200">
    <w:abstractNumId w:val="18"/>
  </w:num>
  <w:num w:numId="90" w16cid:durableId="256132719">
    <w:abstractNumId w:val="49"/>
  </w:num>
  <w:num w:numId="91" w16cid:durableId="1566143792">
    <w:abstractNumId w:val="64"/>
  </w:num>
  <w:num w:numId="92" w16cid:durableId="764884327">
    <w:abstractNumId w:val="74"/>
  </w:num>
  <w:num w:numId="93" w16cid:durableId="1082605489">
    <w:abstractNumId w:val="19"/>
  </w:num>
  <w:num w:numId="94" w16cid:durableId="1364792453">
    <w:abstractNumId w:val="78"/>
  </w:num>
  <w:num w:numId="95" w16cid:durableId="1290625899">
    <w:abstractNumId w:val="38"/>
  </w:num>
  <w:num w:numId="96" w16cid:durableId="1738898917">
    <w:abstractNumId w:val="20"/>
  </w:num>
  <w:num w:numId="97" w16cid:durableId="290013329">
    <w:abstractNumId w:val="87"/>
  </w:num>
  <w:num w:numId="98" w16cid:durableId="1607620223">
    <w:abstractNumId w:val="2"/>
  </w:num>
  <w:num w:numId="99" w16cid:durableId="1889757630">
    <w:abstractNumId w:val="1"/>
  </w:num>
  <w:num w:numId="100" w16cid:durableId="1733385989">
    <w:abstractNumId w:val="90"/>
  </w:num>
  <w:num w:numId="101" w16cid:durableId="828248364">
    <w:abstractNumId w:val="71"/>
  </w:num>
  <w:num w:numId="102" w16cid:durableId="1940526407">
    <w:abstractNumId w:val="24"/>
  </w:num>
  <w:num w:numId="103" w16cid:durableId="1047803646">
    <w:abstractNumId w:val="23"/>
  </w:num>
  <w:num w:numId="104" w16cid:durableId="1851942054">
    <w:abstractNumId w:val="69"/>
  </w:num>
  <w:num w:numId="105" w16cid:durableId="1813061995">
    <w:abstractNumId w:val="43"/>
  </w:num>
  <w:num w:numId="106" w16cid:durableId="373504669">
    <w:abstractNumId w:val="65"/>
  </w:num>
  <w:num w:numId="107" w16cid:durableId="2094737416">
    <w:abstractNumId w:val="58"/>
  </w:num>
  <w:num w:numId="108" w16cid:durableId="1339579537">
    <w:abstractNumId w:val="70"/>
  </w:num>
  <w:num w:numId="109" w16cid:durableId="1251351503">
    <w:abstractNumId w:val="56"/>
  </w:num>
  <w:num w:numId="110" w16cid:durableId="2760545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12F"/>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56C6"/>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08EC"/>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29C3"/>
    <w:rsid w:val="004A3243"/>
    <w:rsid w:val="004B2E14"/>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22A2"/>
    <w:rsid w:val="00773A5E"/>
    <w:rsid w:val="00775E39"/>
    <w:rsid w:val="00776408"/>
    <w:rsid w:val="00777A2D"/>
    <w:rsid w:val="0078233D"/>
    <w:rsid w:val="00792DBE"/>
    <w:rsid w:val="00795E45"/>
    <w:rsid w:val="007A3A15"/>
    <w:rsid w:val="007A4F17"/>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B3FF9"/>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37404"/>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E4B8A"/>
    <w:rsid w:val="00CF740D"/>
    <w:rsid w:val="00D10F52"/>
    <w:rsid w:val="00D20260"/>
    <w:rsid w:val="00D32102"/>
    <w:rsid w:val="00D46185"/>
    <w:rsid w:val="00D679FB"/>
    <w:rsid w:val="00D77681"/>
    <w:rsid w:val="00DB3DB0"/>
    <w:rsid w:val="00DB5820"/>
    <w:rsid w:val="00DC300E"/>
    <w:rsid w:val="00DC3EA5"/>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B18EE"/>
    <w:rsid w:val="00ED0CF3"/>
    <w:rsid w:val="00ED1474"/>
    <w:rsid w:val="00ED7098"/>
    <w:rsid w:val="00EE4858"/>
    <w:rsid w:val="00EE4A1A"/>
    <w:rsid w:val="00F172FB"/>
    <w:rsid w:val="00F17B6A"/>
    <w:rsid w:val="00F252F0"/>
    <w:rsid w:val="00F25CA4"/>
    <w:rsid w:val="00F32F63"/>
    <w:rsid w:val="00F3590F"/>
    <w:rsid w:val="00F66499"/>
    <w:rsid w:val="00F72156"/>
    <w:rsid w:val="00F73EF2"/>
    <w:rsid w:val="00F8041E"/>
    <w:rsid w:val="00F863B5"/>
    <w:rsid w:val="00FB6A1E"/>
    <w:rsid w:val="00FC52FA"/>
    <w:rsid w:val="00FD2859"/>
    <w:rsid w:val="00FD74B3"/>
    <w:rsid w:val="00FE15CE"/>
    <w:rsid w:val="1B64086B"/>
    <w:rsid w:val="28252FC9"/>
    <w:rsid w:val="31EC5663"/>
    <w:rsid w:val="37D34B64"/>
    <w:rsid w:val="3A91262F"/>
    <w:rsid w:val="4BDB502F"/>
    <w:rsid w:val="5DBE3A7C"/>
    <w:rsid w:val="6C5D623A"/>
    <w:rsid w:val="72B7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9A137B"/>
  <w15:docId w15:val="{17EA061A-C459-4432-92B8-EC37160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2">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afff3"/>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pPr>
      <w:ind w:leftChars="400" w:left="100" w:hangingChars="200" w:hanging="200"/>
      <w:contextualSpacing/>
    </w:pPr>
  </w:style>
  <w:style w:type="paragraph" w:styleId="TOC7">
    <w:name w:val="toc 7"/>
    <w:basedOn w:val="TOC6"/>
    <w:semiHidden/>
    <w:qFormat/>
    <w:pPr>
      <w:ind w:leftChars="500" w:left="500"/>
    </w:pPr>
  </w:style>
  <w:style w:type="paragraph" w:styleId="TOC6">
    <w:name w:val="toc 6"/>
    <w:basedOn w:val="TOC5"/>
    <w:semiHidden/>
    <w:qFormat/>
    <w:pPr>
      <w:ind w:leftChars="400" w:left="400"/>
    </w:pPr>
  </w:style>
  <w:style w:type="paragraph" w:styleId="TOC5">
    <w:name w:val="toc 5"/>
    <w:basedOn w:val="TOC4"/>
    <w:semiHidden/>
    <w:qFormat/>
    <w:pPr>
      <w:ind w:leftChars="300" w:left="300"/>
    </w:pPr>
  </w:style>
  <w:style w:type="paragraph" w:styleId="TOC4">
    <w:name w:val="toc 4"/>
    <w:basedOn w:val="TOC3"/>
    <w:semiHidden/>
    <w:qFormat/>
    <w:pPr>
      <w:ind w:leftChars="200" w:left="200"/>
    </w:pPr>
  </w:style>
  <w:style w:type="paragraph" w:styleId="TOC3">
    <w:name w:val="toc 3"/>
    <w:basedOn w:val="TOC2"/>
    <w:uiPriority w:val="39"/>
    <w:qFormat/>
    <w:pPr>
      <w:ind w:leftChars="100" w:left="100"/>
    </w:pPr>
  </w:style>
  <w:style w:type="paragraph" w:styleId="TOC2">
    <w:name w:val="toc 2"/>
    <w:basedOn w:val="TOC1"/>
    <w:uiPriority w:val="39"/>
    <w:qFormat/>
  </w:style>
  <w:style w:type="paragraph" w:styleId="TOC1">
    <w:name w:val="toc 1"/>
    <w:uiPriority w:val="39"/>
    <w:qFormat/>
    <w:pPr>
      <w:spacing w:beforeLines="25" w:before="25" w:afterLines="25" w:after="25"/>
      <w:jc w:val="both"/>
    </w:pPr>
    <w:rPr>
      <w:rFonts w:ascii="宋体"/>
      <w:sz w:val="21"/>
    </w:rPr>
  </w:style>
  <w:style w:type="paragraph" w:styleId="2">
    <w:name w:val="List Number 2"/>
    <w:basedOn w:val="affe"/>
    <w:uiPriority w:val="99"/>
    <w:semiHidden/>
    <w:unhideWhenUsed/>
    <w:qFormat/>
    <w:pPr>
      <w:numPr>
        <w:numId w:val="1"/>
      </w:numPr>
      <w:contextualSpacing/>
    </w:pPr>
  </w:style>
  <w:style w:type="paragraph" w:styleId="afff4">
    <w:name w:val="table of authorities"/>
    <w:basedOn w:val="affe"/>
    <w:next w:val="affe"/>
    <w:uiPriority w:val="99"/>
    <w:semiHidden/>
    <w:unhideWhenUsed/>
    <w:qFormat/>
    <w:pPr>
      <w:ind w:leftChars="200" w:left="420"/>
    </w:pPr>
  </w:style>
  <w:style w:type="paragraph" w:styleId="afff5">
    <w:name w:val="Note Heading"/>
    <w:basedOn w:val="affe"/>
    <w:next w:val="affe"/>
    <w:link w:val="afff6"/>
    <w:uiPriority w:val="99"/>
    <w:semiHidden/>
    <w:unhideWhenUsed/>
    <w:qFormat/>
    <w:pPr>
      <w:jc w:val="center"/>
    </w:pPr>
  </w:style>
  <w:style w:type="paragraph" w:styleId="40">
    <w:name w:val="List Bullet 4"/>
    <w:basedOn w:val="aff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7">
    <w:name w:val="E-mail Signature"/>
    <w:basedOn w:val="affe"/>
    <w:link w:val="afff8"/>
    <w:uiPriority w:val="99"/>
    <w:semiHidden/>
    <w:unhideWhenUsed/>
    <w:qFormat/>
  </w:style>
  <w:style w:type="paragraph" w:styleId="a">
    <w:name w:val="List Number"/>
    <w:basedOn w:val="affe"/>
    <w:uiPriority w:val="99"/>
    <w:semiHidden/>
    <w:unhideWhenUsed/>
    <w:qFormat/>
    <w:pPr>
      <w:numPr>
        <w:numId w:val="3"/>
      </w:numPr>
      <w:contextualSpacing/>
    </w:pPr>
  </w:style>
  <w:style w:type="paragraph" w:styleId="afff9">
    <w:name w:val="Normal Indent"/>
    <w:basedOn w:val="affe"/>
    <w:uiPriority w:val="99"/>
    <w:semiHidden/>
    <w:unhideWhenUsed/>
    <w:qFormat/>
    <w:pPr>
      <w:ind w:firstLineChars="200" w:firstLine="420"/>
    </w:pPr>
  </w:style>
  <w:style w:type="paragraph" w:styleId="afffa">
    <w:name w:val="caption"/>
    <w:basedOn w:val="affe"/>
    <w:next w:val="affe"/>
    <w:qFormat/>
    <w:rPr>
      <w:rFonts w:ascii="宋体" w:hAnsi="Arial" w:cs="Arial"/>
      <w:szCs w:val="20"/>
    </w:rPr>
  </w:style>
  <w:style w:type="paragraph" w:styleId="52">
    <w:name w:val="index 5"/>
    <w:basedOn w:val="affe"/>
    <w:next w:val="affe"/>
    <w:uiPriority w:val="99"/>
    <w:semiHidden/>
    <w:unhideWhenUsed/>
    <w:qFormat/>
    <w:pPr>
      <w:ind w:leftChars="800" w:left="800"/>
    </w:pPr>
  </w:style>
  <w:style w:type="paragraph" w:styleId="a0">
    <w:name w:val="List Bullet"/>
    <w:basedOn w:val="affe"/>
    <w:uiPriority w:val="99"/>
    <w:semiHidden/>
    <w:unhideWhenUsed/>
    <w:qFormat/>
    <w:pPr>
      <w:numPr>
        <w:numId w:val="4"/>
      </w:numPr>
      <w:contextualSpacing/>
    </w:pPr>
  </w:style>
  <w:style w:type="paragraph" w:styleId="afffb">
    <w:name w:val="envelope address"/>
    <w:basedOn w:val="aff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c">
    <w:name w:val="Document Map"/>
    <w:basedOn w:val="affe"/>
    <w:link w:val="afffd"/>
    <w:uiPriority w:val="99"/>
    <w:semiHidden/>
    <w:unhideWhenUsed/>
    <w:qFormat/>
    <w:rPr>
      <w:rFonts w:ascii="Microsoft YaHei UI" w:eastAsia="Microsoft YaHei UI"/>
      <w:sz w:val="18"/>
      <w:szCs w:val="18"/>
    </w:rPr>
  </w:style>
  <w:style w:type="paragraph" w:styleId="afffe">
    <w:name w:val="toa heading"/>
    <w:basedOn w:val="affe"/>
    <w:next w:val="affe"/>
    <w:uiPriority w:val="99"/>
    <w:semiHidden/>
    <w:unhideWhenUsed/>
    <w:qFormat/>
    <w:pPr>
      <w:spacing w:before="120"/>
    </w:pPr>
    <w:rPr>
      <w:rFonts w:asciiTheme="majorHAnsi" w:hAnsiTheme="majorHAnsi" w:cstheme="majorBidi"/>
      <w:sz w:val="24"/>
    </w:rPr>
  </w:style>
  <w:style w:type="paragraph" w:styleId="affff">
    <w:name w:val="annotation text"/>
    <w:basedOn w:val="affe"/>
    <w:link w:val="affff0"/>
    <w:uiPriority w:val="99"/>
    <w:unhideWhenUsed/>
    <w:qFormat/>
    <w:pPr>
      <w:jc w:val="left"/>
    </w:pPr>
  </w:style>
  <w:style w:type="paragraph" w:styleId="60">
    <w:name w:val="index 6"/>
    <w:basedOn w:val="affe"/>
    <w:next w:val="affe"/>
    <w:uiPriority w:val="99"/>
    <w:semiHidden/>
    <w:unhideWhenUsed/>
    <w:qFormat/>
    <w:pPr>
      <w:ind w:leftChars="1000" w:left="1000"/>
    </w:pPr>
  </w:style>
  <w:style w:type="paragraph" w:styleId="affff1">
    <w:name w:val="Salutation"/>
    <w:basedOn w:val="affe"/>
    <w:next w:val="affe"/>
    <w:link w:val="affff2"/>
    <w:uiPriority w:val="99"/>
    <w:semiHidden/>
    <w:unhideWhenUsed/>
    <w:qFormat/>
  </w:style>
  <w:style w:type="paragraph" w:styleId="33">
    <w:name w:val="Body Text 3"/>
    <w:basedOn w:val="affe"/>
    <w:link w:val="34"/>
    <w:uiPriority w:val="99"/>
    <w:semiHidden/>
    <w:unhideWhenUsed/>
    <w:qFormat/>
    <w:pPr>
      <w:spacing w:after="120"/>
    </w:pPr>
    <w:rPr>
      <w:sz w:val="16"/>
      <w:szCs w:val="16"/>
    </w:rPr>
  </w:style>
  <w:style w:type="paragraph" w:styleId="affff3">
    <w:name w:val="Closing"/>
    <w:basedOn w:val="affe"/>
    <w:link w:val="affff4"/>
    <w:uiPriority w:val="99"/>
    <w:semiHidden/>
    <w:unhideWhenUsed/>
    <w:qFormat/>
    <w:pPr>
      <w:ind w:leftChars="2100" w:left="100"/>
    </w:pPr>
  </w:style>
  <w:style w:type="paragraph" w:styleId="30">
    <w:name w:val="List Bullet 3"/>
    <w:basedOn w:val="affe"/>
    <w:uiPriority w:val="99"/>
    <w:semiHidden/>
    <w:unhideWhenUsed/>
    <w:qFormat/>
    <w:pPr>
      <w:numPr>
        <w:numId w:val="5"/>
      </w:numPr>
      <w:contextualSpacing/>
    </w:pPr>
  </w:style>
  <w:style w:type="paragraph" w:styleId="affff5">
    <w:name w:val="Body Text"/>
    <w:basedOn w:val="affe"/>
    <w:link w:val="affff6"/>
    <w:uiPriority w:val="99"/>
    <w:semiHidden/>
    <w:unhideWhenUsed/>
    <w:qFormat/>
    <w:pPr>
      <w:spacing w:after="120"/>
    </w:pPr>
  </w:style>
  <w:style w:type="paragraph" w:styleId="affff7">
    <w:name w:val="Body Text Indent"/>
    <w:basedOn w:val="affe"/>
    <w:link w:val="affff8"/>
    <w:uiPriority w:val="99"/>
    <w:semiHidden/>
    <w:unhideWhenUsed/>
    <w:qFormat/>
    <w:pPr>
      <w:spacing w:after="120"/>
      <w:ind w:leftChars="200" w:left="420"/>
    </w:pPr>
  </w:style>
  <w:style w:type="paragraph" w:styleId="3">
    <w:name w:val="List Number 3"/>
    <w:basedOn w:val="affe"/>
    <w:uiPriority w:val="99"/>
    <w:semiHidden/>
    <w:unhideWhenUsed/>
    <w:qFormat/>
    <w:pPr>
      <w:numPr>
        <w:numId w:val="6"/>
      </w:numPr>
      <w:contextualSpacing/>
    </w:pPr>
  </w:style>
  <w:style w:type="paragraph" w:styleId="23">
    <w:name w:val="List 2"/>
    <w:basedOn w:val="affe"/>
    <w:uiPriority w:val="99"/>
    <w:semiHidden/>
    <w:unhideWhenUsed/>
    <w:qFormat/>
    <w:pPr>
      <w:ind w:leftChars="200" w:left="100" w:hangingChars="200" w:hanging="200"/>
      <w:contextualSpacing/>
    </w:pPr>
  </w:style>
  <w:style w:type="paragraph" w:styleId="affff9">
    <w:name w:val="List Continue"/>
    <w:basedOn w:val="affe"/>
    <w:uiPriority w:val="99"/>
    <w:semiHidden/>
    <w:unhideWhenUsed/>
    <w:qFormat/>
    <w:pPr>
      <w:spacing w:after="120"/>
      <w:ind w:leftChars="200" w:left="420"/>
      <w:contextualSpacing/>
    </w:pPr>
  </w:style>
  <w:style w:type="paragraph" w:styleId="affffa">
    <w:name w:val="Block Text"/>
    <w:basedOn w:val="affe"/>
    <w:uiPriority w:val="99"/>
    <w:semiHidden/>
    <w:unhideWhenUsed/>
    <w:qFormat/>
    <w:pPr>
      <w:spacing w:after="120"/>
      <w:ind w:leftChars="700" w:left="1440" w:rightChars="700" w:right="1440"/>
    </w:pPr>
  </w:style>
  <w:style w:type="paragraph" w:styleId="20">
    <w:name w:val="List Bullet 2"/>
    <w:basedOn w:val="affe"/>
    <w:uiPriority w:val="99"/>
    <w:semiHidden/>
    <w:unhideWhenUsed/>
    <w:qFormat/>
    <w:pPr>
      <w:numPr>
        <w:numId w:val="7"/>
      </w:numPr>
      <w:contextualSpacing/>
    </w:pPr>
  </w:style>
  <w:style w:type="paragraph" w:styleId="HTML">
    <w:name w:val="HTML Address"/>
    <w:basedOn w:val="affe"/>
    <w:semiHidden/>
    <w:qFormat/>
    <w:rPr>
      <w:i/>
      <w:iCs/>
    </w:rPr>
  </w:style>
  <w:style w:type="paragraph" w:styleId="42">
    <w:name w:val="index 4"/>
    <w:basedOn w:val="affe"/>
    <w:next w:val="affe"/>
    <w:uiPriority w:val="99"/>
    <w:semiHidden/>
    <w:unhideWhenUsed/>
    <w:qFormat/>
    <w:pPr>
      <w:ind w:leftChars="600" w:left="600"/>
    </w:pPr>
  </w:style>
  <w:style w:type="paragraph" w:styleId="affffb">
    <w:name w:val="Plain Text"/>
    <w:basedOn w:val="affe"/>
    <w:link w:val="affffc"/>
    <w:uiPriority w:val="99"/>
    <w:semiHidden/>
    <w:unhideWhenUsed/>
    <w:qFormat/>
    <w:rPr>
      <w:rFonts w:ascii="宋体" w:hAnsi="Courier New" w:cs="Courier New"/>
      <w:szCs w:val="21"/>
    </w:rPr>
  </w:style>
  <w:style w:type="paragraph" w:styleId="50">
    <w:name w:val="List Bullet 5"/>
    <w:basedOn w:val="affe"/>
    <w:uiPriority w:val="99"/>
    <w:semiHidden/>
    <w:unhideWhenUsed/>
    <w:qFormat/>
    <w:pPr>
      <w:numPr>
        <w:numId w:val="8"/>
      </w:numPr>
      <w:contextualSpacing/>
    </w:pPr>
  </w:style>
  <w:style w:type="paragraph" w:styleId="4">
    <w:name w:val="List Number 4"/>
    <w:basedOn w:val="affe"/>
    <w:uiPriority w:val="99"/>
    <w:semiHidden/>
    <w:unhideWhenUsed/>
    <w:qFormat/>
    <w:pPr>
      <w:numPr>
        <w:numId w:val="9"/>
      </w:numPr>
      <w:contextualSpacing/>
    </w:pPr>
  </w:style>
  <w:style w:type="paragraph" w:styleId="TOC8">
    <w:name w:val="toc 8"/>
    <w:basedOn w:val="TOC7"/>
    <w:semiHidden/>
    <w:qFormat/>
  </w:style>
  <w:style w:type="paragraph" w:styleId="35">
    <w:name w:val="index 3"/>
    <w:basedOn w:val="affe"/>
    <w:next w:val="affe"/>
    <w:uiPriority w:val="99"/>
    <w:semiHidden/>
    <w:unhideWhenUsed/>
    <w:qFormat/>
    <w:pPr>
      <w:ind w:leftChars="400" w:left="400"/>
    </w:pPr>
  </w:style>
  <w:style w:type="paragraph" w:styleId="affffd">
    <w:name w:val="Date"/>
    <w:basedOn w:val="affe"/>
    <w:next w:val="affe"/>
    <w:link w:val="affffe"/>
    <w:uiPriority w:val="99"/>
    <w:semiHidden/>
    <w:unhideWhenUsed/>
    <w:qFormat/>
    <w:pPr>
      <w:ind w:leftChars="2500" w:left="100"/>
    </w:pPr>
  </w:style>
  <w:style w:type="paragraph" w:styleId="24">
    <w:name w:val="Body Text Indent 2"/>
    <w:basedOn w:val="affe"/>
    <w:link w:val="25"/>
    <w:uiPriority w:val="99"/>
    <w:semiHidden/>
    <w:unhideWhenUsed/>
    <w:qFormat/>
    <w:pPr>
      <w:spacing w:after="120" w:line="480" w:lineRule="auto"/>
      <w:ind w:leftChars="200" w:left="420"/>
    </w:pPr>
  </w:style>
  <w:style w:type="paragraph" w:styleId="afffff">
    <w:name w:val="endnote text"/>
    <w:basedOn w:val="affe"/>
    <w:link w:val="afffff0"/>
    <w:uiPriority w:val="99"/>
    <w:semiHidden/>
    <w:unhideWhenUsed/>
    <w:qFormat/>
    <w:pPr>
      <w:snapToGrid w:val="0"/>
      <w:jc w:val="left"/>
    </w:pPr>
  </w:style>
  <w:style w:type="paragraph" w:styleId="53">
    <w:name w:val="List Continue 5"/>
    <w:basedOn w:val="affe"/>
    <w:uiPriority w:val="99"/>
    <w:semiHidden/>
    <w:unhideWhenUsed/>
    <w:qFormat/>
    <w:pPr>
      <w:spacing w:after="120"/>
      <w:ind w:leftChars="1000" w:left="2100"/>
      <w:contextualSpacing/>
    </w:pPr>
  </w:style>
  <w:style w:type="paragraph" w:styleId="afffff1">
    <w:name w:val="Balloon Text"/>
    <w:basedOn w:val="affe"/>
    <w:link w:val="afffff2"/>
    <w:uiPriority w:val="99"/>
    <w:semiHidden/>
    <w:unhideWhenUsed/>
    <w:qFormat/>
    <w:rPr>
      <w:sz w:val="18"/>
      <w:szCs w:val="18"/>
    </w:rPr>
  </w:style>
  <w:style w:type="paragraph" w:styleId="afffff3">
    <w:name w:val="footer"/>
    <w:basedOn w:val="affe"/>
    <w:semiHidden/>
    <w:qFormat/>
    <w:pPr>
      <w:tabs>
        <w:tab w:val="center" w:pos="4153"/>
        <w:tab w:val="right" w:pos="8306"/>
      </w:tabs>
      <w:snapToGrid w:val="0"/>
      <w:ind w:rightChars="100" w:right="210"/>
      <w:jc w:val="right"/>
    </w:pPr>
    <w:rPr>
      <w:sz w:val="18"/>
      <w:szCs w:val="18"/>
    </w:rPr>
  </w:style>
  <w:style w:type="paragraph" w:styleId="afffff4">
    <w:name w:val="envelope return"/>
    <w:basedOn w:val="affe"/>
    <w:uiPriority w:val="99"/>
    <w:semiHidden/>
    <w:unhideWhenUsed/>
    <w:qFormat/>
    <w:pPr>
      <w:snapToGrid w:val="0"/>
    </w:pPr>
    <w:rPr>
      <w:rFonts w:asciiTheme="majorHAnsi" w:eastAsiaTheme="majorEastAsia" w:hAnsiTheme="majorHAnsi" w:cstheme="majorBidi"/>
    </w:rPr>
  </w:style>
  <w:style w:type="paragraph" w:styleId="afffff5">
    <w:name w:val="header"/>
    <w:basedOn w:val="affe"/>
    <w:semiHidden/>
    <w:qFormat/>
    <w:pPr>
      <w:pBdr>
        <w:bottom w:val="single" w:sz="6" w:space="1" w:color="auto"/>
      </w:pBdr>
      <w:tabs>
        <w:tab w:val="center" w:pos="4153"/>
        <w:tab w:val="right" w:pos="8306"/>
      </w:tabs>
      <w:snapToGrid w:val="0"/>
      <w:jc w:val="center"/>
    </w:pPr>
    <w:rPr>
      <w:sz w:val="18"/>
      <w:szCs w:val="18"/>
    </w:rPr>
  </w:style>
  <w:style w:type="paragraph" w:styleId="afffff6">
    <w:name w:val="Signature"/>
    <w:basedOn w:val="affe"/>
    <w:link w:val="afffff7"/>
    <w:uiPriority w:val="99"/>
    <w:semiHidden/>
    <w:unhideWhenUsed/>
    <w:qFormat/>
    <w:pPr>
      <w:ind w:leftChars="2100" w:left="100"/>
    </w:pPr>
  </w:style>
  <w:style w:type="paragraph" w:styleId="43">
    <w:name w:val="List Continue 4"/>
    <w:basedOn w:val="affe"/>
    <w:uiPriority w:val="99"/>
    <w:semiHidden/>
    <w:unhideWhenUsed/>
    <w:qFormat/>
    <w:pPr>
      <w:spacing w:after="120"/>
      <w:ind w:leftChars="800" w:left="1680"/>
      <w:contextualSpacing/>
    </w:pPr>
  </w:style>
  <w:style w:type="paragraph" w:styleId="afffff8">
    <w:name w:val="index heading"/>
    <w:basedOn w:val="affe"/>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e"/>
    <w:next w:val="affe"/>
    <w:uiPriority w:val="99"/>
    <w:semiHidden/>
    <w:unhideWhenUsed/>
    <w:qFormat/>
    <w:rPr>
      <w:rFonts w:ascii="宋体" w:hAnsi="宋体"/>
    </w:rPr>
  </w:style>
  <w:style w:type="paragraph" w:styleId="afffff9">
    <w:name w:val="Subtitle"/>
    <w:basedOn w:val="affe"/>
    <w:next w:val="affe"/>
    <w:link w:val="afffff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pPr>
      <w:numPr>
        <w:numId w:val="10"/>
      </w:numPr>
      <w:contextualSpacing/>
    </w:pPr>
  </w:style>
  <w:style w:type="paragraph" w:styleId="afffffb">
    <w:name w:val="List"/>
    <w:basedOn w:val="affe"/>
    <w:uiPriority w:val="99"/>
    <w:semiHidden/>
    <w:unhideWhenUsed/>
    <w:qFormat/>
    <w:pPr>
      <w:ind w:left="200" w:hangingChars="200" w:hanging="200"/>
      <w:contextualSpacing/>
    </w:pPr>
  </w:style>
  <w:style w:type="paragraph" w:styleId="afffffc">
    <w:name w:val="footnote text"/>
    <w:basedOn w:val="affe"/>
    <w:semiHidden/>
    <w:qFormat/>
    <w:pPr>
      <w:snapToGrid w:val="0"/>
      <w:ind w:leftChars="200" w:left="400" w:hangingChars="200" w:hanging="200"/>
      <w:jc w:val="left"/>
    </w:pPr>
    <w:rPr>
      <w:sz w:val="18"/>
      <w:szCs w:val="18"/>
    </w:rPr>
  </w:style>
  <w:style w:type="paragraph" w:styleId="54">
    <w:name w:val="List 5"/>
    <w:basedOn w:val="affe"/>
    <w:uiPriority w:val="99"/>
    <w:semiHidden/>
    <w:unhideWhenUsed/>
    <w:qFormat/>
    <w:pPr>
      <w:ind w:leftChars="800" w:left="100" w:hangingChars="200" w:hanging="200"/>
      <w:contextualSpacing/>
    </w:pPr>
  </w:style>
  <w:style w:type="paragraph" w:styleId="36">
    <w:name w:val="Body Text Indent 3"/>
    <w:basedOn w:val="affe"/>
    <w:link w:val="37"/>
    <w:uiPriority w:val="99"/>
    <w:semiHidden/>
    <w:unhideWhenUsed/>
    <w:qFormat/>
    <w:pPr>
      <w:spacing w:after="120"/>
      <w:ind w:leftChars="200" w:left="420"/>
    </w:pPr>
    <w:rPr>
      <w:sz w:val="16"/>
      <w:szCs w:val="16"/>
    </w:rPr>
  </w:style>
  <w:style w:type="paragraph" w:styleId="70">
    <w:name w:val="index 7"/>
    <w:basedOn w:val="affe"/>
    <w:next w:val="affe"/>
    <w:uiPriority w:val="99"/>
    <w:semiHidden/>
    <w:unhideWhenUsed/>
    <w:qFormat/>
    <w:pPr>
      <w:ind w:leftChars="1200" w:left="1200"/>
    </w:pPr>
  </w:style>
  <w:style w:type="paragraph" w:styleId="90">
    <w:name w:val="index 9"/>
    <w:basedOn w:val="affe"/>
    <w:next w:val="affe"/>
    <w:uiPriority w:val="99"/>
    <w:semiHidden/>
    <w:unhideWhenUsed/>
    <w:qFormat/>
    <w:pPr>
      <w:ind w:leftChars="1600" w:left="1600"/>
    </w:pPr>
  </w:style>
  <w:style w:type="paragraph" w:styleId="afffffd">
    <w:name w:val="table of figures"/>
    <w:basedOn w:val="affe"/>
    <w:next w:val="affe"/>
    <w:semiHidden/>
    <w:qFormat/>
  </w:style>
  <w:style w:type="paragraph" w:styleId="TOC9">
    <w:name w:val="toc 9"/>
    <w:basedOn w:val="TOC8"/>
    <w:semiHidden/>
    <w:qFormat/>
  </w:style>
  <w:style w:type="paragraph" w:styleId="26">
    <w:name w:val="Body Text 2"/>
    <w:basedOn w:val="affe"/>
    <w:link w:val="27"/>
    <w:uiPriority w:val="99"/>
    <w:semiHidden/>
    <w:unhideWhenUsed/>
    <w:qFormat/>
    <w:pPr>
      <w:spacing w:after="120" w:line="480" w:lineRule="auto"/>
    </w:pPr>
  </w:style>
  <w:style w:type="paragraph" w:styleId="44">
    <w:name w:val="List 4"/>
    <w:basedOn w:val="affe"/>
    <w:uiPriority w:val="99"/>
    <w:semiHidden/>
    <w:unhideWhenUsed/>
    <w:qFormat/>
    <w:pPr>
      <w:ind w:leftChars="600" w:left="100" w:hangingChars="200" w:hanging="200"/>
      <w:contextualSpacing/>
    </w:pPr>
  </w:style>
  <w:style w:type="paragraph" w:styleId="28">
    <w:name w:val="List Continue 2"/>
    <w:basedOn w:val="affe"/>
    <w:uiPriority w:val="99"/>
    <w:semiHidden/>
    <w:unhideWhenUsed/>
    <w:qFormat/>
    <w:pPr>
      <w:spacing w:after="120"/>
      <w:ind w:leftChars="400" w:left="840"/>
      <w:contextualSpacing/>
    </w:pPr>
  </w:style>
  <w:style w:type="paragraph" w:styleId="afffffe">
    <w:name w:val="Message Header"/>
    <w:basedOn w:val="affe"/>
    <w:link w:val="affffff"/>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Pr>
      <w:rFonts w:ascii="Courier New" w:hAnsi="Courier New" w:cs="Courier New"/>
      <w:sz w:val="20"/>
      <w:szCs w:val="20"/>
    </w:rPr>
  </w:style>
  <w:style w:type="paragraph" w:styleId="affffff0">
    <w:name w:val="Normal (Web)"/>
    <w:basedOn w:val="affe"/>
    <w:uiPriority w:val="99"/>
    <w:semiHidden/>
    <w:unhideWhenUsed/>
    <w:qFormat/>
    <w:rPr>
      <w:sz w:val="24"/>
    </w:rPr>
  </w:style>
  <w:style w:type="paragraph" w:styleId="38">
    <w:name w:val="List Continue 3"/>
    <w:basedOn w:val="affe"/>
    <w:uiPriority w:val="99"/>
    <w:semiHidden/>
    <w:unhideWhenUsed/>
    <w:qFormat/>
    <w:pPr>
      <w:spacing w:after="120"/>
      <w:ind w:leftChars="600" w:left="1260"/>
      <w:contextualSpacing/>
    </w:pPr>
  </w:style>
  <w:style w:type="paragraph" w:styleId="29">
    <w:name w:val="index 2"/>
    <w:basedOn w:val="affe"/>
    <w:next w:val="affe"/>
    <w:uiPriority w:val="99"/>
    <w:semiHidden/>
    <w:unhideWhenUsed/>
    <w:qFormat/>
    <w:pPr>
      <w:ind w:leftChars="200" w:left="200"/>
    </w:pPr>
  </w:style>
  <w:style w:type="paragraph" w:styleId="affffff1">
    <w:name w:val="Title"/>
    <w:basedOn w:val="affe"/>
    <w:qFormat/>
    <w:pPr>
      <w:spacing w:before="240" w:after="60"/>
      <w:jc w:val="center"/>
      <w:outlineLvl w:val="0"/>
    </w:pPr>
    <w:rPr>
      <w:rFonts w:ascii="Arial" w:hAnsi="Arial" w:cs="Arial"/>
      <w:b/>
      <w:bCs/>
      <w:sz w:val="32"/>
      <w:szCs w:val="32"/>
    </w:rPr>
  </w:style>
  <w:style w:type="paragraph" w:styleId="affffff2">
    <w:name w:val="annotation subject"/>
    <w:basedOn w:val="affff"/>
    <w:next w:val="affff"/>
    <w:link w:val="affffff3"/>
    <w:uiPriority w:val="99"/>
    <w:semiHidden/>
    <w:unhideWhenUsed/>
    <w:qFormat/>
    <w:rPr>
      <w:b/>
      <w:bCs/>
    </w:rPr>
  </w:style>
  <w:style w:type="paragraph" w:styleId="affffff4">
    <w:name w:val="Body Text First Indent"/>
    <w:basedOn w:val="affff5"/>
    <w:link w:val="affffff5"/>
    <w:uiPriority w:val="99"/>
    <w:semiHidden/>
    <w:unhideWhenUsed/>
    <w:qFormat/>
    <w:pPr>
      <w:ind w:firstLineChars="100" w:firstLine="420"/>
    </w:pPr>
  </w:style>
  <w:style w:type="paragraph" w:styleId="2a">
    <w:name w:val="Body Text First Indent 2"/>
    <w:basedOn w:val="affff7"/>
    <w:link w:val="2b"/>
    <w:uiPriority w:val="99"/>
    <w:semiHidden/>
    <w:unhideWhenUsed/>
    <w:qFormat/>
    <w:pPr>
      <w:ind w:firstLineChars="200" w:firstLine="420"/>
    </w:pPr>
  </w:style>
  <w:style w:type="table" w:styleId="affffff6">
    <w:name w:val="Table Grid"/>
    <w:basedOn w:val="aff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7">
    <w:name w:val="Table Theme"/>
    <w:basedOn w:val="afff0"/>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0"/>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fff0"/>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0"/>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8">
    <w:name w:val="Table Elegant"/>
    <w:basedOn w:val="afff0"/>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0"/>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0"/>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0"/>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fff0"/>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0"/>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fff0"/>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0"/>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fff0"/>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0"/>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0"/>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fff0"/>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0"/>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0"/>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9">
    <w:name w:val="Table Contemporary"/>
    <w:basedOn w:val="afff0"/>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fff0"/>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0"/>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0"/>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0"/>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fff0"/>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0"/>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0"/>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0"/>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0"/>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fff0"/>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0"/>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a">
    <w:name w:val="Table Professional"/>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b">
    <w:name w:val="Light Shading"/>
    <w:basedOn w:val="afff0"/>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c">
    <w:name w:val="Light List"/>
    <w:basedOn w:val="afff0"/>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d">
    <w:name w:val="Light Grid"/>
    <w:basedOn w:val="afff0"/>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0"/>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0"/>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0"/>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0"/>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0"/>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e">
    <w:name w:val="Dark List"/>
    <w:basedOn w:val="afff0"/>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
    <w:name w:val="Colorful Shading"/>
    <w:basedOn w:val="afff0"/>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0"/>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0"/>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2">
    <w:name w:val="Strong"/>
    <w:basedOn w:val="afff"/>
    <w:uiPriority w:val="22"/>
    <w:qFormat/>
    <w:rPr>
      <w:b/>
      <w:bCs/>
    </w:rPr>
  </w:style>
  <w:style w:type="character" w:styleId="afffffff3">
    <w:name w:val="endnote reference"/>
    <w:basedOn w:val="afff"/>
    <w:uiPriority w:val="99"/>
    <w:semiHidden/>
    <w:unhideWhenUsed/>
    <w:qFormat/>
    <w:rPr>
      <w:vertAlign w:val="superscript"/>
    </w:rPr>
  </w:style>
  <w:style w:type="character" w:styleId="afffffff4">
    <w:name w:val="page number"/>
    <w:basedOn w:val="afff"/>
    <w:semiHidden/>
    <w:qFormat/>
    <w:rPr>
      <w:rFonts w:ascii="Times New Roman" w:eastAsia="宋体" w:hAnsi="Times New Roman"/>
      <w:sz w:val="18"/>
    </w:rPr>
  </w:style>
  <w:style w:type="character" w:styleId="afffffff5">
    <w:name w:val="FollowedHyperlink"/>
    <w:basedOn w:val="afff"/>
    <w:uiPriority w:val="99"/>
    <w:semiHidden/>
    <w:unhideWhenUsed/>
    <w:qFormat/>
    <w:rPr>
      <w:color w:val="954F72" w:themeColor="followedHyperlink"/>
      <w:u w:val="single"/>
    </w:rPr>
  </w:style>
  <w:style w:type="character" w:styleId="afffffff6">
    <w:name w:val="Emphasis"/>
    <w:basedOn w:val="afff"/>
    <w:uiPriority w:val="20"/>
    <w:qFormat/>
    <w:rPr>
      <w:i/>
      <w:iCs/>
    </w:rPr>
  </w:style>
  <w:style w:type="character" w:styleId="afffffff7">
    <w:name w:val="line number"/>
    <w:basedOn w:val="afff"/>
    <w:uiPriority w:val="99"/>
    <w:semiHidden/>
    <w:unhideWhenUsed/>
    <w:qFormat/>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f9">
    <w:name w:val="annotation reference"/>
    <w:basedOn w:val="afff"/>
    <w:uiPriority w:val="99"/>
    <w:semiHidden/>
    <w:unhideWhenUsed/>
    <w:qFormat/>
    <w:rPr>
      <w:sz w:val="21"/>
      <w:szCs w:val="21"/>
    </w:rPr>
  </w:style>
  <w:style w:type="character" w:styleId="HTML6">
    <w:name w:val="HTML Cite"/>
    <w:basedOn w:val="afff"/>
    <w:semiHidden/>
    <w:qFormat/>
    <w:rPr>
      <w:i/>
      <w:iCs/>
    </w:rPr>
  </w:style>
  <w:style w:type="character" w:styleId="afffffffa">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b">
    <w:name w:val="标准书脚_偶数页"/>
    <w:qFormat/>
    <w:pPr>
      <w:spacing w:before="120"/>
    </w:pPr>
    <w:rPr>
      <w:sz w:val="18"/>
    </w:rPr>
  </w:style>
  <w:style w:type="paragraph" w:customStyle="1" w:styleId="afffffffc">
    <w:name w:val="标准书脚_奇数页"/>
    <w:qFormat/>
    <w:pPr>
      <w:spacing w:before="120"/>
      <w:jc w:val="right"/>
    </w:pPr>
    <w:rPr>
      <w:sz w:val="18"/>
    </w:rPr>
  </w:style>
  <w:style w:type="paragraph" w:customStyle="1" w:styleId="afffffffd">
    <w:name w:val="标准书眉_奇数页"/>
    <w:next w:val="affe"/>
    <w:qFormat/>
    <w:pPr>
      <w:tabs>
        <w:tab w:val="center" w:pos="4154"/>
        <w:tab w:val="right" w:pos="8306"/>
      </w:tabs>
      <w:spacing w:after="120"/>
      <w:jc w:val="right"/>
    </w:pPr>
    <w:rPr>
      <w:sz w:val="21"/>
    </w:rPr>
  </w:style>
  <w:style w:type="paragraph" w:customStyle="1" w:styleId="afffffffe">
    <w:name w:val="标准书眉_偶数页"/>
    <w:basedOn w:val="afffffffd"/>
    <w:next w:val="affe"/>
    <w:qFormat/>
    <w:pPr>
      <w:jc w:val="left"/>
    </w:pPr>
  </w:style>
  <w:style w:type="paragraph" w:customStyle="1" w:styleId="affffffff">
    <w:name w:val="标准书眉一"/>
    <w:qFormat/>
    <w:pPr>
      <w:jc w:val="both"/>
    </w:pPr>
  </w:style>
  <w:style w:type="paragraph" w:customStyle="1" w:styleId="affffffff0">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f1">
    <w:name w:val="参考文献、索引标题"/>
    <w:basedOn w:val="affffffff0"/>
    <w:next w:val="affe"/>
    <w:qFormat/>
    <w:pPr>
      <w:spacing w:after="200"/>
    </w:pPr>
    <w:rPr>
      <w:sz w:val="21"/>
    </w:rPr>
  </w:style>
  <w:style w:type="paragraph" w:customStyle="1" w:styleId="affffffff2">
    <w:name w:val="段"/>
    <w:link w:val="Char"/>
    <w:qFormat/>
    <w:pPr>
      <w:ind w:firstLineChars="200" w:firstLine="200"/>
      <w:jc w:val="both"/>
    </w:pPr>
    <w:rPr>
      <w:rFonts w:ascii="宋体"/>
      <w:sz w:val="21"/>
    </w:rPr>
  </w:style>
  <w:style w:type="paragraph" w:customStyle="1" w:styleId="a6">
    <w:name w:val="章标题"/>
    <w:next w:val="affffffff2"/>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f2"/>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f2"/>
    <w:qFormat/>
    <w:pPr>
      <w:numPr>
        <w:ilvl w:val="2"/>
      </w:numPr>
      <w:spacing w:before="50" w:after="50"/>
      <w:outlineLvl w:val="9"/>
    </w:pPr>
  </w:style>
  <w:style w:type="character" w:customStyle="1" w:styleId="1d">
    <w:name w:val="发布_1"/>
    <w:basedOn w:val="afff"/>
    <w:qFormat/>
    <w:rPr>
      <w:rFonts w:ascii="黑体" w:eastAsia="黑体"/>
      <w:spacing w:val="22"/>
      <w:w w:val="100"/>
      <w:position w:val="3"/>
      <w:sz w:val="28"/>
    </w:rPr>
  </w:style>
  <w:style w:type="paragraph" w:customStyle="1" w:styleId="GB0">
    <w:name w:val="发布部门GB"/>
    <w:next w:val="affffffff2"/>
    <w:qFormat/>
    <w:pPr>
      <w:spacing w:line="360" w:lineRule="exact"/>
      <w:jc w:val="center"/>
    </w:pPr>
    <w:rPr>
      <w:rFonts w:ascii="宋体"/>
      <w:b/>
      <w:sz w:val="36"/>
    </w:rPr>
  </w:style>
  <w:style w:type="paragraph" w:customStyle="1" w:styleId="affffffff3">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8">
    <w:name w:val="封面标准号2"/>
    <w:basedOn w:val="1e"/>
    <w:qFormat/>
    <w:pPr>
      <w:adjustRightInd w:val="0"/>
      <w:spacing w:before="357" w:line="280" w:lineRule="exact"/>
    </w:pPr>
  </w:style>
  <w:style w:type="paragraph" w:customStyle="1" w:styleId="affffffff4">
    <w:name w:val="封面标准代替信息"/>
    <w:basedOn w:val="2f8"/>
    <w:qFormat/>
    <w:pPr>
      <w:spacing w:before="0" w:line="360" w:lineRule="exact"/>
    </w:pPr>
    <w:rPr>
      <w:rFonts w:hAnsi="黑体"/>
      <w:sz w:val="21"/>
    </w:rPr>
  </w:style>
  <w:style w:type="paragraph" w:customStyle="1" w:styleId="affffffff5">
    <w:name w:val="封面标准名称"/>
    <w:qFormat/>
    <w:pPr>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before="330" w:line="400" w:lineRule="exact"/>
      <w:jc w:val="center"/>
    </w:pPr>
    <w:rPr>
      <w:rFonts w:ascii="黑体" w:eastAsia="黑体"/>
      <w:sz w:val="28"/>
    </w:rPr>
  </w:style>
  <w:style w:type="paragraph" w:customStyle="1" w:styleId="affffffff9">
    <w:name w:val="封面一致性程度标识"/>
    <w:qFormat/>
    <w:pPr>
      <w:spacing w:before="680" w:line="400" w:lineRule="exact"/>
      <w:jc w:val="center"/>
    </w:pPr>
    <w:rPr>
      <w:rFonts w:ascii="黑体" w:eastAsia="黑体" w:hAnsi="黑体"/>
      <w:sz w:val="28"/>
    </w:rPr>
  </w:style>
  <w:style w:type="paragraph" w:customStyle="1" w:styleId="affffffffa">
    <w:name w:val="封面正文"/>
    <w:qFormat/>
    <w:pPr>
      <w:jc w:val="both"/>
    </w:pPr>
  </w:style>
  <w:style w:type="paragraph" w:customStyle="1" w:styleId="afd">
    <w:name w:val="附录标识"/>
    <w:basedOn w:val="affe"/>
    <w:next w:val="aff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ff2"/>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ff2"/>
    <w:qFormat/>
    <w:pPr>
      <w:numPr>
        <w:ilvl w:val="2"/>
      </w:numPr>
      <w:autoSpaceDN w:val="0"/>
    </w:pPr>
  </w:style>
  <w:style w:type="paragraph" w:customStyle="1" w:styleId="aff0">
    <w:name w:val="附录二级条标题"/>
    <w:basedOn w:val="affe"/>
    <w:next w:val="affffffff2"/>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ff2"/>
    <w:qFormat/>
    <w:pPr>
      <w:numPr>
        <w:ilvl w:val="4"/>
      </w:numPr>
    </w:pPr>
  </w:style>
  <w:style w:type="paragraph" w:customStyle="1" w:styleId="aff2">
    <w:name w:val="附录四级条标题"/>
    <w:basedOn w:val="aff1"/>
    <w:next w:val="affffffff2"/>
    <w:qFormat/>
    <w:pPr>
      <w:numPr>
        <w:ilvl w:val="5"/>
      </w:numPr>
    </w:pPr>
  </w:style>
  <w:style w:type="paragraph" w:customStyle="1" w:styleId="ad">
    <w:name w:val="附录图标题"/>
    <w:basedOn w:val="affe"/>
    <w:next w:val="affe"/>
    <w:qFormat/>
    <w:pPr>
      <w:numPr>
        <w:ilvl w:val="1"/>
        <w:numId w:val="14"/>
      </w:numPr>
      <w:spacing w:beforeLines="50" w:before="50" w:afterLines="50" w:after="50"/>
      <w:jc w:val="center"/>
    </w:pPr>
    <w:rPr>
      <w:rFonts w:ascii="黑体" w:eastAsia="黑体"/>
      <w:szCs w:val="21"/>
    </w:rPr>
  </w:style>
  <w:style w:type="paragraph" w:customStyle="1" w:styleId="aff3">
    <w:name w:val="附录五级条标题"/>
    <w:basedOn w:val="aff2"/>
    <w:next w:val="affffffff2"/>
    <w:qFormat/>
    <w:pPr>
      <w:numPr>
        <w:ilvl w:val="6"/>
      </w:numPr>
      <w:outlineLvl w:val="6"/>
    </w:pPr>
  </w:style>
  <w:style w:type="character" w:customStyle="1" w:styleId="affffffffb">
    <w:name w:val="个人答复风格"/>
    <w:basedOn w:val="afff"/>
    <w:qFormat/>
    <w:rPr>
      <w:rFonts w:ascii="Arial" w:eastAsia="宋体" w:hAnsi="Arial" w:cs="Arial"/>
      <w:color w:val="auto"/>
      <w:sz w:val="20"/>
    </w:rPr>
  </w:style>
  <w:style w:type="character" w:customStyle="1" w:styleId="affffffffc">
    <w:name w:val="个人撰写风格"/>
    <w:basedOn w:val="afff"/>
    <w:qFormat/>
    <w:rPr>
      <w:rFonts w:ascii="Arial" w:eastAsia="宋体" w:hAnsi="Arial" w:cs="Arial"/>
      <w:color w:val="auto"/>
      <w:sz w:val="20"/>
    </w:rPr>
  </w:style>
  <w:style w:type="paragraph" w:customStyle="1" w:styleId="affd">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d">
    <w:name w:val="目次、标准名称标题"/>
    <w:basedOn w:val="affffffff0"/>
    <w:next w:val="affffffff2"/>
    <w:qFormat/>
    <w:pPr>
      <w:spacing w:line="460" w:lineRule="exact"/>
      <w:outlineLvl w:val="9"/>
    </w:pPr>
  </w:style>
  <w:style w:type="paragraph" w:customStyle="1" w:styleId="affffffffe">
    <w:name w:val="目次、索引正文"/>
    <w:qFormat/>
    <w:pPr>
      <w:spacing w:line="320" w:lineRule="exact"/>
      <w:jc w:val="both"/>
    </w:pPr>
    <w:rPr>
      <w:rFonts w:ascii="宋体"/>
      <w:sz w:val="21"/>
    </w:r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f2"/>
    <w:qFormat/>
    <w:pPr>
      <w:numPr>
        <w:ilvl w:val="3"/>
      </w:numPr>
    </w:pPr>
  </w:style>
  <w:style w:type="paragraph" w:customStyle="1" w:styleId="afffffffff1">
    <w:name w:val="实施日期"/>
    <w:basedOn w:val="affffffff3"/>
    <w:qFormat/>
    <w:pPr>
      <w:jc w:val="right"/>
    </w:pPr>
  </w:style>
  <w:style w:type="paragraph" w:customStyle="1" w:styleId="a4">
    <w:name w:val="示例"/>
    <w:next w:val="afffffffff2"/>
    <w:qFormat/>
    <w:pPr>
      <w:widowControl w:val="0"/>
      <w:numPr>
        <w:numId w:val="16"/>
      </w:numPr>
      <w:jc w:val="both"/>
    </w:pPr>
    <w:rPr>
      <w:rFonts w:ascii="宋体"/>
      <w:sz w:val="18"/>
      <w:szCs w:val="18"/>
    </w:rPr>
  </w:style>
  <w:style w:type="paragraph" w:customStyle="1" w:styleId="afffffffff2">
    <w:name w:val="示例段"/>
    <w:basedOn w:val="affffffff2"/>
    <w:qFormat/>
    <w:pPr>
      <w:ind w:firstLine="420"/>
    </w:pPr>
    <w:rPr>
      <w:sz w:val="18"/>
    </w:rPr>
  </w:style>
  <w:style w:type="paragraph" w:customStyle="1" w:styleId="af6">
    <w:name w:val="数字编号列项（二级）"/>
    <w:qFormat/>
    <w:pPr>
      <w:numPr>
        <w:ilvl w:val="1"/>
        <w:numId w:val="17"/>
      </w:numPr>
      <w:jc w:val="both"/>
    </w:pPr>
    <w:rPr>
      <w:rFonts w:ascii="宋体"/>
      <w:sz w:val="21"/>
    </w:rPr>
  </w:style>
  <w:style w:type="paragraph" w:customStyle="1" w:styleId="aa">
    <w:name w:val="四级条标题"/>
    <w:basedOn w:val="a9"/>
    <w:next w:val="affffffff2"/>
    <w:qFormat/>
    <w:pPr>
      <w:numPr>
        <w:ilvl w:val="4"/>
      </w:numPr>
    </w:pPr>
  </w:style>
  <w:style w:type="paragraph" w:customStyle="1" w:styleId="af9">
    <w:name w:val="条文脚注"/>
    <w:basedOn w:val="afffffc"/>
    <w:link w:val="Char0"/>
    <w:qFormat/>
    <w:pPr>
      <w:numPr>
        <w:numId w:val="18"/>
      </w:numPr>
      <w:ind w:firstLineChars="0" w:firstLine="0"/>
      <w:jc w:val="both"/>
    </w:pPr>
    <w:rPr>
      <w:rFonts w:ascii="宋体"/>
    </w:rPr>
  </w:style>
  <w:style w:type="paragraph" w:customStyle="1" w:styleId="afffffffff3">
    <w:name w:val="图表脚注"/>
    <w:next w:val="affffffff2"/>
    <w:qFormat/>
    <w:pPr>
      <w:ind w:leftChars="200" w:left="300" w:hangingChars="100" w:hanging="100"/>
      <w:jc w:val="both"/>
    </w:pPr>
    <w:rPr>
      <w:rFonts w:ascii="宋体"/>
      <w:sz w:val="18"/>
    </w:rPr>
  </w:style>
  <w:style w:type="paragraph" w:customStyle="1" w:styleId="af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ff2"/>
    <w:qFormat/>
    <w:pPr>
      <w:jc w:val="both"/>
    </w:pPr>
    <w:rPr>
      <w:sz w:val="21"/>
    </w:rPr>
  </w:style>
  <w:style w:type="paragraph" w:customStyle="1" w:styleId="ab">
    <w:name w:val="五级条标题"/>
    <w:basedOn w:val="aa"/>
    <w:next w:val="affffffff2"/>
    <w:qFormat/>
    <w:pPr>
      <w:numPr>
        <w:ilvl w:val="5"/>
      </w:numPr>
    </w:pPr>
  </w:style>
  <w:style w:type="paragraph" w:customStyle="1" w:styleId="a2">
    <w:name w:val="正文表标题"/>
    <w:next w:val="affffffff2"/>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ff2"/>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ff2"/>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f2"/>
    <w:qFormat/>
    <w:pPr>
      <w:widowControl/>
      <w:numPr>
        <w:numId w:val="24"/>
      </w:numPr>
    </w:pPr>
    <w:rPr>
      <w:rFonts w:ascii="宋体"/>
      <w:kern w:val="0"/>
      <w:sz w:val="18"/>
      <w:szCs w:val="18"/>
    </w:rPr>
  </w:style>
  <w:style w:type="paragraph" w:customStyle="1" w:styleId="aff5">
    <w:name w:val="工程建设章标题"/>
    <w:next w:val="affffffff2"/>
    <w:qFormat/>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f2"/>
    <w:qFormat/>
    <w:pPr>
      <w:numPr>
        <w:ilvl w:val="2"/>
      </w:numPr>
      <w:spacing w:before="400" w:after="400" w:line="240" w:lineRule="auto"/>
      <w:outlineLvl w:val="2"/>
    </w:pPr>
    <w:rPr>
      <w:sz w:val="21"/>
    </w:rPr>
  </w:style>
  <w:style w:type="paragraph" w:customStyle="1" w:styleId="aff7">
    <w:name w:val="工程建设条标题"/>
    <w:basedOn w:val="aff6"/>
    <w:next w:val="affffffff2"/>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ff2"/>
    <w:qFormat/>
    <w:pPr>
      <w:numPr>
        <w:ilvl w:val="8"/>
        <w:numId w:val="25"/>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f6">
    <w:name w:val="名称"/>
    <w:basedOn w:val="affffffff0"/>
    <w:next w:val="affffffff2"/>
    <w:qFormat/>
    <w:pPr>
      <w:spacing w:line="460" w:lineRule="exact"/>
      <w:outlineLvl w:val="9"/>
    </w:pPr>
  </w:style>
  <w:style w:type="paragraph" w:customStyle="1" w:styleId="a3">
    <w:name w:val="正文表标题续表"/>
    <w:basedOn w:val="a2"/>
    <w:next w:val="affffffff2"/>
    <w:qFormat/>
    <w:pPr>
      <w:numPr>
        <w:ilvl w:val="2"/>
      </w:numPr>
    </w:pPr>
  </w:style>
  <w:style w:type="paragraph" w:customStyle="1" w:styleId="afc">
    <w:name w:val="附录表标题续表"/>
    <w:basedOn w:val="afb"/>
    <w:next w:val="affffffff2"/>
    <w:qFormat/>
    <w:pPr>
      <w:numPr>
        <w:ilvl w:val="2"/>
      </w:numPr>
    </w:pPr>
  </w:style>
  <w:style w:type="paragraph" w:customStyle="1" w:styleId="afffffffff7">
    <w:name w:val="术语定义二级条标题"/>
    <w:basedOn w:val="a8"/>
    <w:next w:val="affffffff2"/>
    <w:qFormat/>
    <w:pPr>
      <w:spacing w:beforeLines="0" w:before="0" w:afterLines="0" w:after="0"/>
    </w:pPr>
  </w:style>
  <w:style w:type="paragraph" w:customStyle="1" w:styleId="afffffffff8">
    <w:name w:val="术语定义三级条标题"/>
    <w:basedOn w:val="a9"/>
    <w:next w:val="affffffff2"/>
    <w:qFormat/>
    <w:pPr>
      <w:spacing w:beforeLines="0" w:before="0" w:afterLines="0" w:after="0"/>
    </w:pPr>
  </w:style>
  <w:style w:type="paragraph" w:customStyle="1" w:styleId="afffffffff9">
    <w:name w:val="式中"/>
    <w:qFormat/>
    <w:pPr>
      <w:ind w:leftChars="200" w:left="200"/>
    </w:pPr>
    <w:rPr>
      <w:rFonts w:ascii="宋体"/>
      <w:sz w:val="21"/>
    </w:rPr>
  </w:style>
  <w:style w:type="paragraph" w:customStyle="1" w:styleId="afffffffffa">
    <w:name w:val="术语定义四级条标题"/>
    <w:basedOn w:val="aa"/>
    <w:next w:val="affffffff2"/>
    <w:qFormat/>
    <w:pPr>
      <w:spacing w:beforeLines="0" w:before="0" w:afterLines="0" w:after="0"/>
    </w:pPr>
  </w:style>
  <w:style w:type="paragraph" w:customStyle="1" w:styleId="afffffffffb">
    <w:name w:val="术语定义五级条标题"/>
    <w:basedOn w:val="ab"/>
    <w:next w:val="affffffff2"/>
    <w:qFormat/>
    <w:pPr>
      <w:spacing w:beforeLines="0" w:before="0" w:afterLines="0" w:after="0"/>
    </w:pPr>
  </w:style>
  <w:style w:type="paragraph" w:customStyle="1" w:styleId="afffffffffc">
    <w:name w:val="术语定义一级条标题"/>
    <w:basedOn w:val="a7"/>
    <w:next w:val="affffffff2"/>
    <w:qFormat/>
    <w:pPr>
      <w:spacing w:beforeLines="0" w:before="0" w:afterLines="0" w:after="0"/>
      <w:outlineLvl w:val="9"/>
    </w:pPr>
  </w:style>
  <w:style w:type="paragraph" w:customStyle="1" w:styleId="afffffffffd">
    <w:name w:val="条文说明"/>
    <w:basedOn w:val="afffffffff6"/>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fe">
    <w:name w:val="二级无标题条"/>
    <w:basedOn w:val="a8"/>
    <w:qFormat/>
    <w:pPr>
      <w:spacing w:beforeLines="0" w:before="0" w:afterLines="0" w:after="0"/>
    </w:pPr>
    <w:rPr>
      <w:rFonts w:eastAsiaTheme="majorEastAsia"/>
    </w:rPr>
  </w:style>
  <w:style w:type="paragraph" w:customStyle="1" w:styleId="affffffffff">
    <w:name w:val="三级无标题条"/>
    <w:basedOn w:val="a9"/>
    <w:qFormat/>
    <w:pPr>
      <w:spacing w:beforeLines="0" w:before="0" w:afterLines="0" w:after="0"/>
    </w:pPr>
    <w:rPr>
      <w:rFonts w:eastAsiaTheme="majorEastAsia"/>
    </w:rPr>
  </w:style>
  <w:style w:type="paragraph" w:customStyle="1" w:styleId="affffffffff0">
    <w:name w:val="四级无标题条"/>
    <w:basedOn w:val="aa"/>
    <w:qFormat/>
    <w:pPr>
      <w:spacing w:beforeLines="0" w:before="0" w:afterLines="0" w:after="0"/>
    </w:pPr>
    <w:rPr>
      <w:rFonts w:eastAsiaTheme="majorEastAsia"/>
    </w:rPr>
  </w:style>
  <w:style w:type="paragraph" w:customStyle="1" w:styleId="affffffffff1">
    <w:name w:val="五级无标题条"/>
    <w:basedOn w:val="ab"/>
    <w:qFormat/>
    <w:pPr>
      <w:spacing w:beforeLines="0" w:before="0" w:afterLines="0" w:after="0"/>
    </w:pPr>
    <w:rPr>
      <w:rFonts w:eastAsiaTheme="majorEastAsia"/>
    </w:rPr>
  </w:style>
  <w:style w:type="paragraph" w:customStyle="1" w:styleId="affffffffff2">
    <w:name w:val="一级无标题条"/>
    <w:basedOn w:val="a7"/>
    <w:qFormat/>
    <w:pPr>
      <w:spacing w:beforeLines="0" w:before="0" w:afterLines="0" w:after="0"/>
      <w:outlineLvl w:val="9"/>
    </w:pPr>
    <w:rPr>
      <w:rFonts w:eastAsiaTheme="majorEastAsia"/>
    </w:rPr>
  </w:style>
  <w:style w:type="character" w:customStyle="1" w:styleId="Char0">
    <w:name w:val="条文脚注 Char"/>
    <w:basedOn w:val="affff6"/>
    <w:link w:val="af9"/>
    <w:qFormat/>
    <w:rPr>
      <w:rFonts w:ascii="宋体"/>
      <w:kern w:val="2"/>
      <w:sz w:val="18"/>
      <w:szCs w:val="18"/>
    </w:rPr>
  </w:style>
  <w:style w:type="character" w:customStyle="1" w:styleId="affff6">
    <w:name w:val="正文文本 字符"/>
    <w:basedOn w:val="afff"/>
    <w:link w:val="affff5"/>
    <w:uiPriority w:val="99"/>
    <w:semiHidden/>
    <w:qFormat/>
    <w:rPr>
      <w:kern w:val="2"/>
      <w:sz w:val="21"/>
      <w:szCs w:val="24"/>
    </w:rPr>
  </w:style>
  <w:style w:type="paragraph" w:customStyle="1" w:styleId="ICS">
    <w:name w:val="ICS"/>
    <w:basedOn w:val="affffffffa"/>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3">
    <w:name w:val="发布"/>
    <w:basedOn w:val="affff5"/>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f2"/>
    <w:qFormat/>
    <w:pPr>
      <w:numPr>
        <w:ilvl w:val="1"/>
      </w:numPr>
      <w:spacing w:before="156" w:after="156"/>
    </w:pPr>
    <w:rPr>
      <w:rFonts w:ascii="黑体"/>
    </w:rPr>
  </w:style>
  <w:style w:type="paragraph" w:customStyle="1" w:styleId="X">
    <w:name w:val="示例X"/>
    <w:basedOn w:val="affffffff2"/>
    <w:next w:val="afffffffff2"/>
    <w:qFormat/>
    <w:rPr>
      <w:sz w:val="18"/>
    </w:rPr>
  </w:style>
  <w:style w:type="paragraph" w:customStyle="1" w:styleId="afa">
    <w:name w:val="附录表标号"/>
    <w:basedOn w:val="affe"/>
    <w:next w:val="affffffff2"/>
    <w:qFormat/>
    <w:pPr>
      <w:numPr>
        <w:numId w:val="13"/>
      </w:numPr>
      <w:snapToGrid w:val="0"/>
      <w:spacing w:line="14" w:lineRule="exact"/>
      <w:jc w:val="center"/>
    </w:pPr>
    <w:rPr>
      <w:color w:val="FFFFFF"/>
    </w:rPr>
  </w:style>
  <w:style w:type="paragraph" w:customStyle="1" w:styleId="ac">
    <w:name w:val="附录图标号"/>
    <w:basedOn w:val="affe"/>
    <w:next w:val="affffffff2"/>
    <w:qFormat/>
    <w:pPr>
      <w:numPr>
        <w:numId w:val="14"/>
      </w:numPr>
      <w:snapToGrid w:val="0"/>
      <w:spacing w:line="14" w:lineRule="exact"/>
      <w:jc w:val="center"/>
    </w:pPr>
    <w:rPr>
      <w:color w:val="FFFFFF"/>
    </w:rPr>
  </w:style>
  <w:style w:type="paragraph" w:customStyle="1" w:styleId="affffffffff4">
    <w:name w:val="重要提示"/>
    <w:basedOn w:val="affffffff2"/>
    <w:next w:val="affffffff2"/>
    <w:qFormat/>
    <w:rPr>
      <w:rFonts w:eastAsia="黑体"/>
    </w:rPr>
  </w:style>
  <w:style w:type="paragraph" w:customStyle="1" w:styleId="affffffffff5">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e"/>
    <w:uiPriority w:val="39"/>
    <w:unhideWhenUsed/>
    <w:qFormat/>
    <w:pPr>
      <w:outlineLvl w:val="9"/>
    </w:pPr>
  </w:style>
  <w:style w:type="character" w:customStyle="1" w:styleId="1f">
    <w:name w:val="不明显参考1"/>
    <w:basedOn w:val="afff"/>
    <w:uiPriority w:val="31"/>
    <w:qFormat/>
    <w:rPr>
      <w:smallCaps/>
      <w:color w:val="595959" w:themeColor="text1" w:themeTint="A6"/>
    </w:rPr>
  </w:style>
  <w:style w:type="character" w:customStyle="1" w:styleId="1f0">
    <w:name w:val="不明显强调1"/>
    <w:basedOn w:val="afff"/>
    <w:uiPriority w:val="19"/>
    <w:qFormat/>
    <w:rPr>
      <w:i/>
      <w:iCs/>
      <w:color w:val="404040" w:themeColor="text1" w:themeTint="BF"/>
    </w:rPr>
  </w:style>
  <w:style w:type="character" w:customStyle="1" w:styleId="affff2">
    <w:name w:val="称呼 字符"/>
    <w:basedOn w:val="afff"/>
    <w:link w:val="affff1"/>
    <w:uiPriority w:val="99"/>
    <w:semiHidden/>
    <w:qFormat/>
    <w:rPr>
      <w:kern w:val="2"/>
      <w:sz w:val="21"/>
      <w:szCs w:val="24"/>
    </w:rPr>
  </w:style>
  <w:style w:type="character" w:customStyle="1" w:styleId="affffc">
    <w:name w:val="纯文本 字符"/>
    <w:basedOn w:val="afff"/>
    <w:link w:val="affffb"/>
    <w:uiPriority w:val="99"/>
    <w:semiHidden/>
    <w:qFormat/>
    <w:rPr>
      <w:rFonts w:ascii="宋体" w:hAnsi="Courier New" w:cs="Courier New"/>
      <w:kern w:val="2"/>
      <w:sz w:val="21"/>
      <w:szCs w:val="21"/>
    </w:rPr>
  </w:style>
  <w:style w:type="character" w:customStyle="1" w:styleId="afff8">
    <w:name w:val="电子邮件签名 字符"/>
    <w:basedOn w:val="afff"/>
    <w:link w:val="afff7"/>
    <w:uiPriority w:val="99"/>
    <w:semiHidden/>
    <w:qFormat/>
    <w:rPr>
      <w:kern w:val="2"/>
      <w:sz w:val="21"/>
      <w:szCs w:val="24"/>
    </w:rPr>
  </w:style>
  <w:style w:type="character" w:customStyle="1" w:styleId="afffffa">
    <w:name w:val="副标题 字符"/>
    <w:basedOn w:val="afff"/>
    <w:link w:val="afffff9"/>
    <w:uiPriority w:val="11"/>
    <w:qFormat/>
    <w:rPr>
      <w:rFonts w:asciiTheme="majorHAnsi" w:hAnsiTheme="majorHAnsi" w:cstheme="majorBidi"/>
      <w:b/>
      <w:bCs/>
      <w:kern w:val="28"/>
      <w:sz w:val="32"/>
      <w:szCs w:val="32"/>
    </w:rPr>
  </w:style>
  <w:style w:type="character" w:customStyle="1" w:styleId="afff3">
    <w:name w:val="宏文本 字符"/>
    <w:basedOn w:val="afff"/>
    <w:link w:val="afff2"/>
    <w:uiPriority w:val="99"/>
    <w:semiHidden/>
    <w:qFormat/>
    <w:rPr>
      <w:rFonts w:ascii="Courier New" w:hAnsi="Courier New" w:cs="Courier New"/>
      <w:kern w:val="2"/>
      <w:sz w:val="24"/>
      <w:szCs w:val="24"/>
    </w:rPr>
  </w:style>
  <w:style w:type="character" w:customStyle="1" w:styleId="affff4">
    <w:name w:val="结束语 字符"/>
    <w:basedOn w:val="afff"/>
    <w:link w:val="affff3"/>
    <w:uiPriority w:val="99"/>
    <w:semiHidden/>
    <w:qFormat/>
    <w:rPr>
      <w:kern w:val="2"/>
      <w:sz w:val="21"/>
      <w:szCs w:val="24"/>
    </w:rPr>
  </w:style>
  <w:style w:type="paragraph" w:styleId="affffffffff6">
    <w:name w:val="List Paragraph"/>
    <w:basedOn w:val="affe"/>
    <w:uiPriority w:val="99"/>
    <w:qFormat/>
    <w:pPr>
      <w:ind w:firstLineChars="200" w:firstLine="420"/>
    </w:pPr>
  </w:style>
  <w:style w:type="character" w:customStyle="1" w:styleId="1f1">
    <w:name w:val="明显参考1"/>
    <w:basedOn w:val="afff"/>
    <w:uiPriority w:val="32"/>
    <w:qFormat/>
    <w:rPr>
      <w:b/>
      <w:bCs/>
      <w:smallCaps/>
      <w:color w:val="5B9BD5" w:themeColor="accent1"/>
      <w:spacing w:val="5"/>
    </w:rPr>
  </w:style>
  <w:style w:type="character" w:customStyle="1" w:styleId="1f2">
    <w:name w:val="明显强调1"/>
    <w:basedOn w:val="afff"/>
    <w:uiPriority w:val="21"/>
    <w:qFormat/>
    <w:rPr>
      <w:i/>
      <w:iCs/>
      <w:color w:val="5B9BD5" w:themeColor="accent1"/>
    </w:rPr>
  </w:style>
  <w:style w:type="paragraph" w:styleId="affffffffff7">
    <w:name w:val="Intense Quote"/>
    <w:basedOn w:val="affe"/>
    <w:next w:val="affe"/>
    <w:link w:val="affffffffff8"/>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8">
    <w:name w:val="明显引用 字符"/>
    <w:basedOn w:val="afff"/>
    <w:link w:val="affffffffff7"/>
    <w:uiPriority w:val="30"/>
    <w:qFormat/>
    <w:rPr>
      <w:i/>
      <w:iCs/>
      <w:color w:val="5B9BD5" w:themeColor="accent1"/>
      <w:kern w:val="2"/>
      <w:sz w:val="21"/>
      <w:szCs w:val="24"/>
    </w:rPr>
  </w:style>
  <w:style w:type="character" w:customStyle="1" w:styleId="afffff2">
    <w:name w:val="批注框文本 字符"/>
    <w:basedOn w:val="afff"/>
    <w:link w:val="afffff1"/>
    <w:uiPriority w:val="99"/>
    <w:semiHidden/>
    <w:qFormat/>
    <w:rPr>
      <w:kern w:val="2"/>
      <w:sz w:val="18"/>
      <w:szCs w:val="18"/>
    </w:rPr>
  </w:style>
  <w:style w:type="character" w:customStyle="1" w:styleId="affff0">
    <w:name w:val="批注文字 字符"/>
    <w:basedOn w:val="afff"/>
    <w:link w:val="affff"/>
    <w:uiPriority w:val="99"/>
    <w:qFormat/>
    <w:rPr>
      <w:kern w:val="2"/>
      <w:sz w:val="21"/>
      <w:szCs w:val="24"/>
    </w:rPr>
  </w:style>
  <w:style w:type="character" w:customStyle="1" w:styleId="affffff3">
    <w:name w:val="批注主题 字符"/>
    <w:basedOn w:val="affff0"/>
    <w:link w:val="affffff2"/>
    <w:uiPriority w:val="99"/>
    <w:semiHidden/>
    <w:qFormat/>
    <w:rPr>
      <w:b/>
      <w:bCs/>
      <w:kern w:val="2"/>
      <w:sz w:val="21"/>
      <w:szCs w:val="24"/>
    </w:rPr>
  </w:style>
  <w:style w:type="character" w:customStyle="1" w:styleId="afffff7">
    <w:name w:val="签名 字符"/>
    <w:basedOn w:val="afff"/>
    <w:link w:val="afffff6"/>
    <w:uiPriority w:val="99"/>
    <w:semiHidden/>
    <w:qFormat/>
    <w:rPr>
      <w:kern w:val="2"/>
      <w:sz w:val="21"/>
      <w:szCs w:val="24"/>
    </w:rPr>
  </w:style>
  <w:style w:type="table" w:customStyle="1" w:styleId="110">
    <w:name w:val="清单表 1 浅色1"/>
    <w:basedOn w:val="afff0"/>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e">
    <w:name w:val="日期 字符"/>
    <w:basedOn w:val="afff"/>
    <w:link w:val="affffd"/>
    <w:uiPriority w:val="99"/>
    <w:semiHidden/>
    <w:qFormat/>
    <w:rPr>
      <w:kern w:val="2"/>
      <w:sz w:val="21"/>
      <w:szCs w:val="24"/>
    </w:rPr>
  </w:style>
  <w:style w:type="character" w:customStyle="1" w:styleId="1f3">
    <w:name w:val="书籍标题1"/>
    <w:basedOn w:val="afff"/>
    <w:uiPriority w:val="33"/>
    <w:qFormat/>
    <w:rPr>
      <w:b/>
      <w:bCs/>
      <w:i/>
      <w:iCs/>
      <w:spacing w:val="5"/>
    </w:rPr>
  </w:style>
  <w:style w:type="paragraph" w:customStyle="1" w:styleId="1f4">
    <w:name w:val="书目1"/>
    <w:basedOn w:val="affe"/>
    <w:next w:val="affe"/>
    <w:uiPriority w:val="37"/>
    <w:semiHidden/>
    <w:unhideWhenUsed/>
    <w:qFormat/>
  </w:style>
  <w:style w:type="table" w:customStyle="1" w:styleId="111">
    <w:name w:val="网格表 1 浅色1"/>
    <w:basedOn w:val="afff0"/>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0"/>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0">
    <w:name w:val="尾注文本 字符"/>
    <w:basedOn w:val="afff"/>
    <w:link w:val="afffff"/>
    <w:uiPriority w:val="99"/>
    <w:semiHidden/>
    <w:qFormat/>
    <w:rPr>
      <w:kern w:val="2"/>
      <w:sz w:val="21"/>
      <w:szCs w:val="24"/>
    </w:rPr>
  </w:style>
  <w:style w:type="character" w:customStyle="1" w:styleId="afffd">
    <w:name w:val="文档结构图 字符"/>
    <w:basedOn w:val="afff"/>
    <w:link w:val="afffc"/>
    <w:uiPriority w:val="99"/>
    <w:semiHidden/>
    <w:qFormat/>
    <w:rPr>
      <w:rFonts w:ascii="Microsoft YaHei UI" w:eastAsia="Microsoft YaHei UI"/>
      <w:kern w:val="2"/>
      <w:sz w:val="18"/>
      <w:szCs w:val="18"/>
    </w:rPr>
  </w:style>
  <w:style w:type="table" w:customStyle="1" w:styleId="112">
    <w:name w:val="无格式表格 11"/>
    <w:basedOn w:val="afff0"/>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9">
    <w:name w:val="No Spacing"/>
    <w:uiPriority w:val="1"/>
    <w:qFormat/>
    <w:pPr>
      <w:widowControl w:val="0"/>
      <w:jc w:val="both"/>
    </w:pPr>
    <w:rPr>
      <w:kern w:val="2"/>
      <w:sz w:val="21"/>
      <w:szCs w:val="24"/>
    </w:rPr>
  </w:style>
  <w:style w:type="character" w:customStyle="1" w:styleId="affffff">
    <w:name w:val="信息标题 字符"/>
    <w:basedOn w:val="afff"/>
    <w:link w:val="afffffe"/>
    <w:uiPriority w:val="99"/>
    <w:semiHidden/>
    <w:qFormat/>
    <w:rPr>
      <w:rFonts w:asciiTheme="majorHAnsi" w:eastAsiaTheme="majorEastAsia" w:hAnsiTheme="majorHAnsi" w:cstheme="majorBidi"/>
      <w:kern w:val="2"/>
      <w:sz w:val="24"/>
      <w:szCs w:val="24"/>
      <w:shd w:val="pct20" w:color="auto" w:fill="auto"/>
    </w:rPr>
  </w:style>
  <w:style w:type="paragraph" w:styleId="affffffffffa">
    <w:name w:val="Quote"/>
    <w:basedOn w:val="affe"/>
    <w:next w:val="affe"/>
    <w:link w:val="affffffffffb"/>
    <w:uiPriority w:val="29"/>
    <w:qFormat/>
    <w:pPr>
      <w:spacing w:before="200" w:after="160"/>
      <w:ind w:left="864" w:right="864"/>
      <w:jc w:val="center"/>
    </w:pPr>
    <w:rPr>
      <w:i/>
      <w:iCs/>
      <w:color w:val="404040" w:themeColor="text1" w:themeTint="BF"/>
    </w:rPr>
  </w:style>
  <w:style w:type="character" w:customStyle="1" w:styleId="affffffffffb">
    <w:name w:val="引用 字符"/>
    <w:basedOn w:val="afff"/>
    <w:link w:val="affffffffffa"/>
    <w:uiPriority w:val="29"/>
    <w:qFormat/>
    <w:rPr>
      <w:i/>
      <w:iCs/>
      <w:color w:val="404040" w:themeColor="text1" w:themeTint="BF"/>
      <w:kern w:val="2"/>
      <w:sz w:val="21"/>
      <w:szCs w:val="24"/>
    </w:rPr>
  </w:style>
  <w:style w:type="character" w:styleId="affffffffffc">
    <w:name w:val="Placeholder Text"/>
    <w:basedOn w:val="afff"/>
    <w:uiPriority w:val="99"/>
    <w:semiHidden/>
    <w:qFormat/>
    <w:rPr>
      <w:color w:val="808080"/>
    </w:rPr>
  </w:style>
  <w:style w:type="character" w:customStyle="1" w:styleId="affffff5">
    <w:name w:val="正文文本首行缩进 字符"/>
    <w:basedOn w:val="affff6"/>
    <w:link w:val="affffff4"/>
    <w:uiPriority w:val="99"/>
    <w:semiHidden/>
    <w:qFormat/>
    <w:rPr>
      <w:kern w:val="2"/>
      <w:sz w:val="21"/>
      <w:szCs w:val="24"/>
    </w:rPr>
  </w:style>
  <w:style w:type="character" w:customStyle="1" w:styleId="affff8">
    <w:name w:val="正文文本缩进 字符"/>
    <w:basedOn w:val="afff"/>
    <w:link w:val="affff7"/>
    <w:uiPriority w:val="99"/>
    <w:semiHidden/>
    <w:qFormat/>
    <w:rPr>
      <w:kern w:val="2"/>
      <w:sz w:val="21"/>
      <w:szCs w:val="24"/>
    </w:rPr>
  </w:style>
  <w:style w:type="character" w:customStyle="1" w:styleId="2b">
    <w:name w:val="正文文本首行缩进 2 字符"/>
    <w:basedOn w:val="affff8"/>
    <w:link w:val="2a"/>
    <w:uiPriority w:val="99"/>
    <w:semiHidden/>
    <w:qFormat/>
    <w:rPr>
      <w:kern w:val="2"/>
      <w:sz w:val="21"/>
      <w:szCs w:val="24"/>
    </w:rPr>
  </w:style>
  <w:style w:type="character" w:customStyle="1" w:styleId="27">
    <w:name w:val="正文文本 2 字符"/>
    <w:basedOn w:val="afff"/>
    <w:link w:val="26"/>
    <w:uiPriority w:val="99"/>
    <w:semiHidden/>
    <w:qFormat/>
    <w:rPr>
      <w:kern w:val="2"/>
      <w:sz w:val="21"/>
      <w:szCs w:val="24"/>
    </w:rPr>
  </w:style>
  <w:style w:type="character" w:customStyle="1" w:styleId="34">
    <w:name w:val="正文文本 3 字符"/>
    <w:basedOn w:val="afff"/>
    <w:link w:val="33"/>
    <w:uiPriority w:val="99"/>
    <w:semiHidden/>
    <w:qFormat/>
    <w:rPr>
      <w:kern w:val="2"/>
      <w:sz w:val="16"/>
      <w:szCs w:val="16"/>
    </w:rPr>
  </w:style>
  <w:style w:type="character" w:customStyle="1" w:styleId="25">
    <w:name w:val="正文文本缩进 2 字符"/>
    <w:basedOn w:val="afff"/>
    <w:link w:val="24"/>
    <w:uiPriority w:val="99"/>
    <w:semiHidden/>
    <w:qFormat/>
    <w:rPr>
      <w:kern w:val="2"/>
      <w:sz w:val="21"/>
      <w:szCs w:val="24"/>
    </w:rPr>
  </w:style>
  <w:style w:type="character" w:customStyle="1" w:styleId="37">
    <w:name w:val="正文文本缩进 3 字符"/>
    <w:basedOn w:val="afff"/>
    <w:link w:val="36"/>
    <w:uiPriority w:val="99"/>
    <w:semiHidden/>
    <w:qFormat/>
    <w:rPr>
      <w:kern w:val="2"/>
      <w:sz w:val="16"/>
      <w:szCs w:val="16"/>
    </w:rPr>
  </w:style>
  <w:style w:type="character" w:customStyle="1" w:styleId="afff6">
    <w:name w:val="注释标题 字符"/>
    <w:basedOn w:val="afff"/>
    <w:link w:val="afff5"/>
    <w:uiPriority w:val="99"/>
    <w:semiHidden/>
    <w:qFormat/>
    <w:rPr>
      <w:kern w:val="2"/>
      <w:sz w:val="21"/>
      <w:szCs w:val="24"/>
    </w:rPr>
  </w:style>
  <w:style w:type="paragraph" w:customStyle="1" w:styleId="affffffffffd">
    <w:name w:val="附录无标题章"/>
    <w:basedOn w:val="afe"/>
    <w:qFormat/>
    <w:pPr>
      <w:spacing w:beforeLines="0" w:before="0" w:afterLines="0" w:after="0"/>
    </w:pPr>
    <w:rPr>
      <w:rFonts w:asciiTheme="majorEastAsia" w:eastAsiaTheme="majorEastAsia"/>
    </w:rPr>
  </w:style>
  <w:style w:type="paragraph" w:customStyle="1" w:styleId="affffffffffe">
    <w:name w:val="附录一级无标题条"/>
    <w:basedOn w:val="aff"/>
    <w:qFormat/>
    <w:pPr>
      <w:spacing w:beforeLines="0" w:before="0" w:afterLines="0" w:after="0"/>
    </w:pPr>
    <w:rPr>
      <w:rFonts w:asciiTheme="majorEastAsia" w:eastAsiaTheme="majorEastAsia"/>
    </w:rPr>
  </w:style>
  <w:style w:type="paragraph" w:customStyle="1" w:styleId="afffffffffff">
    <w:name w:val="附录二级无标题条"/>
    <w:basedOn w:val="aff0"/>
    <w:qFormat/>
    <w:pPr>
      <w:spacing w:beforeLines="0" w:before="0" w:afterLines="0" w:after="0"/>
    </w:pPr>
    <w:rPr>
      <w:rFonts w:asciiTheme="majorEastAsia" w:eastAsiaTheme="majorEastAsia"/>
    </w:rPr>
  </w:style>
  <w:style w:type="paragraph" w:customStyle="1" w:styleId="afffffffffff0">
    <w:name w:val="附录三级无标题条"/>
    <w:basedOn w:val="aff1"/>
    <w:qFormat/>
    <w:pPr>
      <w:spacing w:beforeLines="0" w:before="0" w:afterLines="0" w:after="0"/>
    </w:pPr>
    <w:rPr>
      <w:rFonts w:asciiTheme="majorEastAsia" w:eastAsiaTheme="majorEastAsia"/>
    </w:rPr>
  </w:style>
  <w:style w:type="paragraph" w:customStyle="1" w:styleId="afffffffffff1">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5"/>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f2">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f1">
    <w:name w:val="附录公式标号"/>
    <w:basedOn w:val="affffffffff6"/>
    <w:qFormat/>
    <w:pPr>
      <w:numPr>
        <w:numId w:val="27"/>
      </w:numPr>
      <w:snapToGrid w:val="0"/>
      <w:spacing w:line="14" w:lineRule="atLeast"/>
      <w:ind w:firstLineChars="0"/>
    </w:pPr>
    <w:rPr>
      <w:color w:val="FFFFFF" w:themeColor="background1"/>
      <w:sz w:val="2"/>
    </w:rPr>
  </w:style>
  <w:style w:type="paragraph" w:customStyle="1" w:styleId="af2">
    <w:name w:val="附录公式编号"/>
    <w:basedOn w:val="affff5"/>
    <w:qFormat/>
    <w:pPr>
      <w:numPr>
        <w:ilvl w:val="1"/>
        <w:numId w:val="27"/>
      </w:numPr>
    </w:pPr>
  </w:style>
  <w:style w:type="character" w:customStyle="1" w:styleId="Char">
    <w:name w:val="段 Char"/>
    <w:link w:val="affffffff2"/>
    <w:qFormat/>
    <w:rPr>
      <w:rFonts w:ascii="宋体"/>
      <w:sz w:val="21"/>
    </w:rPr>
  </w:style>
  <w:style w:type="character" w:customStyle="1" w:styleId="1f6">
    <w:name w:val="未处理的提及1"/>
    <w:basedOn w:val="afff"/>
    <w:uiPriority w:val="99"/>
    <w:semiHidden/>
    <w:unhideWhenUsed/>
    <w:qFormat/>
    <w:rPr>
      <w:color w:val="605E5C"/>
      <w:shd w:val="clear" w:color="auto" w:fill="E1DFDD"/>
    </w:rPr>
  </w:style>
  <w:style w:type="paragraph" w:customStyle="1" w:styleId="ae">
    <w:name w:val="列项——（一级）"/>
    <w:qFormat/>
    <w:pPr>
      <w:widowControl w:val="0"/>
      <w:numPr>
        <w:numId w:val="28"/>
      </w:numPr>
      <w:jc w:val="both"/>
    </w:pPr>
    <w:rPr>
      <w:rFonts w:ascii="宋体"/>
      <w:sz w:val="21"/>
    </w:rPr>
  </w:style>
  <w:style w:type="paragraph" w:customStyle="1" w:styleId="af">
    <w:name w:val="列项●（二级）"/>
    <w:qFormat/>
    <w:pPr>
      <w:numPr>
        <w:ilvl w:val="1"/>
        <w:numId w:val="28"/>
      </w:numPr>
      <w:tabs>
        <w:tab w:val="left" w:pos="840"/>
      </w:tabs>
      <w:jc w:val="both"/>
    </w:pPr>
    <w:rPr>
      <w:rFonts w:ascii="宋体"/>
      <w:sz w:val="21"/>
    </w:rPr>
  </w:style>
  <w:style w:type="paragraph" w:customStyle="1" w:styleId="af0">
    <w:name w:val="列项◆（三级）"/>
    <w:basedOn w:val="affe"/>
    <w:qFormat/>
    <w:pPr>
      <w:numPr>
        <w:ilvl w:val="2"/>
        <w:numId w:val="28"/>
      </w:numPr>
    </w:pPr>
    <w:rPr>
      <w:rFonts w:ascii="宋体"/>
      <w:szCs w:val="21"/>
    </w:rPr>
  </w:style>
  <w:style w:type="paragraph" w:customStyle="1" w:styleId="afffffffffff3">
    <w:name w:val="一级无"/>
    <w:basedOn w:val="a7"/>
    <w:qFormat/>
    <w:pPr>
      <w:spacing w:beforeLines="0" w:before="0" w:afterLines="0" w:after="0"/>
    </w:pPr>
    <w:rPr>
      <w:rFonts w:ascii="宋体" w:eastAsia="宋体"/>
    </w:rPr>
  </w:style>
  <w:style w:type="paragraph" w:customStyle="1" w:styleId="21">
    <w:name w:val="样式2"/>
    <w:basedOn w:val="a7"/>
    <w:qFormat/>
    <w:pPr>
      <w:numPr>
        <w:numId w:val="29"/>
      </w:numPr>
    </w:pPr>
  </w:style>
  <w:style w:type="paragraph" w:customStyle="1" w:styleId="-0">
    <w:name w:val="表题-标准"/>
    <w:basedOn w:val="affffffffff6"/>
    <w:qFormat/>
    <w:pPr>
      <w:numPr>
        <w:numId w:val="30"/>
      </w:numPr>
      <w:spacing w:beforeLines="50" w:before="156" w:afterLines="50" w:after="156"/>
      <w:ind w:firstLineChars="0" w:firstLine="0"/>
      <w:jc w:val="center"/>
    </w:pPr>
    <w:rPr>
      <w:rFonts w:ascii="黑体" w:eastAsia="黑体" w:hAnsi="黑体" w:cs="黑体"/>
      <w:szCs w:val="21"/>
    </w:rPr>
  </w:style>
  <w:style w:type="paragraph" w:customStyle="1" w:styleId="-7">
    <w:name w:val="表文字-标准"/>
    <w:basedOn w:val="affe"/>
    <w:qFormat/>
    <w:pPr>
      <w:spacing w:line="240" w:lineRule="exact"/>
      <w:jc w:val="center"/>
    </w:pPr>
    <w:rPr>
      <w:rFonts w:ascii="宋体" w:hAnsi="宋体"/>
      <w:sz w:val="18"/>
      <w:szCs w:val="18"/>
    </w:rPr>
  </w:style>
  <w:style w:type="paragraph" w:customStyle="1" w:styleId="-">
    <w:name w:val="一级条目-标准"/>
    <w:basedOn w:val="affe"/>
    <w:qFormat/>
    <w:pPr>
      <w:widowControl/>
      <w:numPr>
        <w:ilvl w:val="1"/>
        <w:numId w:val="31"/>
      </w:numPr>
      <w:spacing w:beforeLines="50" w:before="156" w:afterLines="50" w:after="156"/>
      <w:outlineLvl w:val="1"/>
    </w:pPr>
    <w:rPr>
      <w:rFonts w:ascii="黑体" w:eastAsia="黑体" w:hAnsi="黑体"/>
      <w:kern w:val="0"/>
      <w:szCs w:val="21"/>
    </w:rPr>
  </w:style>
  <w:style w:type="paragraph" w:customStyle="1" w:styleId="-8">
    <w:name w:val="正文-标准"/>
    <w:basedOn w:val="affe"/>
    <w:qFormat/>
    <w:pPr>
      <w:ind w:firstLineChars="200" w:firstLine="200"/>
    </w:pPr>
    <w:rPr>
      <w:rFonts w:ascii="宋体" w:hAnsi="宋体" w:cs="宋体"/>
      <w:szCs w:val="21"/>
    </w:rPr>
  </w:style>
  <w:style w:type="paragraph" w:customStyle="1" w:styleId="3f2">
    <w:name w:val="样式3"/>
    <w:basedOn w:val="a8"/>
    <w:next w:val="affe"/>
    <w:qFormat/>
    <w:pPr>
      <w:numPr>
        <w:ilvl w:val="0"/>
        <w:numId w:val="0"/>
      </w:numPr>
      <w:outlineLvl w:val="2"/>
    </w:pPr>
  </w:style>
  <w:style w:type="paragraph" w:customStyle="1" w:styleId="1f7">
    <w:name w:val="正文1"/>
    <w:basedOn w:val="affffffff2"/>
    <w:qFormat/>
    <w:pPr>
      <w:tabs>
        <w:tab w:val="center" w:pos="4201"/>
        <w:tab w:val="right" w:leader="dot" w:pos="9298"/>
      </w:tabs>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footer" Target="footer4.xml"/><Relationship Id="rId21" Type="http://schemas.openxmlformats.org/officeDocument/2006/relationships/oleObject" Target="embeddings/oleObject3.bin"/><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8.bin"/><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seebz@csee.org.cn" TargetMode="Externa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7.wmf"/><Relationship Id="rId35" Type="http://schemas.openxmlformats.org/officeDocument/2006/relationships/image" Target="media/image10.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5F1F87" w:rsidRDefault="00000000">
          <w:pPr>
            <w:pStyle w:val="E8B50BDDE2984F14824977729F4D0D62"/>
            <w:rPr>
              <w:rFonts w:hint="eastAsia"/>
            </w:rPr>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00782E"/>
    <w:rsid w:val="0009212F"/>
    <w:rsid w:val="004B2E14"/>
    <w:rsid w:val="004F1E24"/>
    <w:rsid w:val="005F1F87"/>
    <w:rsid w:val="006167E8"/>
    <w:rsid w:val="00657E46"/>
    <w:rsid w:val="008B3FF9"/>
    <w:rsid w:val="00AF20A4"/>
    <w:rsid w:val="00C82F9A"/>
    <w:rsid w:val="00D3180B"/>
    <w:rsid w:val="00DB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8B50BDDE2984F14824977729F4D0D62">
    <w:name w:val="E8B50BDDE2984F14824977729F4D0D6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2</TotalTime>
  <Pages>25</Pages>
  <Words>3059</Words>
  <Characters>17437</Characters>
  <Application>Microsoft Office Word</Application>
  <DocSecurity>0</DocSecurity>
  <Lines>145</Lines>
  <Paragraphs>40</Paragraphs>
  <ScaleCrop>false</ScaleCrop>
  <Company>Microsoft</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449243972@qq.com</cp:lastModifiedBy>
  <cp:revision>7</cp:revision>
  <cp:lastPrinted>2021-02-08T04:27:00Z</cp:lastPrinted>
  <dcterms:created xsi:type="dcterms:W3CDTF">2022-10-14T02:40:00Z</dcterms:created>
  <dcterms:modified xsi:type="dcterms:W3CDTF">2024-11-15T12:31:00Z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2052-12.1.0.18608</vt:lpwstr>
  </property>
  <property fmtid="{D5CDD505-2E9C-101B-9397-08002B2CF9AE}" pid="22" name="ICV">
    <vt:lpwstr>55EC4FCBEC3C479EB47FC1EDE195FEE5_13</vt:lpwstr>
  </property>
</Properties>
</file>