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0"/>
      </w:pPr>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0"/>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47466920"/>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jzcv2wAAAAsBAAAPAAAAAAAAAAEAIAAAACIAAABkcnMvZG93bnJldi54bWxQSwECFAAUAAAA&#10;CACHTuJAZ35d5SQCAAArBAAADgAAAAAAAAABACAAAAAqAQAAZHJzL2Uyb0RvYy54bWxQSwUGAAAA&#10;AAYABgBZAQAAwAUAAAAA&#10;">
                <v:fill on="f" focussize="0,0"/>
                <v:stroke on="f" miterlimit="8" joinstyle="miter"/>
                <v:imagedata o:title=""/>
                <o:lock v:ext="edit" aspectratio="f"/>
                <v:textbox style="mso-fit-shape-to-text:t;">
                  <w:txbxContent>
                    <w:sdt>
                      <w:sdtPr>
                        <w:rPr>
                          <w:rFonts w:ascii="黑体" w:hAnsi="黑体" w:eastAsia="黑体"/>
                          <w:sz w:val="84"/>
                          <w:szCs w:val="84"/>
                        </w:rPr>
                        <w:id w:val="147466920"/>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0" b="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189"/>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189"/>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4445" r="0" b="508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txqu1QAAAAgBAAAP&#10;AAAAAAAAAAEAIAAAACIAAABkcnMvZG93bnJldi54bWxQSwECFAAUAAAACACHTuJAkftjnOIBAACd&#10;AwAADgAAAAAAAAABACAAAAAkAQAAZHJzL2Uyb0RvYy54bWxQSwUGAAAAAAYABgBZAQAAeAU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4445" r="0" b="508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nk/h/VAAAACgEAAA8A&#10;AAAAAAAAAQAgAAAAIgAAAGRycy9kb3ducmV2LnhtbFBLAQIUABQAAAAIAIdO4kB784Py4QEAAJ4D&#10;AAAOAAAAAAAAAAEAIAAAACQBAABkcnMvZTJvRG9jLnhtbFBLBQYAAAAABgAGAFkBAAB3BQ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191"/>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191"/>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15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151"/>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113"/>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113"/>
                      </w:pPr>
                      <w:r>
                        <w:t>20XX—XX—XX发布</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0"/>
                <wp:wrapNone/>
                <wp:docPr id="8"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115"/>
                              <w:wordWrap w:val="0"/>
                            </w:pPr>
                            <w:r>
                              <w:t>T/CSEE XXXX</w:t>
                            </w:r>
                            <w:r>
                              <w:rPr>
                                <w:color w:val="FF0000"/>
                              </w:rPr>
                              <w:t>—</w:t>
                            </w:r>
                            <w:r>
                              <w:t>YYYY</w:t>
                            </w:r>
                          </w:p>
                          <w:p>
                            <w:pPr>
                              <w:pStyle w:val="114"/>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bZ7z9gAAAALAQAADwAAAAAAAAAB&#10;ACAAAAAiAAAAZHJzL2Rvd25yZXYueG1sUEsBAhQAFAAAAAgAh07iQIVWSt5JAgAAYgQAAA4AAAAA&#10;AAAAAQAgAAAAJwEAAGRycy9lMm9Eb2MueG1sUEsFBgAAAAAGAAYAWQEAAOIFAAAAAA==&#10;">
                <v:fill on="f" focussize="0,0"/>
                <v:stroke on="f" weight="0.5pt"/>
                <v:imagedata o:title=""/>
                <o:lock v:ext="edit" aspectratio="f"/>
                <v:textbox inset="0mm,0mm,2.54mm,0mm" style="mso-fit-shape-to-text:t;">
                  <w:txbxContent>
                    <w:p>
                      <w:pPr>
                        <w:pStyle w:val="115"/>
                        <w:wordWrap w:val="0"/>
                      </w:pPr>
                      <w:r>
                        <w:t>T/CSEE XXXX</w:t>
                      </w:r>
                      <w:r>
                        <w:rPr>
                          <w:color w:val="FF0000"/>
                        </w:rPr>
                        <w:t>—</w:t>
                      </w:r>
                      <w:r>
                        <w:t>YYYY</w:t>
                      </w:r>
                    </w:p>
                    <w:p>
                      <w:pPr>
                        <w:pStyle w:val="114"/>
                      </w:pPr>
                      <w:r>
                        <w:rPr>
                          <w:rFonts w:hint="eastAsia"/>
                        </w:rPr>
                        <w:t>代替 T/X</w:t>
                      </w:r>
                      <w:r>
                        <w:t>X</w:t>
                      </w:r>
                      <w:r>
                        <w:rPr>
                          <w:rFonts w:hint="eastAsia"/>
                        </w:rPr>
                        <w:t>XX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0"/>
                <wp:wrapNone/>
                <wp:docPr id="9"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184"/>
                            </w:pPr>
                            <w:r>
                              <w:rPr>
                                <w:rFonts w:hint="eastAsia"/>
                              </w:rPr>
                              <w:t>I</w:t>
                            </w:r>
                            <w:r>
                              <w:t>CS 19.020</w:t>
                            </w:r>
                          </w:p>
                          <w:p>
                            <w:pPr>
                              <w:pStyle w:val="18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4+4GDVAAAABgEAAA8AAAAAAAAAAQAg&#10;AAAAIgAAAGRycy9kb3ducmV2LnhtbFBLAQIUABQAAAAIAIdO4kDk8/6YSgIAAGIEAAAOAAAAAAAA&#10;AAEAIAAAACQBAABkcnMvZTJvRG9jLnhtbFBLBQYAAAAABgAGAFkBAADgBQAAAAA=&#10;">
                <v:fill on="f" focussize="0,0"/>
                <v:stroke on="f" weight="0.5pt"/>
                <v:imagedata o:title=""/>
                <o:lock v:ext="edit" aspectratio="f"/>
                <v:textbox inset="0mm,0mm,2.54mm,0mm" style="mso-fit-shape-to-text:t;">
                  <w:txbxContent>
                    <w:p>
                      <w:pPr>
                        <w:pStyle w:val="184"/>
                      </w:pPr>
                      <w:r>
                        <w:rPr>
                          <w:rFonts w:hint="eastAsia"/>
                        </w:rPr>
                        <w:t>I</w:t>
                      </w:r>
                      <w:r>
                        <w:t>CS 19.020</w:t>
                      </w:r>
                    </w:p>
                    <w:p>
                      <w:pPr>
                        <w:pStyle w:val="184"/>
                      </w:pPr>
                      <w:r>
                        <w:rPr>
                          <w:rFonts w:hint="eastAsia"/>
                        </w:rPr>
                        <w:t>C</w:t>
                      </w:r>
                      <w:r>
                        <w:t>CS K85</w:t>
                      </w:r>
                    </w:p>
                  </w:txbxContent>
                </v:textbox>
              </v:shape>
            </w:pict>
          </mc:Fallback>
        </mc:AlternateContent>
      </w:r>
    </w:p>
    <w:p>
      <w:pPr>
        <w:pStyle w:val="32"/>
        <w:ind w:firstLine="420"/>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61595</wp:posOffset>
                </wp:positionV>
                <wp:extent cx="6120765" cy="3593465"/>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3593465"/>
                        </a:xfrm>
                        <a:prstGeom prst="rect">
                          <a:avLst/>
                        </a:prstGeom>
                        <a:noFill/>
                        <a:ln w="6350">
                          <a:noFill/>
                        </a:ln>
                      </wps:spPr>
                      <wps:txbx>
                        <w:txbxContent>
                          <w:p>
                            <w:pPr>
                              <w:pStyle w:val="116"/>
                              <w:pBdr>
                                <w:top w:val="none" w:color="auto" w:sz="0" w:space="0"/>
                                <w:left w:val="none" w:color="auto" w:sz="0" w:space="0"/>
                                <w:bottom w:val="none" w:color="auto" w:sz="0" w:space="0"/>
                                <w:right w:val="none" w:color="auto" w:sz="0" w:space="0"/>
                              </w:pBdr>
                              <w:rPr>
                                <w:rFonts w:hint="eastAsia" w:ascii="黑体" w:eastAsia="黑体"/>
                                <w:bCs/>
                                <w:kern w:val="0"/>
                                <w:sz w:val="52"/>
                                <w:szCs w:val="52"/>
                              </w:rPr>
                            </w:pPr>
                            <w:r>
                              <w:rPr>
                                <w:rFonts w:hint="eastAsia" w:ascii="黑体" w:eastAsia="黑体"/>
                                <w:bCs/>
                                <w:kern w:val="0"/>
                                <w:sz w:val="52"/>
                                <w:szCs w:val="52"/>
                              </w:rPr>
                              <w:t>柔性低频交流输电系统高压电气设备</w:t>
                            </w:r>
                          </w:p>
                          <w:p>
                            <w:pPr>
                              <w:pStyle w:val="116"/>
                              <w:pBdr>
                                <w:top w:val="none" w:color="auto" w:sz="0" w:space="0"/>
                                <w:left w:val="none" w:color="auto" w:sz="0" w:space="0"/>
                                <w:bottom w:val="none" w:color="auto" w:sz="0" w:space="0"/>
                                <w:right w:val="none" w:color="auto" w:sz="0" w:space="0"/>
                              </w:pBdr>
                              <w:rPr>
                                <w:rFonts w:hint="eastAsia" w:eastAsia="黑体"/>
                                <w:lang w:eastAsia="zh-CN"/>
                              </w:rPr>
                            </w:pPr>
                            <w:r>
                              <w:rPr>
                                <w:rFonts w:hint="eastAsia" w:ascii="黑体" w:eastAsia="黑体"/>
                                <w:bCs/>
                                <w:kern w:val="0"/>
                                <w:sz w:val="52"/>
                                <w:szCs w:val="52"/>
                              </w:rPr>
                              <w:t>第3.</w:t>
                            </w:r>
                            <w:r>
                              <w:rPr>
                                <w:rFonts w:hint="eastAsia"/>
                                <w:bCs/>
                                <w:kern w:val="0"/>
                                <w:sz w:val="52"/>
                                <w:szCs w:val="52"/>
                                <w:lang w:val="en-US" w:eastAsia="zh-CN"/>
                              </w:rPr>
                              <w:t>2</w:t>
                            </w:r>
                            <w:r>
                              <w:rPr>
                                <w:rFonts w:hint="eastAsia" w:ascii="黑体" w:eastAsia="黑体"/>
                                <w:bCs/>
                                <w:kern w:val="0"/>
                                <w:sz w:val="52"/>
                                <w:szCs w:val="52"/>
                              </w:rPr>
                              <w:t>部分</w:t>
                            </w:r>
                            <w:r>
                              <w:rPr>
                                <w:rFonts w:hint="eastAsia"/>
                                <w:bCs/>
                                <w:kern w:val="0"/>
                                <w:sz w:val="52"/>
                                <w:szCs w:val="52"/>
                                <w:lang w:val="en-US" w:eastAsia="zh-CN"/>
                              </w:rPr>
                              <w:t xml:space="preserve"> </w:t>
                            </w:r>
                            <w:r>
                              <w:rPr>
                                <w:rFonts w:hint="eastAsia" w:ascii="黑体" w:eastAsia="黑体"/>
                                <w:bCs/>
                                <w:kern w:val="0"/>
                                <w:sz w:val="52"/>
                                <w:szCs w:val="52"/>
                              </w:rPr>
                              <w:t>低频电</w:t>
                            </w:r>
                            <w:r>
                              <w:rPr>
                                <w:rFonts w:hint="eastAsia"/>
                                <w:bCs/>
                                <w:kern w:val="0"/>
                                <w:sz w:val="52"/>
                                <w:szCs w:val="52"/>
                                <w:lang w:val="en-US" w:eastAsia="zh-CN"/>
                              </w:rPr>
                              <w:t>流</w:t>
                            </w:r>
                            <w:r>
                              <w:rPr>
                                <w:rFonts w:hint="eastAsia" w:ascii="黑体" w:eastAsia="黑体"/>
                                <w:bCs/>
                                <w:kern w:val="0"/>
                                <w:sz w:val="52"/>
                                <w:szCs w:val="52"/>
                              </w:rPr>
                              <w:t>互感器技术</w:t>
                            </w:r>
                            <w:r>
                              <w:rPr>
                                <w:rFonts w:hint="eastAsia"/>
                                <w:bCs/>
                                <w:kern w:val="0"/>
                                <w:sz w:val="52"/>
                                <w:szCs w:val="52"/>
                                <w:lang w:val="en-US" w:eastAsia="zh-CN"/>
                              </w:rPr>
                              <w:t>规范</w:t>
                            </w:r>
                          </w:p>
                          <w:p>
                            <w:pPr>
                              <w:pStyle w:val="116"/>
                              <w:rPr>
                                <w:rFonts w:hint="eastAsia" w:ascii="Times New Roman" w:eastAsia="黑体"/>
                                <w:lang w:val="en-US" w:eastAsia="zh-CN"/>
                              </w:rPr>
                            </w:pPr>
                            <w:r>
                              <w:rPr>
                                <w:rFonts w:hint="default" w:ascii="Times New Roman" w:hAnsi="Times New Roman" w:eastAsia="黑体" w:cs="Times New Roman"/>
                                <w:kern w:val="0"/>
                                <w:sz w:val="28"/>
                                <w:szCs w:val="28"/>
                              </w:rPr>
                              <w:t>High voltage electrical equipment used in low-frequency AC flexible transimission system</w:t>
                            </w:r>
                            <w:r>
                              <w:rPr>
                                <w:rFonts w:hint="eastAsia" w:ascii="Times New Roman" w:cs="Times New Roman"/>
                                <w:kern w:val="0"/>
                                <w:sz w:val="28"/>
                                <w:szCs w:val="28"/>
                                <w:lang w:val="en-US" w:eastAsia="zh-CN"/>
                              </w:rPr>
                              <w:t xml:space="preserve"> </w:t>
                            </w:r>
                            <w:r>
                              <w:rPr>
                                <w:rFonts w:hint="eastAsia" w:ascii="Times New Roman" w:hAnsi="Times New Roman" w:eastAsia="黑体" w:cs="Times New Roman"/>
                                <w:sz w:val="28"/>
                                <w:szCs w:val="28"/>
                                <w:lang w:val="en-US" w:eastAsia="zh-CN" w:bidi="ar-SA"/>
                              </w:rPr>
                              <w:t>Part 3.2</w:t>
                            </w:r>
                            <w:r>
                              <w:rPr>
                                <w:rFonts w:hint="eastAsia" w:ascii="Times New Roman" w:eastAsia="黑体"/>
                                <w:lang w:val="en-US" w:eastAsia="zh-CN"/>
                              </w:rPr>
                              <w:t xml:space="preserve"> </w:t>
                            </w:r>
                          </w:p>
                          <w:p>
                            <w:pPr>
                              <w:pStyle w:val="116"/>
                              <w:rPr>
                                <w:rFonts w:ascii="Times New Roman" w:hAnsi="Times New Roman" w:eastAsia="黑体" w:cs="Times New Roman"/>
                                <w:sz w:val="28"/>
                                <w:szCs w:val="28"/>
                                <w:lang w:val="en-US" w:eastAsia="zh-CN" w:bidi="ar-SA"/>
                              </w:rPr>
                            </w:pPr>
                            <w:r>
                              <w:rPr>
                                <w:rFonts w:hint="eastAsia" w:ascii="Times New Roman" w:hAnsi="Times New Roman" w:eastAsia="黑体" w:cs="Times New Roman"/>
                                <w:sz w:val="28"/>
                                <w:szCs w:val="28"/>
                                <w:lang w:val="en-US" w:eastAsia="zh-CN" w:bidi="ar-SA"/>
                              </w:rPr>
                              <w:t xml:space="preserve">Technical Specification for </w:t>
                            </w:r>
                            <w:r>
                              <w:rPr>
                                <w:rFonts w:hint="eastAsia" w:ascii="Times New Roman" w:cs="Times New Roman"/>
                                <w:sz w:val="28"/>
                                <w:szCs w:val="28"/>
                                <w:lang w:val="en-US" w:eastAsia="zh-CN" w:bidi="ar-SA"/>
                              </w:rPr>
                              <w:t>l</w:t>
                            </w:r>
                            <w:r>
                              <w:rPr>
                                <w:rFonts w:hint="eastAsia" w:ascii="Times New Roman" w:hAnsi="Times New Roman" w:eastAsia="黑体" w:cs="Times New Roman"/>
                                <w:sz w:val="28"/>
                                <w:szCs w:val="28"/>
                                <w:lang w:val="en-US" w:eastAsia="zh-CN" w:bidi="ar-SA"/>
                              </w:rPr>
                              <w:t>ow</w:t>
                            </w:r>
                            <w:r>
                              <w:rPr>
                                <w:rFonts w:hint="eastAsia" w:ascii="Times New Roman" w:cs="Times New Roman"/>
                                <w:sz w:val="28"/>
                                <w:szCs w:val="28"/>
                                <w:lang w:val="en-US" w:eastAsia="zh-CN" w:bidi="ar-SA"/>
                              </w:rPr>
                              <w:t>-f</w:t>
                            </w:r>
                            <w:r>
                              <w:rPr>
                                <w:rFonts w:hint="eastAsia" w:ascii="Times New Roman" w:hAnsi="Times New Roman" w:eastAsia="黑体" w:cs="Times New Roman"/>
                                <w:sz w:val="28"/>
                                <w:szCs w:val="28"/>
                                <w:lang w:val="en-US" w:eastAsia="zh-CN" w:bidi="ar-SA"/>
                              </w:rPr>
                              <w:t>requency Current Transformers</w:t>
                            </w:r>
                          </w:p>
                          <w:p>
                            <w:pPr>
                              <w:pStyle w:val="118"/>
                            </w:pPr>
                            <w:r>
                              <w:t>（</w:t>
                            </w:r>
                            <w:r>
                              <w:rPr>
                                <w:rFonts w:hint="eastAsia"/>
                                <w:lang w:val="en-US" w:eastAsia="zh-CN"/>
                              </w:rPr>
                              <w:t>征求意见稿</w:t>
                            </w:r>
                            <w:r>
                              <w:t>）</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0pt;margin-top:4.85pt;height:282.95pt;width:481.95pt;z-index:251662336;mso-width-relative:page;mso-height-relative:page;" filled="f" stroked="f" coordsize="21600,21600" o:gfxdata="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hLoF41wAAAAYBAAAPAAAAAAAAAAEA&#10;IAAAACIAAABkcnMvZG93bnJldi54bWxQSwECFAAUAAAACACHTuJAaUHwf0kCAABkBAAADgAAAAAA&#10;AAABACAAAAAmAQAAZHJzL2Uyb0RvYy54bWxQSwUGAAAAAAYABgBZAQAA4QUAAAAA&#10;">
                <v:fill on="f" focussize="0,0"/>
                <v:stroke on="f" weight="0.5pt"/>
                <v:imagedata o:title=""/>
                <o:lock v:ext="edit" aspectratio="f"/>
                <v:textbox inset="0mm,0mm,2.54mm,0mm">
                  <w:txbxContent>
                    <w:p>
                      <w:pPr>
                        <w:pStyle w:val="116"/>
                        <w:pBdr>
                          <w:top w:val="none" w:color="auto" w:sz="0" w:space="0"/>
                          <w:left w:val="none" w:color="auto" w:sz="0" w:space="0"/>
                          <w:bottom w:val="none" w:color="auto" w:sz="0" w:space="0"/>
                          <w:right w:val="none" w:color="auto" w:sz="0" w:space="0"/>
                        </w:pBdr>
                        <w:rPr>
                          <w:rFonts w:hint="eastAsia" w:ascii="黑体" w:eastAsia="黑体"/>
                          <w:bCs/>
                          <w:kern w:val="0"/>
                          <w:sz w:val="52"/>
                          <w:szCs w:val="52"/>
                        </w:rPr>
                      </w:pPr>
                      <w:r>
                        <w:rPr>
                          <w:rFonts w:hint="eastAsia" w:ascii="黑体" w:eastAsia="黑体"/>
                          <w:bCs/>
                          <w:kern w:val="0"/>
                          <w:sz w:val="52"/>
                          <w:szCs w:val="52"/>
                        </w:rPr>
                        <w:t>柔性低频交流输电系统高压电气设备</w:t>
                      </w:r>
                    </w:p>
                    <w:p>
                      <w:pPr>
                        <w:pStyle w:val="116"/>
                        <w:pBdr>
                          <w:top w:val="none" w:color="auto" w:sz="0" w:space="0"/>
                          <w:left w:val="none" w:color="auto" w:sz="0" w:space="0"/>
                          <w:bottom w:val="none" w:color="auto" w:sz="0" w:space="0"/>
                          <w:right w:val="none" w:color="auto" w:sz="0" w:space="0"/>
                        </w:pBdr>
                        <w:rPr>
                          <w:rFonts w:hint="eastAsia" w:eastAsia="黑体"/>
                          <w:lang w:eastAsia="zh-CN"/>
                        </w:rPr>
                      </w:pPr>
                      <w:r>
                        <w:rPr>
                          <w:rFonts w:hint="eastAsia" w:ascii="黑体" w:eastAsia="黑体"/>
                          <w:bCs/>
                          <w:kern w:val="0"/>
                          <w:sz w:val="52"/>
                          <w:szCs w:val="52"/>
                        </w:rPr>
                        <w:t>第3.</w:t>
                      </w:r>
                      <w:r>
                        <w:rPr>
                          <w:rFonts w:hint="eastAsia"/>
                          <w:bCs/>
                          <w:kern w:val="0"/>
                          <w:sz w:val="52"/>
                          <w:szCs w:val="52"/>
                          <w:lang w:val="en-US" w:eastAsia="zh-CN"/>
                        </w:rPr>
                        <w:t>2</w:t>
                      </w:r>
                      <w:r>
                        <w:rPr>
                          <w:rFonts w:hint="eastAsia" w:ascii="黑体" w:eastAsia="黑体"/>
                          <w:bCs/>
                          <w:kern w:val="0"/>
                          <w:sz w:val="52"/>
                          <w:szCs w:val="52"/>
                        </w:rPr>
                        <w:t>部分</w:t>
                      </w:r>
                      <w:r>
                        <w:rPr>
                          <w:rFonts w:hint="eastAsia"/>
                          <w:bCs/>
                          <w:kern w:val="0"/>
                          <w:sz w:val="52"/>
                          <w:szCs w:val="52"/>
                          <w:lang w:val="en-US" w:eastAsia="zh-CN"/>
                        </w:rPr>
                        <w:t xml:space="preserve"> </w:t>
                      </w:r>
                      <w:r>
                        <w:rPr>
                          <w:rFonts w:hint="eastAsia" w:ascii="黑体" w:eastAsia="黑体"/>
                          <w:bCs/>
                          <w:kern w:val="0"/>
                          <w:sz w:val="52"/>
                          <w:szCs w:val="52"/>
                        </w:rPr>
                        <w:t>低频电</w:t>
                      </w:r>
                      <w:r>
                        <w:rPr>
                          <w:rFonts w:hint="eastAsia"/>
                          <w:bCs/>
                          <w:kern w:val="0"/>
                          <w:sz w:val="52"/>
                          <w:szCs w:val="52"/>
                          <w:lang w:val="en-US" w:eastAsia="zh-CN"/>
                        </w:rPr>
                        <w:t>流</w:t>
                      </w:r>
                      <w:r>
                        <w:rPr>
                          <w:rFonts w:hint="eastAsia" w:ascii="黑体" w:eastAsia="黑体"/>
                          <w:bCs/>
                          <w:kern w:val="0"/>
                          <w:sz w:val="52"/>
                          <w:szCs w:val="52"/>
                        </w:rPr>
                        <w:t>互感器技术</w:t>
                      </w:r>
                      <w:r>
                        <w:rPr>
                          <w:rFonts w:hint="eastAsia"/>
                          <w:bCs/>
                          <w:kern w:val="0"/>
                          <w:sz w:val="52"/>
                          <w:szCs w:val="52"/>
                          <w:lang w:val="en-US" w:eastAsia="zh-CN"/>
                        </w:rPr>
                        <w:t>规范</w:t>
                      </w:r>
                    </w:p>
                    <w:p>
                      <w:pPr>
                        <w:pStyle w:val="116"/>
                        <w:rPr>
                          <w:rFonts w:hint="eastAsia" w:ascii="Times New Roman" w:eastAsia="黑体"/>
                          <w:lang w:val="en-US" w:eastAsia="zh-CN"/>
                        </w:rPr>
                      </w:pPr>
                      <w:r>
                        <w:rPr>
                          <w:rFonts w:hint="default" w:ascii="Times New Roman" w:hAnsi="Times New Roman" w:eastAsia="黑体" w:cs="Times New Roman"/>
                          <w:kern w:val="0"/>
                          <w:sz w:val="28"/>
                          <w:szCs w:val="28"/>
                        </w:rPr>
                        <w:t>High voltage electrical equipment used in low-frequency AC flexible transimission system</w:t>
                      </w:r>
                      <w:r>
                        <w:rPr>
                          <w:rFonts w:hint="eastAsia" w:ascii="Times New Roman" w:cs="Times New Roman"/>
                          <w:kern w:val="0"/>
                          <w:sz w:val="28"/>
                          <w:szCs w:val="28"/>
                          <w:lang w:val="en-US" w:eastAsia="zh-CN"/>
                        </w:rPr>
                        <w:t xml:space="preserve"> </w:t>
                      </w:r>
                      <w:r>
                        <w:rPr>
                          <w:rFonts w:hint="eastAsia" w:ascii="Times New Roman" w:hAnsi="Times New Roman" w:eastAsia="黑体" w:cs="Times New Roman"/>
                          <w:sz w:val="28"/>
                          <w:szCs w:val="28"/>
                          <w:lang w:val="en-US" w:eastAsia="zh-CN" w:bidi="ar-SA"/>
                        </w:rPr>
                        <w:t>Part 3.2</w:t>
                      </w:r>
                      <w:r>
                        <w:rPr>
                          <w:rFonts w:hint="eastAsia" w:ascii="Times New Roman" w:eastAsia="黑体"/>
                          <w:lang w:val="en-US" w:eastAsia="zh-CN"/>
                        </w:rPr>
                        <w:t xml:space="preserve"> </w:t>
                      </w:r>
                    </w:p>
                    <w:p>
                      <w:pPr>
                        <w:pStyle w:val="116"/>
                        <w:rPr>
                          <w:rFonts w:ascii="Times New Roman" w:hAnsi="Times New Roman" w:eastAsia="黑体" w:cs="Times New Roman"/>
                          <w:sz w:val="28"/>
                          <w:szCs w:val="28"/>
                          <w:lang w:val="en-US" w:eastAsia="zh-CN" w:bidi="ar-SA"/>
                        </w:rPr>
                      </w:pPr>
                      <w:r>
                        <w:rPr>
                          <w:rFonts w:hint="eastAsia" w:ascii="Times New Roman" w:hAnsi="Times New Roman" w:eastAsia="黑体" w:cs="Times New Roman"/>
                          <w:sz w:val="28"/>
                          <w:szCs w:val="28"/>
                          <w:lang w:val="en-US" w:eastAsia="zh-CN" w:bidi="ar-SA"/>
                        </w:rPr>
                        <w:t xml:space="preserve">Technical Specification for </w:t>
                      </w:r>
                      <w:r>
                        <w:rPr>
                          <w:rFonts w:hint="eastAsia" w:ascii="Times New Roman" w:cs="Times New Roman"/>
                          <w:sz w:val="28"/>
                          <w:szCs w:val="28"/>
                          <w:lang w:val="en-US" w:eastAsia="zh-CN" w:bidi="ar-SA"/>
                        </w:rPr>
                        <w:t>l</w:t>
                      </w:r>
                      <w:r>
                        <w:rPr>
                          <w:rFonts w:hint="eastAsia" w:ascii="Times New Roman" w:hAnsi="Times New Roman" w:eastAsia="黑体" w:cs="Times New Roman"/>
                          <w:sz w:val="28"/>
                          <w:szCs w:val="28"/>
                          <w:lang w:val="en-US" w:eastAsia="zh-CN" w:bidi="ar-SA"/>
                        </w:rPr>
                        <w:t>ow</w:t>
                      </w:r>
                      <w:r>
                        <w:rPr>
                          <w:rFonts w:hint="eastAsia" w:ascii="Times New Roman" w:cs="Times New Roman"/>
                          <w:sz w:val="28"/>
                          <w:szCs w:val="28"/>
                          <w:lang w:val="en-US" w:eastAsia="zh-CN" w:bidi="ar-SA"/>
                        </w:rPr>
                        <w:t>-f</w:t>
                      </w:r>
                      <w:r>
                        <w:rPr>
                          <w:rFonts w:hint="eastAsia" w:ascii="Times New Roman" w:hAnsi="Times New Roman" w:eastAsia="黑体" w:cs="Times New Roman"/>
                          <w:sz w:val="28"/>
                          <w:szCs w:val="28"/>
                          <w:lang w:val="en-US" w:eastAsia="zh-CN" w:bidi="ar-SA"/>
                        </w:rPr>
                        <w:t>requency Current Transformers</w:t>
                      </w:r>
                    </w:p>
                    <w:p>
                      <w:pPr>
                        <w:pStyle w:val="118"/>
                      </w:pPr>
                      <w:r>
                        <w:t>（</w:t>
                      </w:r>
                      <w:r>
                        <w:rPr>
                          <w:rFonts w:hint="eastAsia"/>
                          <w:lang w:val="en-US" w:eastAsia="zh-CN"/>
                        </w:rPr>
                        <w:t>征求意见稿</w:t>
                      </w:r>
                      <w:r>
                        <w:t>）</w:t>
                      </w:r>
                    </w:p>
                  </w:txbxContent>
                </v:textbox>
              </v:shape>
            </w:pict>
          </mc:Fallback>
        </mc:AlternateContent>
      </w:r>
    </w:p>
    <w:p>
      <w:pPr>
        <w:pStyle w:val="32"/>
        <w:ind w:firstLine="420"/>
      </w:pPr>
    </w:p>
    <w:p>
      <w:pPr>
        <w:pStyle w:val="32"/>
        <w:ind w:firstLine="420"/>
      </w:pPr>
    </w:p>
    <w:p>
      <w:pPr>
        <w:pStyle w:val="32"/>
        <w:ind w:firstLine="420"/>
      </w:pPr>
    </w:p>
    <w:p>
      <w:pPr>
        <w:pStyle w:val="32"/>
        <w:ind w:firstLine="420"/>
      </w:pPr>
    </w:p>
    <w:p>
      <w:pPr>
        <w:pStyle w:val="32"/>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jc w:val="center"/>
      </w:pPr>
      <w:bookmarkStart w:id="0" w:name="标准内容"/>
      <w:bookmarkEnd w:id="0"/>
    </w:p>
    <w:p>
      <w:pPr>
        <w:jc w:val="center"/>
        <w:rPr>
          <w:rFonts w:ascii="黑体" w:eastAsia="黑体"/>
          <w:sz w:val="32"/>
        </w:rPr>
      </w:pPr>
      <w:r>
        <w:rPr>
          <w:rFonts w:hint="eastAsia" w:ascii="黑体" w:eastAsia="黑体"/>
          <w:sz w:val="32"/>
        </w:rPr>
        <w:t>目    次</w:t>
      </w:r>
    </w:p>
    <w:p>
      <w:pPr>
        <w:jc w:val="center"/>
        <w:rPr>
          <w:rFonts w:ascii="黑体" w:eastAsia="黑体"/>
          <w:sz w:val="32"/>
        </w:rPr>
      </w:pPr>
    </w:p>
    <w:p>
      <w:pPr>
        <w:pStyle w:val="18"/>
        <w:ind w:left="0"/>
        <w:rPr>
          <w:rFonts w:ascii="宋体" w:hAnsi="宋体"/>
          <w:i w:val="0"/>
          <w:iCs w:val="0"/>
        </w:rPr>
      </w:pPr>
      <w:r>
        <w:rPr>
          <w:rFonts w:hint="eastAsia" w:ascii="宋体" w:hAnsi="宋体"/>
          <w:i w:val="0"/>
          <w:iCs w:val="0"/>
          <w:sz w:val="21"/>
        </w:rPr>
        <w:t xml:space="preserve">前言  </w:t>
      </w:r>
      <w:r>
        <w:rPr>
          <w:rFonts w:ascii="宋体" w:hAnsi="宋体"/>
          <w:i w:val="0"/>
          <w:iCs w:val="0"/>
          <w:sz w:val="21"/>
        </w:rPr>
        <w:tab/>
      </w:r>
      <w:r>
        <w:rPr>
          <w:rFonts w:hint="eastAsia" w:ascii="宋体" w:hAnsi="宋体"/>
          <w:i w:val="0"/>
          <w:iCs w:val="0"/>
          <w:sz w:val="21"/>
        </w:rPr>
        <w:t>Ⅲ</w:t>
      </w:r>
    </w:p>
    <w:p>
      <w:pPr>
        <w:pStyle w:val="19"/>
        <w:tabs>
          <w:tab w:val="right" w:leader="dot" w:pos="9354"/>
        </w:tabs>
        <w:rPr>
          <w:i w:val="0"/>
          <w:iCs w:val="0"/>
        </w:rPr>
      </w:pPr>
      <w:r>
        <w:rPr>
          <w:rFonts w:ascii="宋体" w:hAnsi="宋体"/>
          <w:i w:val="0"/>
          <w:iCs w:val="0"/>
          <w:szCs w:val="21"/>
        </w:rPr>
        <w:fldChar w:fldCharType="begin"/>
      </w:r>
      <w:r>
        <w:rPr>
          <w:rFonts w:ascii="宋体" w:hAnsi="宋体"/>
          <w:i w:val="0"/>
          <w:iCs w:val="0"/>
          <w:szCs w:val="21"/>
        </w:rPr>
        <w:instrText xml:space="preserve"> TOC \o "1-3" \h \z \u </w:instrText>
      </w:r>
      <w:r>
        <w:rPr>
          <w:rFonts w:ascii="宋体" w:hAnsi="宋体"/>
          <w:i w:val="0"/>
          <w:iCs w:val="0"/>
          <w:szCs w:val="21"/>
        </w:rPr>
        <w:fldChar w:fldCharType="separate"/>
      </w:r>
      <w:r>
        <w:rPr>
          <w:rFonts w:ascii="宋体" w:hAnsi="宋体"/>
          <w:i w:val="0"/>
          <w:iCs w:val="0"/>
          <w:szCs w:val="21"/>
        </w:rPr>
        <w:fldChar w:fldCharType="begin"/>
      </w:r>
      <w:r>
        <w:rPr>
          <w:rFonts w:ascii="宋体" w:hAnsi="宋体"/>
          <w:i w:val="0"/>
          <w:iCs w:val="0"/>
          <w:szCs w:val="21"/>
        </w:rPr>
        <w:instrText xml:space="preserve"> HYPERLINK \l _Toc17510 </w:instrText>
      </w:r>
      <w:r>
        <w:rPr>
          <w:rFonts w:ascii="宋体" w:hAnsi="宋体"/>
          <w:i w:val="0"/>
          <w:iCs w:val="0"/>
          <w:szCs w:val="21"/>
        </w:rPr>
        <w:fldChar w:fldCharType="separate"/>
      </w:r>
      <w:r>
        <w:rPr>
          <w:rFonts w:hint="eastAsia"/>
          <w:i w:val="0"/>
          <w:iCs w:val="0"/>
        </w:rPr>
        <w:t>低频电流互感器技术</w:t>
      </w:r>
      <w:r>
        <w:rPr>
          <w:rFonts w:hint="eastAsia"/>
          <w:i w:val="0"/>
          <w:iCs w:val="0"/>
          <w:lang w:eastAsia="zh-CN"/>
        </w:rPr>
        <w:t>规范</w:t>
      </w:r>
      <w:r>
        <w:rPr>
          <w:i w:val="0"/>
          <w:iCs w:val="0"/>
        </w:rPr>
        <w:tab/>
      </w:r>
      <w:r>
        <w:rPr>
          <w:i w:val="0"/>
          <w:iCs w:val="0"/>
        </w:rPr>
        <w:fldChar w:fldCharType="begin"/>
      </w:r>
      <w:r>
        <w:rPr>
          <w:i w:val="0"/>
          <w:iCs w:val="0"/>
        </w:rPr>
        <w:instrText xml:space="preserve"> PAGEREF _Toc17510 \h </w:instrText>
      </w:r>
      <w:r>
        <w:rPr>
          <w:i w:val="0"/>
          <w:iCs w:val="0"/>
        </w:rPr>
        <w:fldChar w:fldCharType="separate"/>
      </w:r>
      <w:r>
        <w:rPr>
          <w:i w:val="0"/>
          <w:iCs w:val="0"/>
        </w:rPr>
        <w:t>5</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_Toc17642 </w:instrText>
      </w:r>
      <w:r>
        <w:rPr>
          <w:rFonts w:ascii="宋体" w:hAnsi="宋体"/>
          <w:i w:val="0"/>
          <w:iCs w:val="0"/>
          <w:szCs w:val="21"/>
        </w:rPr>
        <w:fldChar w:fldCharType="separate"/>
      </w:r>
      <w:r>
        <w:rPr>
          <w:rFonts w:hint="eastAsia"/>
          <w:i w:val="0"/>
          <w:iCs w:val="0"/>
        </w:rPr>
        <w:t>1范围</w:t>
      </w:r>
      <w:r>
        <w:rPr>
          <w:i w:val="0"/>
          <w:iCs w:val="0"/>
        </w:rPr>
        <w:tab/>
      </w:r>
      <w:r>
        <w:rPr>
          <w:i w:val="0"/>
          <w:iCs w:val="0"/>
        </w:rPr>
        <w:fldChar w:fldCharType="begin"/>
      </w:r>
      <w:r>
        <w:rPr>
          <w:i w:val="0"/>
          <w:iCs w:val="0"/>
        </w:rPr>
        <w:instrText xml:space="preserve"> PAGEREF _Toc17642 \h </w:instrText>
      </w:r>
      <w:r>
        <w:rPr>
          <w:i w:val="0"/>
          <w:iCs w:val="0"/>
        </w:rPr>
        <w:fldChar w:fldCharType="separate"/>
      </w:r>
      <w:r>
        <w:rPr>
          <w:i w:val="0"/>
          <w:iCs w:val="0"/>
        </w:rPr>
        <w:t>5</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_Toc2439 </w:instrText>
      </w:r>
      <w:r>
        <w:rPr>
          <w:rFonts w:ascii="宋体" w:hAnsi="宋体"/>
          <w:i w:val="0"/>
          <w:iCs w:val="0"/>
          <w:szCs w:val="21"/>
        </w:rPr>
        <w:fldChar w:fldCharType="separate"/>
      </w:r>
      <w:r>
        <w:rPr>
          <w:rFonts w:hint="eastAsia"/>
          <w:i w:val="0"/>
          <w:iCs w:val="0"/>
        </w:rPr>
        <w:t>2 规范性引用文件</w:t>
      </w:r>
      <w:r>
        <w:rPr>
          <w:i w:val="0"/>
          <w:iCs w:val="0"/>
        </w:rPr>
        <w:tab/>
      </w:r>
      <w:r>
        <w:rPr>
          <w:i w:val="0"/>
          <w:iCs w:val="0"/>
        </w:rPr>
        <w:fldChar w:fldCharType="begin"/>
      </w:r>
      <w:r>
        <w:rPr>
          <w:i w:val="0"/>
          <w:iCs w:val="0"/>
        </w:rPr>
        <w:instrText xml:space="preserve"> PAGEREF _Toc2439 \h </w:instrText>
      </w:r>
      <w:r>
        <w:rPr>
          <w:i w:val="0"/>
          <w:iCs w:val="0"/>
        </w:rPr>
        <w:fldChar w:fldCharType="separate"/>
      </w:r>
      <w:r>
        <w:rPr>
          <w:i w:val="0"/>
          <w:iCs w:val="0"/>
        </w:rPr>
        <w:t>5</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_Toc21795 </w:instrText>
      </w:r>
      <w:r>
        <w:rPr>
          <w:rFonts w:ascii="宋体" w:hAnsi="宋体"/>
          <w:i w:val="0"/>
          <w:iCs w:val="0"/>
          <w:szCs w:val="21"/>
        </w:rPr>
        <w:fldChar w:fldCharType="separate"/>
      </w:r>
      <w:r>
        <w:rPr>
          <w:rFonts w:hint="eastAsia"/>
          <w:i w:val="0"/>
          <w:iCs w:val="0"/>
        </w:rPr>
        <w:t>3 术语和定义</w:t>
      </w:r>
      <w:r>
        <w:rPr>
          <w:i w:val="0"/>
          <w:iCs w:val="0"/>
        </w:rPr>
        <w:tab/>
      </w:r>
      <w:r>
        <w:rPr>
          <w:i w:val="0"/>
          <w:iCs w:val="0"/>
        </w:rPr>
        <w:fldChar w:fldCharType="begin"/>
      </w:r>
      <w:r>
        <w:rPr>
          <w:i w:val="0"/>
          <w:iCs w:val="0"/>
        </w:rPr>
        <w:instrText xml:space="preserve"> PAGEREF _Toc21795 \h </w:instrText>
      </w:r>
      <w:r>
        <w:rPr>
          <w:i w:val="0"/>
          <w:iCs w:val="0"/>
        </w:rPr>
        <w:fldChar w:fldCharType="separate"/>
      </w:r>
      <w:r>
        <w:rPr>
          <w:i w:val="0"/>
          <w:iCs w:val="0"/>
        </w:rPr>
        <w:t>6</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_Toc8745 </w:instrText>
      </w:r>
      <w:r>
        <w:rPr>
          <w:rFonts w:ascii="宋体" w:hAnsi="宋体"/>
          <w:i w:val="0"/>
          <w:iCs w:val="0"/>
          <w:szCs w:val="21"/>
        </w:rPr>
        <w:fldChar w:fldCharType="separate"/>
      </w:r>
      <w:r>
        <w:rPr>
          <w:rFonts w:hint="eastAsia"/>
          <w:i w:val="0"/>
          <w:iCs w:val="0"/>
        </w:rPr>
        <w:t>3.1</w:t>
      </w:r>
      <w:r>
        <w:rPr>
          <w:i w:val="0"/>
          <w:iCs w:val="0"/>
        </w:rPr>
        <w:tab/>
      </w:r>
      <w:r>
        <w:rPr>
          <w:i w:val="0"/>
          <w:iCs w:val="0"/>
        </w:rPr>
        <w:fldChar w:fldCharType="begin"/>
      </w:r>
      <w:r>
        <w:rPr>
          <w:i w:val="0"/>
          <w:iCs w:val="0"/>
        </w:rPr>
        <w:instrText xml:space="preserve"> PAGEREF _Toc8745 \h </w:instrText>
      </w:r>
      <w:r>
        <w:rPr>
          <w:i w:val="0"/>
          <w:iCs w:val="0"/>
        </w:rPr>
        <w:fldChar w:fldCharType="separate"/>
      </w:r>
      <w:r>
        <w:rPr>
          <w:i w:val="0"/>
          <w:iCs w:val="0"/>
        </w:rPr>
        <w:t>6</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_Toc30451 </w:instrText>
      </w:r>
      <w:r>
        <w:rPr>
          <w:rFonts w:ascii="宋体" w:hAnsi="宋体"/>
          <w:i w:val="0"/>
          <w:iCs w:val="0"/>
          <w:szCs w:val="21"/>
        </w:rPr>
        <w:fldChar w:fldCharType="separate"/>
      </w:r>
      <w:r>
        <w:rPr>
          <w:rFonts w:hint="eastAsia"/>
          <w:i w:val="0"/>
          <w:iCs w:val="0"/>
        </w:rPr>
        <w:t>低频电流互感器</w:t>
      </w:r>
      <w:r>
        <w:rPr>
          <w:i w:val="0"/>
          <w:iCs w:val="0"/>
        </w:rPr>
        <w:tab/>
      </w:r>
      <w:r>
        <w:rPr>
          <w:i w:val="0"/>
          <w:iCs w:val="0"/>
        </w:rPr>
        <w:fldChar w:fldCharType="begin"/>
      </w:r>
      <w:r>
        <w:rPr>
          <w:i w:val="0"/>
          <w:iCs w:val="0"/>
        </w:rPr>
        <w:instrText xml:space="preserve"> PAGEREF _Toc30451 \h </w:instrText>
      </w:r>
      <w:r>
        <w:rPr>
          <w:i w:val="0"/>
          <w:iCs w:val="0"/>
        </w:rPr>
        <w:fldChar w:fldCharType="separate"/>
      </w:r>
      <w:r>
        <w:rPr>
          <w:i w:val="0"/>
          <w:iCs w:val="0"/>
        </w:rPr>
        <w:t>6</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_Toc8883 </w:instrText>
      </w:r>
      <w:r>
        <w:rPr>
          <w:rFonts w:ascii="宋体" w:hAnsi="宋体"/>
          <w:i w:val="0"/>
          <w:iCs w:val="0"/>
          <w:szCs w:val="21"/>
        </w:rPr>
        <w:fldChar w:fldCharType="separate"/>
      </w:r>
      <w:r>
        <w:rPr>
          <w:rFonts w:hint="eastAsia"/>
          <w:i w:val="0"/>
          <w:iCs w:val="0"/>
        </w:rPr>
        <w:t>4 使用条件</w:t>
      </w:r>
      <w:r>
        <w:rPr>
          <w:i w:val="0"/>
          <w:iCs w:val="0"/>
        </w:rPr>
        <w:tab/>
      </w:r>
      <w:r>
        <w:rPr>
          <w:i w:val="0"/>
          <w:iCs w:val="0"/>
        </w:rPr>
        <w:fldChar w:fldCharType="begin"/>
      </w:r>
      <w:r>
        <w:rPr>
          <w:i w:val="0"/>
          <w:iCs w:val="0"/>
        </w:rPr>
        <w:instrText xml:space="preserve"> PAGEREF _Toc8883 \h </w:instrText>
      </w:r>
      <w:r>
        <w:rPr>
          <w:i w:val="0"/>
          <w:iCs w:val="0"/>
        </w:rPr>
        <w:fldChar w:fldCharType="separate"/>
      </w:r>
      <w:r>
        <w:rPr>
          <w:i w:val="0"/>
          <w:iCs w:val="0"/>
        </w:rPr>
        <w:t>6</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_Toc18443 </w:instrText>
      </w:r>
      <w:r>
        <w:rPr>
          <w:rFonts w:ascii="宋体" w:hAnsi="宋体"/>
          <w:i w:val="0"/>
          <w:iCs w:val="0"/>
          <w:szCs w:val="21"/>
        </w:rPr>
        <w:fldChar w:fldCharType="separate"/>
      </w:r>
      <w:r>
        <w:rPr>
          <w:rFonts w:hint="eastAsia"/>
          <w:i w:val="0"/>
          <w:iCs w:val="0"/>
        </w:rPr>
        <w:t>4.1 一般要求</w:t>
      </w:r>
      <w:r>
        <w:rPr>
          <w:i w:val="0"/>
          <w:iCs w:val="0"/>
        </w:rPr>
        <w:tab/>
      </w:r>
      <w:r>
        <w:rPr>
          <w:i w:val="0"/>
          <w:iCs w:val="0"/>
        </w:rPr>
        <w:fldChar w:fldCharType="begin"/>
      </w:r>
      <w:r>
        <w:rPr>
          <w:i w:val="0"/>
          <w:iCs w:val="0"/>
        </w:rPr>
        <w:instrText xml:space="preserve"> PAGEREF _Toc18443 \h </w:instrText>
      </w:r>
      <w:r>
        <w:rPr>
          <w:i w:val="0"/>
          <w:iCs w:val="0"/>
        </w:rPr>
        <w:fldChar w:fldCharType="separate"/>
      </w:r>
      <w:r>
        <w:rPr>
          <w:i w:val="0"/>
          <w:iCs w:val="0"/>
        </w:rPr>
        <w:t>6</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_Toc10600 </w:instrText>
      </w:r>
      <w:r>
        <w:rPr>
          <w:rFonts w:ascii="宋体" w:hAnsi="宋体"/>
          <w:i w:val="0"/>
          <w:iCs w:val="0"/>
          <w:szCs w:val="21"/>
        </w:rPr>
        <w:fldChar w:fldCharType="separate"/>
      </w:r>
      <w:r>
        <w:rPr>
          <w:rFonts w:hint="eastAsia"/>
          <w:i w:val="0"/>
          <w:iCs w:val="0"/>
        </w:rPr>
        <w:t>4.2 正常使用条件</w:t>
      </w:r>
      <w:r>
        <w:rPr>
          <w:i w:val="0"/>
          <w:iCs w:val="0"/>
        </w:rPr>
        <w:tab/>
      </w:r>
      <w:r>
        <w:rPr>
          <w:i w:val="0"/>
          <w:iCs w:val="0"/>
        </w:rPr>
        <w:fldChar w:fldCharType="begin"/>
      </w:r>
      <w:r>
        <w:rPr>
          <w:i w:val="0"/>
          <w:iCs w:val="0"/>
        </w:rPr>
        <w:instrText xml:space="preserve"> PAGEREF _Toc10600 \h </w:instrText>
      </w:r>
      <w:r>
        <w:rPr>
          <w:i w:val="0"/>
          <w:iCs w:val="0"/>
        </w:rPr>
        <w:fldChar w:fldCharType="separate"/>
      </w:r>
      <w:r>
        <w:rPr>
          <w:i w:val="0"/>
          <w:iCs w:val="0"/>
        </w:rPr>
        <w:t>6</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_Toc28563 </w:instrText>
      </w:r>
      <w:r>
        <w:rPr>
          <w:rFonts w:ascii="宋体" w:hAnsi="宋体"/>
          <w:i w:val="0"/>
          <w:iCs w:val="0"/>
          <w:szCs w:val="21"/>
        </w:rPr>
        <w:fldChar w:fldCharType="separate"/>
      </w:r>
      <w:r>
        <w:rPr>
          <w:rFonts w:hint="eastAsia"/>
          <w:i w:val="0"/>
          <w:iCs w:val="0"/>
        </w:rPr>
        <w:t>4.3 特殊使用条件</w:t>
      </w:r>
      <w:r>
        <w:rPr>
          <w:i w:val="0"/>
          <w:iCs w:val="0"/>
        </w:rPr>
        <w:tab/>
      </w:r>
      <w:r>
        <w:rPr>
          <w:i w:val="0"/>
          <w:iCs w:val="0"/>
        </w:rPr>
        <w:fldChar w:fldCharType="begin"/>
      </w:r>
      <w:r>
        <w:rPr>
          <w:i w:val="0"/>
          <w:iCs w:val="0"/>
        </w:rPr>
        <w:instrText xml:space="preserve"> PAGEREF _Toc28563 \h </w:instrText>
      </w:r>
      <w:r>
        <w:rPr>
          <w:i w:val="0"/>
          <w:iCs w:val="0"/>
        </w:rPr>
        <w:fldChar w:fldCharType="separate"/>
      </w:r>
      <w:r>
        <w:rPr>
          <w:i w:val="0"/>
          <w:iCs w:val="0"/>
        </w:rPr>
        <w:t>7</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_Toc766 </w:instrText>
      </w:r>
      <w:r>
        <w:rPr>
          <w:rFonts w:ascii="宋体" w:hAnsi="宋体"/>
          <w:i w:val="0"/>
          <w:iCs w:val="0"/>
          <w:szCs w:val="21"/>
        </w:rPr>
        <w:fldChar w:fldCharType="separate"/>
      </w:r>
      <w:r>
        <w:rPr>
          <w:rFonts w:hint="eastAsia"/>
          <w:i w:val="0"/>
          <w:iCs w:val="0"/>
        </w:rPr>
        <w:t xml:space="preserve">5 </w:t>
      </w:r>
      <w:r>
        <w:rPr>
          <w:rFonts w:hint="eastAsia"/>
          <w:i w:val="0"/>
          <w:iCs w:val="0"/>
          <w:lang w:val="en-US" w:eastAsia="zh-CN"/>
        </w:rPr>
        <w:t>基本分类</w:t>
      </w:r>
      <w:r>
        <w:rPr>
          <w:i w:val="0"/>
          <w:iCs w:val="0"/>
        </w:rPr>
        <w:tab/>
      </w:r>
      <w:r>
        <w:rPr>
          <w:i w:val="0"/>
          <w:iCs w:val="0"/>
        </w:rPr>
        <w:fldChar w:fldCharType="begin"/>
      </w:r>
      <w:r>
        <w:rPr>
          <w:i w:val="0"/>
          <w:iCs w:val="0"/>
        </w:rPr>
        <w:instrText xml:space="preserve"> PAGEREF _Toc766 \h </w:instrText>
      </w:r>
      <w:r>
        <w:rPr>
          <w:i w:val="0"/>
          <w:iCs w:val="0"/>
        </w:rPr>
        <w:fldChar w:fldCharType="separate"/>
      </w:r>
      <w:r>
        <w:rPr>
          <w:i w:val="0"/>
          <w:iCs w:val="0"/>
        </w:rPr>
        <w:t>8</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_Toc26856 </w:instrText>
      </w:r>
      <w:r>
        <w:rPr>
          <w:rFonts w:ascii="宋体" w:hAnsi="宋体"/>
          <w:i w:val="0"/>
          <w:iCs w:val="0"/>
          <w:szCs w:val="21"/>
        </w:rPr>
        <w:fldChar w:fldCharType="separate"/>
      </w:r>
      <w:r>
        <w:rPr>
          <w:rFonts w:hint="eastAsia"/>
          <w:i w:val="0"/>
          <w:iCs w:val="0"/>
          <w:lang w:val="en-US" w:eastAsia="zh-CN"/>
        </w:rPr>
        <w:t xml:space="preserve">6 </w:t>
      </w:r>
      <w:r>
        <w:rPr>
          <w:rFonts w:hint="eastAsia"/>
          <w:i w:val="0"/>
          <w:iCs w:val="0"/>
        </w:rPr>
        <w:t>技术要求</w:t>
      </w:r>
      <w:r>
        <w:rPr>
          <w:i w:val="0"/>
          <w:iCs w:val="0"/>
        </w:rPr>
        <w:tab/>
      </w:r>
      <w:r>
        <w:rPr>
          <w:i w:val="0"/>
          <w:iCs w:val="0"/>
        </w:rPr>
        <w:fldChar w:fldCharType="begin"/>
      </w:r>
      <w:r>
        <w:rPr>
          <w:i w:val="0"/>
          <w:iCs w:val="0"/>
        </w:rPr>
        <w:instrText xml:space="preserve"> PAGEREF _Toc26856 \h </w:instrText>
      </w:r>
      <w:r>
        <w:rPr>
          <w:i w:val="0"/>
          <w:iCs w:val="0"/>
        </w:rPr>
        <w:fldChar w:fldCharType="separate"/>
      </w:r>
      <w:r>
        <w:rPr>
          <w:i w:val="0"/>
          <w:iCs w:val="0"/>
        </w:rPr>
        <w:t>8</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_Toc8404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 </w:t>
      </w:r>
      <w:r>
        <w:rPr>
          <w:i w:val="0"/>
          <w:iCs w:val="0"/>
        </w:rPr>
        <w:t>设备最高电压</w:t>
      </w:r>
      <w:r>
        <w:rPr>
          <w:i w:val="0"/>
          <w:iCs w:val="0"/>
        </w:rPr>
        <w:tab/>
      </w:r>
      <w:r>
        <w:rPr>
          <w:i w:val="0"/>
          <w:iCs w:val="0"/>
        </w:rPr>
        <w:fldChar w:fldCharType="begin"/>
      </w:r>
      <w:r>
        <w:rPr>
          <w:i w:val="0"/>
          <w:iCs w:val="0"/>
        </w:rPr>
        <w:instrText xml:space="preserve"> PAGEREF _Toc8404 \h </w:instrText>
      </w:r>
      <w:r>
        <w:rPr>
          <w:i w:val="0"/>
          <w:iCs w:val="0"/>
        </w:rPr>
        <w:fldChar w:fldCharType="separate"/>
      </w:r>
      <w:r>
        <w:rPr>
          <w:i w:val="0"/>
          <w:iCs w:val="0"/>
        </w:rPr>
        <w:t>8</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_Toc7555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6.2 </w:t>
      </w:r>
      <w:r>
        <w:rPr>
          <w:i w:val="0"/>
          <w:iCs w:val="0"/>
        </w:rPr>
        <w:t>一次</w:t>
      </w:r>
      <w:r>
        <w:rPr>
          <w:rFonts w:hint="eastAsia"/>
          <w:i w:val="0"/>
          <w:iCs w:val="0"/>
        </w:rPr>
        <w:t>端</w:t>
      </w:r>
      <w:r>
        <w:rPr>
          <w:i w:val="0"/>
          <w:iCs w:val="0"/>
        </w:rPr>
        <w:t>额定绝缘水平</w:t>
      </w:r>
      <w:r>
        <w:rPr>
          <w:i w:val="0"/>
          <w:iCs w:val="0"/>
        </w:rPr>
        <w:tab/>
      </w:r>
      <w:r>
        <w:rPr>
          <w:i w:val="0"/>
          <w:iCs w:val="0"/>
        </w:rPr>
        <w:fldChar w:fldCharType="begin"/>
      </w:r>
      <w:r>
        <w:rPr>
          <w:i w:val="0"/>
          <w:iCs w:val="0"/>
        </w:rPr>
        <w:instrText xml:space="preserve"> PAGEREF _Toc7555 \h </w:instrText>
      </w:r>
      <w:r>
        <w:rPr>
          <w:i w:val="0"/>
          <w:iCs w:val="0"/>
        </w:rPr>
        <w:fldChar w:fldCharType="separate"/>
      </w:r>
      <w:r>
        <w:rPr>
          <w:i w:val="0"/>
          <w:iCs w:val="0"/>
        </w:rPr>
        <w:t>8</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_Toc21966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6.3 </w:t>
      </w:r>
      <w:r>
        <w:rPr>
          <w:i w:val="0"/>
          <w:iCs w:val="0"/>
        </w:rPr>
        <w:t>段间绝缘、二次端绝缘、绕组匝间绝缘、地屏对地绝缘</w:t>
      </w:r>
      <w:r>
        <w:rPr>
          <w:i w:val="0"/>
          <w:iCs w:val="0"/>
        </w:rPr>
        <w:tab/>
      </w:r>
      <w:r>
        <w:rPr>
          <w:i w:val="0"/>
          <w:iCs w:val="0"/>
        </w:rPr>
        <w:fldChar w:fldCharType="begin"/>
      </w:r>
      <w:r>
        <w:rPr>
          <w:i w:val="0"/>
          <w:iCs w:val="0"/>
        </w:rPr>
        <w:instrText xml:space="preserve"> PAGEREF _Toc21966 \h </w:instrText>
      </w:r>
      <w:r>
        <w:rPr>
          <w:i w:val="0"/>
          <w:iCs w:val="0"/>
        </w:rPr>
        <w:fldChar w:fldCharType="separate"/>
      </w:r>
      <w:r>
        <w:rPr>
          <w:i w:val="0"/>
          <w:iCs w:val="0"/>
        </w:rPr>
        <w:t>9</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_Toc3800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6.4 </w:t>
      </w:r>
      <w:r>
        <w:rPr>
          <w:i w:val="0"/>
          <w:iCs w:val="0"/>
        </w:rPr>
        <w:t>额定输出</w:t>
      </w:r>
      <w:r>
        <w:rPr>
          <w:i w:val="0"/>
          <w:iCs w:val="0"/>
        </w:rPr>
        <w:tab/>
      </w:r>
      <w:r>
        <w:rPr>
          <w:i w:val="0"/>
          <w:iCs w:val="0"/>
        </w:rPr>
        <w:fldChar w:fldCharType="begin"/>
      </w:r>
      <w:r>
        <w:rPr>
          <w:i w:val="0"/>
          <w:iCs w:val="0"/>
        </w:rPr>
        <w:instrText xml:space="preserve"> PAGEREF _Toc3800 \h </w:instrText>
      </w:r>
      <w:r>
        <w:rPr>
          <w:i w:val="0"/>
          <w:iCs w:val="0"/>
        </w:rPr>
        <w:fldChar w:fldCharType="separate"/>
      </w:r>
      <w:r>
        <w:rPr>
          <w:i w:val="0"/>
          <w:iCs w:val="0"/>
        </w:rPr>
        <w:t>9</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_Toc14117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6.5 </w:t>
      </w:r>
      <w:r>
        <w:rPr>
          <w:i w:val="0"/>
          <w:iCs w:val="0"/>
        </w:rPr>
        <w:t>额定准确级</w:t>
      </w:r>
      <w:r>
        <w:rPr>
          <w:i w:val="0"/>
          <w:iCs w:val="0"/>
        </w:rPr>
        <w:tab/>
      </w:r>
      <w:r>
        <w:rPr>
          <w:i w:val="0"/>
          <w:iCs w:val="0"/>
        </w:rPr>
        <w:fldChar w:fldCharType="begin"/>
      </w:r>
      <w:r>
        <w:rPr>
          <w:i w:val="0"/>
          <w:iCs w:val="0"/>
        </w:rPr>
        <w:instrText xml:space="preserve"> PAGEREF _Toc14117 \h </w:instrText>
      </w:r>
      <w:r>
        <w:rPr>
          <w:i w:val="0"/>
          <w:iCs w:val="0"/>
        </w:rPr>
        <w:fldChar w:fldCharType="separate"/>
      </w:r>
      <w:r>
        <w:rPr>
          <w:i w:val="0"/>
          <w:iCs w:val="0"/>
        </w:rPr>
        <w:t>9</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_Toc6255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6.6 </w:t>
      </w:r>
      <w:r>
        <w:rPr>
          <w:i w:val="0"/>
          <w:iCs w:val="0"/>
        </w:rPr>
        <w:t>额定一次电流标准值</w:t>
      </w:r>
      <w:r>
        <w:rPr>
          <w:i w:val="0"/>
          <w:iCs w:val="0"/>
        </w:rPr>
        <w:tab/>
      </w:r>
      <w:r>
        <w:rPr>
          <w:i w:val="0"/>
          <w:iCs w:val="0"/>
        </w:rPr>
        <w:fldChar w:fldCharType="begin"/>
      </w:r>
      <w:r>
        <w:rPr>
          <w:i w:val="0"/>
          <w:iCs w:val="0"/>
        </w:rPr>
        <w:instrText xml:space="preserve"> PAGEREF _Toc6255 \h </w:instrText>
      </w:r>
      <w:r>
        <w:rPr>
          <w:i w:val="0"/>
          <w:iCs w:val="0"/>
        </w:rPr>
        <w:fldChar w:fldCharType="separate"/>
      </w:r>
      <w:r>
        <w:rPr>
          <w:i w:val="0"/>
          <w:iCs w:val="0"/>
        </w:rPr>
        <w:t>9</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_Toc10415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6.7 </w:t>
      </w:r>
      <w:r>
        <w:rPr>
          <w:i w:val="0"/>
          <w:iCs w:val="0"/>
        </w:rPr>
        <w:t>额定二次电流标准值</w:t>
      </w:r>
      <w:r>
        <w:rPr>
          <w:i w:val="0"/>
          <w:iCs w:val="0"/>
        </w:rPr>
        <w:tab/>
      </w:r>
      <w:r>
        <w:rPr>
          <w:i w:val="0"/>
          <w:iCs w:val="0"/>
        </w:rPr>
        <w:fldChar w:fldCharType="begin"/>
      </w:r>
      <w:r>
        <w:rPr>
          <w:i w:val="0"/>
          <w:iCs w:val="0"/>
        </w:rPr>
        <w:instrText xml:space="preserve"> PAGEREF _Toc10415 \h </w:instrText>
      </w:r>
      <w:r>
        <w:rPr>
          <w:i w:val="0"/>
          <w:iCs w:val="0"/>
        </w:rPr>
        <w:fldChar w:fldCharType="separate"/>
      </w:r>
      <w:r>
        <w:rPr>
          <w:i w:val="0"/>
          <w:iCs w:val="0"/>
        </w:rPr>
        <w:t>9</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_Toc21382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6.8 </w:t>
      </w:r>
      <w:r>
        <w:rPr>
          <w:i w:val="0"/>
          <w:iCs w:val="0"/>
        </w:rPr>
        <w:t>额定连续热电流标准值</w:t>
      </w:r>
      <w:r>
        <w:rPr>
          <w:i w:val="0"/>
          <w:iCs w:val="0"/>
        </w:rPr>
        <w:tab/>
      </w:r>
      <w:r>
        <w:rPr>
          <w:i w:val="0"/>
          <w:iCs w:val="0"/>
        </w:rPr>
        <w:fldChar w:fldCharType="begin"/>
      </w:r>
      <w:r>
        <w:rPr>
          <w:i w:val="0"/>
          <w:iCs w:val="0"/>
        </w:rPr>
        <w:instrText xml:space="preserve"> PAGEREF _Toc21382 \h </w:instrText>
      </w:r>
      <w:r>
        <w:rPr>
          <w:i w:val="0"/>
          <w:iCs w:val="0"/>
        </w:rPr>
        <w:fldChar w:fldCharType="separate"/>
      </w:r>
      <w:r>
        <w:rPr>
          <w:i w:val="0"/>
          <w:iCs w:val="0"/>
        </w:rPr>
        <w:t>9</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_Toc6249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6.9 </w:t>
      </w:r>
      <w:r>
        <w:rPr>
          <w:i w:val="0"/>
          <w:iCs w:val="0"/>
        </w:rPr>
        <w:t>短时电流额定值</w:t>
      </w:r>
      <w:r>
        <w:rPr>
          <w:i w:val="0"/>
          <w:iCs w:val="0"/>
        </w:rPr>
        <w:tab/>
      </w:r>
      <w:r>
        <w:rPr>
          <w:i w:val="0"/>
          <w:iCs w:val="0"/>
        </w:rPr>
        <w:fldChar w:fldCharType="begin"/>
      </w:r>
      <w:r>
        <w:rPr>
          <w:i w:val="0"/>
          <w:iCs w:val="0"/>
        </w:rPr>
        <w:instrText xml:space="preserve"> PAGEREF _Toc6249 \h </w:instrText>
      </w:r>
      <w:r>
        <w:rPr>
          <w:i w:val="0"/>
          <w:iCs w:val="0"/>
        </w:rPr>
        <w:fldChar w:fldCharType="separate"/>
      </w:r>
      <w:r>
        <w:rPr>
          <w:i w:val="0"/>
          <w:iCs w:val="0"/>
        </w:rPr>
        <w:t>9</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_Toc12538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6.10 </w:t>
      </w:r>
      <w:r>
        <w:rPr>
          <w:i w:val="0"/>
          <w:iCs w:val="0"/>
        </w:rPr>
        <w:t>外绝缘要求</w:t>
      </w:r>
      <w:r>
        <w:rPr>
          <w:i w:val="0"/>
          <w:iCs w:val="0"/>
        </w:rPr>
        <w:tab/>
      </w:r>
      <w:r>
        <w:rPr>
          <w:i w:val="0"/>
          <w:iCs w:val="0"/>
        </w:rPr>
        <w:fldChar w:fldCharType="begin"/>
      </w:r>
      <w:r>
        <w:rPr>
          <w:i w:val="0"/>
          <w:iCs w:val="0"/>
        </w:rPr>
        <w:instrText xml:space="preserve"> PAGEREF _Toc12538 \h </w:instrText>
      </w:r>
      <w:r>
        <w:rPr>
          <w:i w:val="0"/>
          <w:iCs w:val="0"/>
        </w:rPr>
        <w:fldChar w:fldCharType="separate"/>
      </w:r>
      <w:r>
        <w:rPr>
          <w:i w:val="0"/>
          <w:iCs w:val="0"/>
        </w:rPr>
        <w:t>9</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_Toc19272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6.11 </w:t>
      </w:r>
      <w:r>
        <w:rPr>
          <w:i w:val="0"/>
          <w:iCs w:val="0"/>
        </w:rPr>
        <w:t>电容</w:t>
      </w:r>
      <w:r>
        <w:rPr>
          <w:rFonts w:hint="eastAsia"/>
          <w:i w:val="0"/>
          <w:iCs w:val="0"/>
        </w:rPr>
        <w:t>量</w:t>
      </w:r>
      <w:r>
        <w:rPr>
          <w:i w:val="0"/>
          <w:iCs w:val="0"/>
        </w:rPr>
        <w:t>和介质损耗因数</w:t>
      </w:r>
      <w:r>
        <w:rPr>
          <w:i w:val="0"/>
          <w:iCs w:val="0"/>
        </w:rPr>
        <w:tab/>
      </w:r>
      <w:r>
        <w:rPr>
          <w:i w:val="0"/>
          <w:iCs w:val="0"/>
        </w:rPr>
        <w:fldChar w:fldCharType="begin"/>
      </w:r>
      <w:r>
        <w:rPr>
          <w:i w:val="0"/>
          <w:iCs w:val="0"/>
        </w:rPr>
        <w:instrText xml:space="preserve"> PAGEREF _Toc19272 \h </w:instrText>
      </w:r>
      <w:r>
        <w:rPr>
          <w:i w:val="0"/>
          <w:iCs w:val="0"/>
        </w:rPr>
        <w:fldChar w:fldCharType="separate"/>
      </w:r>
      <w:r>
        <w:rPr>
          <w:i w:val="0"/>
          <w:iCs w:val="0"/>
        </w:rPr>
        <w:t>10</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_Toc17230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6.12 </w:t>
      </w:r>
      <w:r>
        <w:rPr>
          <w:i w:val="0"/>
          <w:iCs w:val="0"/>
        </w:rPr>
        <w:t>局部放电水平</w:t>
      </w:r>
      <w:r>
        <w:rPr>
          <w:i w:val="0"/>
          <w:iCs w:val="0"/>
        </w:rPr>
        <w:tab/>
      </w:r>
      <w:r>
        <w:rPr>
          <w:i w:val="0"/>
          <w:iCs w:val="0"/>
        </w:rPr>
        <w:fldChar w:fldCharType="begin"/>
      </w:r>
      <w:r>
        <w:rPr>
          <w:i w:val="0"/>
          <w:iCs w:val="0"/>
        </w:rPr>
        <w:instrText xml:space="preserve"> PAGEREF _Toc17230 \h </w:instrText>
      </w:r>
      <w:r>
        <w:rPr>
          <w:i w:val="0"/>
          <w:iCs w:val="0"/>
        </w:rPr>
        <w:fldChar w:fldCharType="separate"/>
      </w:r>
      <w:r>
        <w:rPr>
          <w:i w:val="0"/>
          <w:iCs w:val="0"/>
        </w:rPr>
        <w:t>10</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_Toc28060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6.13 </w:t>
      </w:r>
      <w:r>
        <w:rPr>
          <w:i w:val="0"/>
          <w:iCs w:val="0"/>
        </w:rPr>
        <w:t>绝缘油介质主要性能要求</w:t>
      </w:r>
      <w:r>
        <w:rPr>
          <w:i w:val="0"/>
          <w:iCs w:val="0"/>
        </w:rPr>
        <w:tab/>
      </w:r>
      <w:r>
        <w:rPr>
          <w:i w:val="0"/>
          <w:iCs w:val="0"/>
        </w:rPr>
        <w:fldChar w:fldCharType="begin"/>
      </w:r>
      <w:r>
        <w:rPr>
          <w:i w:val="0"/>
          <w:iCs w:val="0"/>
        </w:rPr>
        <w:instrText xml:space="preserve"> PAGEREF _Toc28060 \h </w:instrText>
      </w:r>
      <w:r>
        <w:rPr>
          <w:i w:val="0"/>
          <w:iCs w:val="0"/>
        </w:rPr>
        <w:fldChar w:fldCharType="separate"/>
      </w:r>
      <w:r>
        <w:rPr>
          <w:i w:val="0"/>
          <w:iCs w:val="0"/>
        </w:rPr>
        <w:t>11</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_Toc16899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6.14 </w:t>
      </w:r>
      <w:r>
        <w:rPr>
          <w:i w:val="0"/>
          <w:iCs w:val="0"/>
        </w:rPr>
        <w:t>气体介质主要性能要求</w:t>
      </w:r>
      <w:r>
        <w:rPr>
          <w:i w:val="0"/>
          <w:iCs w:val="0"/>
        </w:rPr>
        <w:tab/>
      </w:r>
      <w:r>
        <w:rPr>
          <w:i w:val="0"/>
          <w:iCs w:val="0"/>
        </w:rPr>
        <w:fldChar w:fldCharType="begin"/>
      </w:r>
      <w:r>
        <w:rPr>
          <w:i w:val="0"/>
          <w:iCs w:val="0"/>
        </w:rPr>
        <w:instrText xml:space="preserve"> PAGEREF _Toc16899 \h </w:instrText>
      </w:r>
      <w:r>
        <w:rPr>
          <w:i w:val="0"/>
          <w:iCs w:val="0"/>
        </w:rPr>
        <w:fldChar w:fldCharType="separate"/>
      </w:r>
      <w:r>
        <w:rPr>
          <w:i w:val="0"/>
          <w:iCs w:val="0"/>
        </w:rPr>
        <w:t>11</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_Toc27533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6.15 </w:t>
      </w:r>
      <w:r>
        <w:rPr>
          <w:rFonts w:hint="eastAsia"/>
          <w:i w:val="0"/>
          <w:iCs w:val="0"/>
        </w:rPr>
        <w:t>对零件和部件的</w:t>
      </w:r>
      <w:r>
        <w:rPr>
          <w:i w:val="0"/>
          <w:iCs w:val="0"/>
        </w:rPr>
        <w:t>温升</w:t>
      </w:r>
      <w:r>
        <w:rPr>
          <w:rFonts w:hint="eastAsia"/>
          <w:i w:val="0"/>
          <w:iCs w:val="0"/>
        </w:rPr>
        <w:t>要求</w:t>
      </w:r>
      <w:r>
        <w:rPr>
          <w:i w:val="0"/>
          <w:iCs w:val="0"/>
        </w:rPr>
        <w:tab/>
      </w:r>
      <w:r>
        <w:rPr>
          <w:i w:val="0"/>
          <w:iCs w:val="0"/>
        </w:rPr>
        <w:fldChar w:fldCharType="begin"/>
      </w:r>
      <w:r>
        <w:rPr>
          <w:i w:val="0"/>
          <w:iCs w:val="0"/>
        </w:rPr>
        <w:instrText xml:space="preserve"> PAGEREF _Toc27533 \h </w:instrText>
      </w:r>
      <w:r>
        <w:rPr>
          <w:i w:val="0"/>
          <w:iCs w:val="0"/>
        </w:rPr>
        <w:fldChar w:fldCharType="separate"/>
      </w:r>
      <w:r>
        <w:rPr>
          <w:i w:val="0"/>
          <w:iCs w:val="0"/>
        </w:rPr>
        <w:t>11</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_Toc22690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6.16 </w:t>
      </w:r>
      <w:r>
        <w:rPr>
          <w:i w:val="0"/>
          <w:iCs w:val="0"/>
        </w:rPr>
        <w:t>机械强度要求</w:t>
      </w:r>
      <w:r>
        <w:rPr>
          <w:i w:val="0"/>
          <w:iCs w:val="0"/>
        </w:rPr>
        <w:tab/>
      </w:r>
      <w:r>
        <w:rPr>
          <w:i w:val="0"/>
          <w:iCs w:val="0"/>
        </w:rPr>
        <w:fldChar w:fldCharType="begin"/>
      </w:r>
      <w:r>
        <w:rPr>
          <w:i w:val="0"/>
          <w:iCs w:val="0"/>
        </w:rPr>
        <w:instrText xml:space="preserve"> PAGEREF _Toc22690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_Toc31352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6.17 </w:t>
      </w:r>
      <w:r>
        <w:rPr>
          <w:rFonts w:hint="eastAsia"/>
          <w:i w:val="0"/>
          <w:iCs w:val="0"/>
        </w:rPr>
        <w:t>一次端多次截断冲击</w:t>
      </w:r>
      <w:r>
        <w:rPr>
          <w:i w:val="0"/>
          <w:iCs w:val="0"/>
        </w:rPr>
        <w:tab/>
      </w:r>
      <w:r>
        <w:rPr>
          <w:i w:val="0"/>
          <w:iCs w:val="0"/>
        </w:rPr>
        <w:fldChar w:fldCharType="begin"/>
      </w:r>
      <w:r>
        <w:rPr>
          <w:i w:val="0"/>
          <w:iCs w:val="0"/>
        </w:rPr>
        <w:instrText xml:space="preserve"> PAGEREF _Toc31352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_Toc10022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6.18 </w:t>
      </w:r>
      <w:r>
        <w:rPr>
          <w:rFonts w:hint="eastAsia"/>
          <w:i w:val="0"/>
          <w:iCs w:val="0"/>
        </w:rPr>
        <w:t>内部电弧故障防护</w:t>
      </w:r>
      <w:r>
        <w:rPr>
          <w:i w:val="0"/>
          <w:iCs w:val="0"/>
        </w:rPr>
        <w:t>要求</w:t>
      </w:r>
      <w:r>
        <w:rPr>
          <w:i w:val="0"/>
          <w:iCs w:val="0"/>
        </w:rPr>
        <w:tab/>
      </w:r>
      <w:r>
        <w:rPr>
          <w:i w:val="0"/>
          <w:iCs w:val="0"/>
        </w:rPr>
        <w:fldChar w:fldCharType="begin"/>
      </w:r>
      <w:r>
        <w:rPr>
          <w:i w:val="0"/>
          <w:iCs w:val="0"/>
        </w:rPr>
        <w:instrText xml:space="preserve"> PAGEREF _Toc10022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_Toc16950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6.19 </w:t>
      </w:r>
      <w:r>
        <w:rPr>
          <w:rFonts w:hint="eastAsia"/>
          <w:i w:val="0"/>
          <w:iCs w:val="0"/>
        </w:rPr>
        <w:t>外壳防护等级</w:t>
      </w:r>
      <w:r>
        <w:rPr>
          <w:i w:val="0"/>
          <w:iCs w:val="0"/>
        </w:rPr>
        <w:tab/>
      </w:r>
      <w:r>
        <w:rPr>
          <w:i w:val="0"/>
          <w:iCs w:val="0"/>
        </w:rPr>
        <w:fldChar w:fldCharType="begin"/>
      </w:r>
      <w:r>
        <w:rPr>
          <w:i w:val="0"/>
          <w:iCs w:val="0"/>
        </w:rPr>
        <w:instrText xml:space="preserve"> PAGEREF _Toc16950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_Toc18092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6.20 </w:t>
      </w:r>
      <w:r>
        <w:rPr>
          <w:i w:val="0"/>
          <w:iCs w:val="0"/>
        </w:rPr>
        <w:t>无线电干扰电压（RIV）要求</w:t>
      </w:r>
      <w:r>
        <w:rPr>
          <w:i w:val="0"/>
          <w:iCs w:val="0"/>
        </w:rPr>
        <w:tab/>
      </w:r>
      <w:r>
        <w:rPr>
          <w:i w:val="0"/>
          <w:iCs w:val="0"/>
        </w:rPr>
        <w:fldChar w:fldCharType="begin"/>
      </w:r>
      <w:r>
        <w:rPr>
          <w:i w:val="0"/>
          <w:iCs w:val="0"/>
        </w:rPr>
        <w:instrText xml:space="preserve"> PAGEREF _Toc18092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_Toc19854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6.21 </w:t>
      </w:r>
      <w:r>
        <w:rPr>
          <w:i w:val="0"/>
          <w:iCs w:val="0"/>
        </w:rPr>
        <w:t>传递过电压</w:t>
      </w:r>
      <w:r>
        <w:rPr>
          <w:i w:val="0"/>
          <w:iCs w:val="0"/>
        </w:rPr>
        <w:tab/>
      </w:r>
      <w:r>
        <w:rPr>
          <w:i w:val="0"/>
          <w:iCs w:val="0"/>
        </w:rPr>
        <w:fldChar w:fldCharType="begin"/>
      </w:r>
      <w:r>
        <w:rPr>
          <w:i w:val="0"/>
          <w:iCs w:val="0"/>
        </w:rPr>
        <w:instrText xml:space="preserve"> PAGEREF _Toc19854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_Toc31878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6.22 </w:t>
      </w:r>
      <w:r>
        <w:rPr>
          <w:rFonts w:hint="eastAsia"/>
          <w:i w:val="0"/>
          <w:iCs w:val="0"/>
        </w:rPr>
        <w:t>密封性能</w:t>
      </w:r>
      <w:r>
        <w:rPr>
          <w:i w:val="0"/>
          <w:iCs w:val="0"/>
        </w:rPr>
        <w:t>要求</w:t>
      </w:r>
      <w:r>
        <w:rPr>
          <w:i w:val="0"/>
          <w:iCs w:val="0"/>
        </w:rPr>
        <w:tab/>
      </w:r>
      <w:r>
        <w:rPr>
          <w:i w:val="0"/>
          <w:iCs w:val="0"/>
        </w:rPr>
        <w:fldChar w:fldCharType="begin"/>
      </w:r>
      <w:r>
        <w:rPr>
          <w:i w:val="0"/>
          <w:iCs w:val="0"/>
        </w:rPr>
        <w:instrText xml:space="preserve"> PAGEREF _Toc31878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_Toc25455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6.23 </w:t>
      </w:r>
      <w:r>
        <w:rPr>
          <w:rFonts w:hint="eastAsia"/>
          <w:i w:val="0"/>
          <w:iCs w:val="0"/>
        </w:rPr>
        <w:t>着火危险</w:t>
      </w:r>
      <w:r>
        <w:rPr>
          <w:i w:val="0"/>
          <w:iCs w:val="0"/>
        </w:rPr>
        <w:tab/>
      </w:r>
      <w:r>
        <w:rPr>
          <w:i w:val="0"/>
          <w:iCs w:val="0"/>
        </w:rPr>
        <w:fldChar w:fldCharType="begin"/>
      </w:r>
      <w:r>
        <w:rPr>
          <w:i w:val="0"/>
          <w:iCs w:val="0"/>
        </w:rPr>
        <w:instrText xml:space="preserve"> PAGEREF _Toc25455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_Toc22324 </w:instrText>
      </w:r>
      <w:r>
        <w:rPr>
          <w:rFonts w:ascii="宋体" w:hAnsi="宋体"/>
          <w:i w:val="0"/>
          <w:iCs w:val="0"/>
          <w:szCs w:val="21"/>
        </w:rPr>
        <w:fldChar w:fldCharType="separate"/>
      </w:r>
      <w:r>
        <w:rPr>
          <w:rFonts w:hint="default" w:ascii="黑体" w:hAnsi="Times New Roman" w:eastAsia="黑体"/>
          <w:i w:val="0"/>
          <w:iCs w:val="0"/>
          <w:caps w:val="0"/>
          <w:strike w:val="0"/>
          <w:dstrike w:val="0"/>
          <w:vanish w:val="0"/>
          <w:spacing w:val="0"/>
          <w:kern w:val="0"/>
          <w:position w:val="0"/>
          <w:vertAlign w:val="baseline"/>
        </w:rPr>
        <w:t xml:space="preserve">6.24 </w:t>
      </w:r>
      <w:r>
        <w:rPr>
          <w:rFonts w:hint="eastAsia"/>
          <w:i w:val="0"/>
          <w:iCs w:val="0"/>
        </w:rPr>
        <w:t>腐蚀</w:t>
      </w:r>
      <w:r>
        <w:rPr>
          <w:i w:val="0"/>
          <w:iCs w:val="0"/>
        </w:rPr>
        <w:tab/>
      </w:r>
      <w:r>
        <w:rPr>
          <w:i w:val="0"/>
          <w:iCs w:val="0"/>
        </w:rPr>
        <w:fldChar w:fldCharType="begin"/>
      </w:r>
      <w:r>
        <w:rPr>
          <w:i w:val="0"/>
          <w:iCs w:val="0"/>
        </w:rPr>
        <w:instrText xml:space="preserve"> PAGEREF _Toc22324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_Toc13974 </w:instrText>
      </w:r>
      <w:r>
        <w:rPr>
          <w:rFonts w:ascii="宋体" w:hAnsi="宋体"/>
          <w:i w:val="0"/>
          <w:iCs w:val="0"/>
          <w:szCs w:val="21"/>
        </w:rPr>
        <w:fldChar w:fldCharType="separate"/>
      </w:r>
      <w:r>
        <w:rPr>
          <w:rFonts w:hint="eastAsia"/>
          <w:i w:val="0"/>
          <w:iCs w:val="0"/>
          <w:lang w:val="en-US" w:eastAsia="zh-CN"/>
        </w:rPr>
        <w:t>7</w:t>
      </w:r>
      <w:r>
        <w:rPr>
          <w:rFonts w:hint="eastAsia"/>
          <w:i w:val="0"/>
          <w:iCs w:val="0"/>
        </w:rPr>
        <w:t xml:space="preserve"> 结构与选型要求</w:t>
      </w:r>
      <w:r>
        <w:rPr>
          <w:i w:val="0"/>
          <w:iCs w:val="0"/>
        </w:rPr>
        <w:tab/>
      </w:r>
      <w:r>
        <w:rPr>
          <w:i w:val="0"/>
          <w:iCs w:val="0"/>
        </w:rPr>
        <w:fldChar w:fldCharType="begin"/>
      </w:r>
      <w:r>
        <w:rPr>
          <w:i w:val="0"/>
          <w:iCs w:val="0"/>
        </w:rPr>
        <w:instrText xml:space="preserve"> PAGEREF _Toc13974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_Toc3018 </w:instrText>
      </w:r>
      <w:r>
        <w:rPr>
          <w:rFonts w:ascii="宋体" w:hAnsi="宋体"/>
          <w:i w:val="0"/>
          <w:iCs w:val="0"/>
          <w:szCs w:val="21"/>
        </w:rPr>
        <w:fldChar w:fldCharType="separate"/>
      </w:r>
      <w:r>
        <w:rPr>
          <w:rFonts w:hint="eastAsia"/>
          <w:i w:val="0"/>
          <w:iCs w:val="0"/>
          <w:lang w:val="en-US" w:eastAsia="zh-CN"/>
        </w:rPr>
        <w:t>7</w:t>
      </w:r>
      <w:r>
        <w:rPr>
          <w:rFonts w:hint="eastAsia"/>
          <w:i w:val="0"/>
          <w:iCs w:val="0"/>
        </w:rPr>
        <w:t>.1 一般要求</w:t>
      </w:r>
      <w:r>
        <w:rPr>
          <w:i w:val="0"/>
          <w:iCs w:val="0"/>
        </w:rPr>
        <w:tab/>
      </w:r>
      <w:r>
        <w:rPr>
          <w:i w:val="0"/>
          <w:iCs w:val="0"/>
        </w:rPr>
        <w:fldChar w:fldCharType="begin"/>
      </w:r>
      <w:r>
        <w:rPr>
          <w:i w:val="0"/>
          <w:iCs w:val="0"/>
        </w:rPr>
        <w:instrText xml:space="preserve"> PAGEREF _Toc3018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_Toc2001 </w:instrText>
      </w:r>
      <w:r>
        <w:rPr>
          <w:rFonts w:ascii="宋体" w:hAnsi="宋体"/>
          <w:i w:val="0"/>
          <w:iCs w:val="0"/>
          <w:szCs w:val="21"/>
        </w:rPr>
        <w:fldChar w:fldCharType="separate"/>
      </w:r>
      <w:r>
        <w:rPr>
          <w:rFonts w:hint="eastAsia"/>
          <w:i w:val="0"/>
          <w:iCs w:val="0"/>
          <w:lang w:val="en-US" w:eastAsia="zh-CN"/>
        </w:rPr>
        <w:t>7</w:t>
      </w:r>
      <w:r>
        <w:rPr>
          <w:rFonts w:hint="eastAsia"/>
          <w:i w:val="0"/>
          <w:iCs w:val="0"/>
        </w:rPr>
        <w:t>.2 干</w:t>
      </w:r>
      <w:r>
        <w:rPr>
          <w:i w:val="0"/>
          <w:iCs w:val="0"/>
        </w:rPr>
        <w:t>式</w:t>
      </w:r>
      <w:r>
        <w:rPr>
          <w:rFonts w:hint="eastAsia"/>
          <w:i w:val="0"/>
          <w:iCs w:val="0"/>
        </w:rPr>
        <w:t>低频电流互感器的要求</w:t>
      </w:r>
      <w:r>
        <w:rPr>
          <w:i w:val="0"/>
          <w:iCs w:val="0"/>
        </w:rPr>
        <w:tab/>
      </w:r>
      <w:r>
        <w:rPr>
          <w:i w:val="0"/>
          <w:iCs w:val="0"/>
        </w:rPr>
        <w:fldChar w:fldCharType="begin"/>
      </w:r>
      <w:r>
        <w:rPr>
          <w:i w:val="0"/>
          <w:iCs w:val="0"/>
        </w:rPr>
        <w:instrText xml:space="preserve"> PAGEREF _Toc2001 \h </w:instrText>
      </w:r>
      <w:r>
        <w:rPr>
          <w:i w:val="0"/>
          <w:iCs w:val="0"/>
        </w:rPr>
        <w:fldChar w:fldCharType="separate"/>
      </w:r>
      <w:r>
        <w:rPr>
          <w:i w:val="0"/>
          <w:iCs w:val="0"/>
        </w:rPr>
        <w:t>12</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_Toc24517 </w:instrText>
      </w:r>
      <w:r>
        <w:rPr>
          <w:rFonts w:ascii="宋体" w:hAnsi="宋体"/>
          <w:i w:val="0"/>
          <w:iCs w:val="0"/>
          <w:szCs w:val="21"/>
        </w:rPr>
        <w:fldChar w:fldCharType="separate"/>
      </w:r>
      <w:r>
        <w:rPr>
          <w:rFonts w:hint="eastAsia"/>
          <w:i w:val="0"/>
          <w:iCs w:val="0"/>
          <w:lang w:val="en-US" w:eastAsia="zh-CN"/>
        </w:rPr>
        <w:t>7</w:t>
      </w:r>
      <w:r>
        <w:rPr>
          <w:rFonts w:hint="eastAsia"/>
          <w:i w:val="0"/>
          <w:iCs w:val="0"/>
        </w:rPr>
        <w:t>.3 充油式低频电流互感器的要求</w:t>
      </w:r>
      <w:r>
        <w:rPr>
          <w:i w:val="0"/>
          <w:iCs w:val="0"/>
        </w:rPr>
        <w:tab/>
      </w:r>
      <w:r>
        <w:rPr>
          <w:i w:val="0"/>
          <w:iCs w:val="0"/>
        </w:rPr>
        <w:fldChar w:fldCharType="begin"/>
      </w:r>
      <w:r>
        <w:rPr>
          <w:i w:val="0"/>
          <w:iCs w:val="0"/>
        </w:rPr>
        <w:instrText xml:space="preserve"> PAGEREF _Toc24517 \h </w:instrText>
      </w:r>
      <w:r>
        <w:rPr>
          <w:i w:val="0"/>
          <w:iCs w:val="0"/>
        </w:rPr>
        <w:fldChar w:fldCharType="separate"/>
      </w:r>
      <w:r>
        <w:rPr>
          <w:i w:val="0"/>
          <w:iCs w:val="0"/>
        </w:rPr>
        <w:t>13</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_Toc30468 </w:instrText>
      </w:r>
      <w:r>
        <w:rPr>
          <w:rFonts w:ascii="宋体" w:hAnsi="宋体"/>
          <w:i w:val="0"/>
          <w:iCs w:val="0"/>
          <w:szCs w:val="21"/>
        </w:rPr>
        <w:fldChar w:fldCharType="separate"/>
      </w:r>
      <w:r>
        <w:rPr>
          <w:rFonts w:hint="eastAsia"/>
          <w:i w:val="0"/>
          <w:iCs w:val="0"/>
          <w:lang w:val="en-US" w:eastAsia="zh-CN"/>
        </w:rPr>
        <w:t>7</w:t>
      </w:r>
      <w:r>
        <w:rPr>
          <w:rFonts w:hint="eastAsia"/>
          <w:i w:val="0"/>
          <w:iCs w:val="0"/>
        </w:rPr>
        <w:t>.4 充气</w:t>
      </w:r>
      <w:r>
        <w:rPr>
          <w:i w:val="0"/>
          <w:iCs w:val="0"/>
        </w:rPr>
        <w:t>式</w:t>
      </w:r>
      <w:r>
        <w:rPr>
          <w:rFonts w:hint="eastAsia"/>
          <w:i w:val="0"/>
          <w:iCs w:val="0"/>
        </w:rPr>
        <w:t>低频电流互感器的要求</w:t>
      </w:r>
      <w:r>
        <w:rPr>
          <w:i w:val="0"/>
          <w:iCs w:val="0"/>
        </w:rPr>
        <w:tab/>
      </w:r>
      <w:r>
        <w:rPr>
          <w:i w:val="0"/>
          <w:iCs w:val="0"/>
        </w:rPr>
        <w:fldChar w:fldCharType="begin"/>
      </w:r>
      <w:r>
        <w:rPr>
          <w:i w:val="0"/>
          <w:iCs w:val="0"/>
        </w:rPr>
        <w:instrText xml:space="preserve"> PAGEREF _Toc30468 \h </w:instrText>
      </w:r>
      <w:r>
        <w:rPr>
          <w:i w:val="0"/>
          <w:iCs w:val="0"/>
        </w:rPr>
        <w:fldChar w:fldCharType="separate"/>
      </w:r>
      <w:r>
        <w:rPr>
          <w:i w:val="0"/>
          <w:iCs w:val="0"/>
        </w:rPr>
        <w:t>13</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_Toc2662 </w:instrText>
      </w:r>
      <w:r>
        <w:rPr>
          <w:rFonts w:ascii="宋体" w:hAnsi="宋体"/>
          <w:i w:val="0"/>
          <w:iCs w:val="0"/>
          <w:szCs w:val="21"/>
        </w:rPr>
        <w:fldChar w:fldCharType="separate"/>
      </w:r>
      <w:r>
        <w:rPr>
          <w:rFonts w:hint="eastAsia"/>
          <w:i w:val="0"/>
          <w:iCs w:val="0"/>
          <w:lang w:val="en-US" w:eastAsia="zh-CN"/>
        </w:rPr>
        <w:t>8</w:t>
      </w:r>
      <w:r>
        <w:rPr>
          <w:rFonts w:hint="eastAsia"/>
          <w:i w:val="0"/>
          <w:iCs w:val="0"/>
        </w:rPr>
        <w:t xml:space="preserve"> 试验</w:t>
      </w:r>
      <w:r>
        <w:rPr>
          <w:i w:val="0"/>
          <w:iCs w:val="0"/>
        </w:rPr>
        <w:tab/>
      </w:r>
      <w:r>
        <w:rPr>
          <w:i w:val="0"/>
          <w:iCs w:val="0"/>
        </w:rPr>
        <w:fldChar w:fldCharType="begin"/>
      </w:r>
      <w:r>
        <w:rPr>
          <w:i w:val="0"/>
          <w:iCs w:val="0"/>
        </w:rPr>
        <w:instrText xml:space="preserve"> PAGEREF _Toc2662 \h </w:instrText>
      </w:r>
      <w:r>
        <w:rPr>
          <w:i w:val="0"/>
          <w:iCs w:val="0"/>
        </w:rPr>
        <w:fldChar w:fldCharType="separate"/>
      </w:r>
      <w:r>
        <w:rPr>
          <w:i w:val="0"/>
          <w:iCs w:val="0"/>
        </w:rPr>
        <w:t>13</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_Toc24977 </w:instrText>
      </w:r>
      <w:r>
        <w:rPr>
          <w:rFonts w:ascii="宋体" w:hAnsi="宋体"/>
          <w:i w:val="0"/>
          <w:iCs w:val="0"/>
          <w:szCs w:val="21"/>
        </w:rPr>
        <w:fldChar w:fldCharType="separate"/>
      </w:r>
      <w:r>
        <w:rPr>
          <w:rFonts w:hint="eastAsia"/>
          <w:i w:val="0"/>
          <w:iCs w:val="0"/>
          <w:lang w:val="en-US" w:eastAsia="zh-CN"/>
        </w:rPr>
        <w:t>8</w:t>
      </w:r>
      <w:r>
        <w:rPr>
          <w:rFonts w:hint="eastAsia"/>
          <w:i w:val="0"/>
          <w:iCs w:val="0"/>
        </w:rPr>
        <w:t>.1 试验分类</w:t>
      </w:r>
      <w:r>
        <w:rPr>
          <w:i w:val="0"/>
          <w:iCs w:val="0"/>
        </w:rPr>
        <w:tab/>
      </w:r>
      <w:r>
        <w:rPr>
          <w:i w:val="0"/>
          <w:iCs w:val="0"/>
        </w:rPr>
        <w:fldChar w:fldCharType="begin"/>
      </w:r>
      <w:r>
        <w:rPr>
          <w:i w:val="0"/>
          <w:iCs w:val="0"/>
        </w:rPr>
        <w:instrText xml:space="preserve"> PAGEREF _Toc24977 \h </w:instrText>
      </w:r>
      <w:r>
        <w:rPr>
          <w:i w:val="0"/>
          <w:iCs w:val="0"/>
        </w:rPr>
        <w:fldChar w:fldCharType="separate"/>
      </w:r>
      <w:r>
        <w:rPr>
          <w:i w:val="0"/>
          <w:iCs w:val="0"/>
        </w:rPr>
        <w:t>13</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_Toc4619 </w:instrText>
      </w:r>
      <w:r>
        <w:rPr>
          <w:rFonts w:ascii="宋体" w:hAnsi="宋体"/>
          <w:i w:val="0"/>
          <w:iCs w:val="0"/>
          <w:szCs w:val="21"/>
        </w:rPr>
        <w:fldChar w:fldCharType="separate"/>
      </w:r>
      <w:r>
        <w:rPr>
          <w:rFonts w:hint="eastAsia"/>
          <w:i w:val="0"/>
          <w:iCs w:val="0"/>
          <w:lang w:val="en-US" w:eastAsia="zh-CN"/>
        </w:rPr>
        <w:t>8</w:t>
      </w:r>
      <w:r>
        <w:rPr>
          <w:rFonts w:hint="eastAsia"/>
          <w:i w:val="0"/>
          <w:iCs w:val="0"/>
        </w:rPr>
        <w:t xml:space="preserve">.2 </w:t>
      </w:r>
      <w:r>
        <w:rPr>
          <w:rFonts w:hint="eastAsia"/>
          <w:i w:val="0"/>
          <w:iCs w:val="0"/>
          <w:lang w:val="en-US" w:eastAsia="zh-CN"/>
        </w:rPr>
        <w:t>试验项目</w:t>
      </w:r>
      <w:r>
        <w:rPr>
          <w:i w:val="0"/>
          <w:iCs w:val="0"/>
        </w:rPr>
        <w:tab/>
      </w:r>
      <w:r>
        <w:rPr>
          <w:i w:val="0"/>
          <w:iCs w:val="0"/>
        </w:rPr>
        <w:fldChar w:fldCharType="begin"/>
      </w:r>
      <w:r>
        <w:rPr>
          <w:i w:val="0"/>
          <w:iCs w:val="0"/>
        </w:rPr>
        <w:instrText xml:space="preserve"> PAGEREF _Toc4619 \h </w:instrText>
      </w:r>
      <w:r>
        <w:rPr>
          <w:i w:val="0"/>
          <w:iCs w:val="0"/>
        </w:rPr>
        <w:fldChar w:fldCharType="separate"/>
      </w:r>
      <w:r>
        <w:rPr>
          <w:i w:val="0"/>
          <w:iCs w:val="0"/>
        </w:rPr>
        <w:t>13</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_Toc24796 </w:instrText>
      </w:r>
      <w:r>
        <w:rPr>
          <w:rFonts w:ascii="宋体" w:hAnsi="宋体"/>
          <w:i w:val="0"/>
          <w:iCs w:val="0"/>
          <w:szCs w:val="21"/>
        </w:rPr>
        <w:fldChar w:fldCharType="separate"/>
      </w:r>
      <w:r>
        <w:rPr>
          <w:rFonts w:hint="eastAsia"/>
          <w:i w:val="0"/>
          <w:iCs w:val="0"/>
          <w:lang w:val="en-US" w:eastAsia="zh-CN"/>
        </w:rPr>
        <w:t>8.3</w:t>
      </w:r>
      <w:r>
        <w:rPr>
          <w:rFonts w:hint="eastAsia" w:ascii="Times New Roman"/>
          <w:i w:val="0"/>
          <w:iCs w:val="0"/>
          <w:lang w:val="en-US" w:eastAsia="zh-CN"/>
        </w:rPr>
        <w:t xml:space="preserve"> </w:t>
      </w:r>
      <w:r>
        <w:rPr>
          <w:rFonts w:hint="eastAsia" w:ascii="Times New Roman"/>
          <w:i w:val="0"/>
          <w:iCs w:val="0"/>
        </w:rPr>
        <w:t>准确度试验</w:t>
      </w:r>
      <w:r>
        <w:rPr>
          <w:i w:val="0"/>
          <w:iCs w:val="0"/>
        </w:rPr>
        <w:tab/>
      </w:r>
      <w:r>
        <w:rPr>
          <w:i w:val="0"/>
          <w:iCs w:val="0"/>
        </w:rPr>
        <w:fldChar w:fldCharType="begin"/>
      </w:r>
      <w:r>
        <w:rPr>
          <w:i w:val="0"/>
          <w:iCs w:val="0"/>
        </w:rPr>
        <w:instrText xml:space="preserve"> PAGEREF _Toc24796 \h </w:instrText>
      </w:r>
      <w:r>
        <w:rPr>
          <w:i w:val="0"/>
          <w:iCs w:val="0"/>
        </w:rPr>
        <w:fldChar w:fldCharType="separate"/>
      </w:r>
      <w:r>
        <w:rPr>
          <w:i w:val="0"/>
          <w:iCs w:val="0"/>
        </w:rPr>
        <w:t>14</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_Toc3356 </w:instrText>
      </w:r>
      <w:r>
        <w:rPr>
          <w:rFonts w:ascii="宋体" w:hAnsi="宋体"/>
          <w:i w:val="0"/>
          <w:iCs w:val="0"/>
          <w:szCs w:val="21"/>
        </w:rPr>
        <w:fldChar w:fldCharType="separate"/>
      </w:r>
      <w:r>
        <w:rPr>
          <w:rFonts w:hint="eastAsia"/>
          <w:i w:val="0"/>
          <w:iCs w:val="0"/>
          <w:lang w:val="en-US" w:eastAsia="zh-CN"/>
        </w:rPr>
        <w:t>8.4 环境温度下密封性能试验</w:t>
      </w:r>
      <w:r>
        <w:rPr>
          <w:i w:val="0"/>
          <w:iCs w:val="0"/>
        </w:rPr>
        <w:tab/>
      </w:r>
      <w:r>
        <w:rPr>
          <w:i w:val="0"/>
          <w:iCs w:val="0"/>
        </w:rPr>
        <w:fldChar w:fldCharType="begin"/>
      </w:r>
      <w:r>
        <w:rPr>
          <w:i w:val="0"/>
          <w:iCs w:val="0"/>
        </w:rPr>
        <w:instrText xml:space="preserve"> PAGEREF _Toc3356 \h </w:instrText>
      </w:r>
      <w:r>
        <w:rPr>
          <w:i w:val="0"/>
          <w:iCs w:val="0"/>
        </w:rPr>
        <w:fldChar w:fldCharType="separate"/>
      </w:r>
      <w:r>
        <w:rPr>
          <w:i w:val="0"/>
          <w:iCs w:val="0"/>
        </w:rPr>
        <w:t>14</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_Toc20983 </w:instrText>
      </w:r>
      <w:r>
        <w:rPr>
          <w:rFonts w:ascii="宋体" w:hAnsi="宋体"/>
          <w:i w:val="0"/>
          <w:iCs w:val="0"/>
          <w:szCs w:val="21"/>
        </w:rPr>
        <w:fldChar w:fldCharType="separate"/>
      </w:r>
      <w:r>
        <w:rPr>
          <w:rFonts w:hint="eastAsia"/>
          <w:i w:val="0"/>
          <w:iCs w:val="0"/>
          <w:lang w:val="en-US" w:eastAsia="zh-CN"/>
        </w:rPr>
        <w:t xml:space="preserve">8.5 </w:t>
      </w:r>
      <w:r>
        <w:rPr>
          <w:rFonts w:hint="eastAsia" w:ascii="Times New Roman"/>
          <w:i w:val="0"/>
          <w:iCs w:val="0"/>
        </w:rPr>
        <w:t>气体露点测量</w:t>
      </w:r>
      <w:r>
        <w:rPr>
          <w:i w:val="0"/>
          <w:iCs w:val="0"/>
        </w:rPr>
        <w:tab/>
      </w:r>
      <w:r>
        <w:rPr>
          <w:i w:val="0"/>
          <w:iCs w:val="0"/>
        </w:rPr>
        <w:fldChar w:fldCharType="begin"/>
      </w:r>
      <w:r>
        <w:rPr>
          <w:i w:val="0"/>
          <w:iCs w:val="0"/>
        </w:rPr>
        <w:instrText xml:space="preserve"> PAGEREF _Toc20983 \h </w:instrText>
      </w:r>
      <w:r>
        <w:rPr>
          <w:i w:val="0"/>
          <w:iCs w:val="0"/>
        </w:rPr>
        <w:fldChar w:fldCharType="separate"/>
      </w:r>
      <w:r>
        <w:rPr>
          <w:i w:val="0"/>
          <w:iCs w:val="0"/>
        </w:rPr>
        <w:t>15</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_Toc11136 </w:instrText>
      </w:r>
      <w:r>
        <w:rPr>
          <w:rFonts w:ascii="宋体" w:hAnsi="宋体"/>
          <w:i w:val="0"/>
          <w:iCs w:val="0"/>
          <w:szCs w:val="21"/>
        </w:rPr>
        <w:fldChar w:fldCharType="separate"/>
      </w:r>
      <w:r>
        <w:rPr>
          <w:rFonts w:hint="eastAsia"/>
          <w:i w:val="0"/>
          <w:iCs w:val="0"/>
          <w:lang w:val="en-US" w:eastAsia="zh-CN"/>
        </w:rPr>
        <w:t xml:space="preserve">8.6 </w:t>
      </w:r>
      <w:r>
        <w:rPr>
          <w:rFonts w:hint="eastAsia" w:ascii="Times New Roman"/>
          <w:i w:val="0"/>
          <w:iCs w:val="0"/>
        </w:rPr>
        <w:t>一次端</w:t>
      </w:r>
      <w:r>
        <w:rPr>
          <w:rFonts w:hint="eastAsia" w:ascii="Times New Roman"/>
          <w:i w:val="0"/>
          <w:iCs w:val="0"/>
          <w:lang w:val="en-US" w:eastAsia="zh-CN"/>
        </w:rPr>
        <w:t>交流</w:t>
      </w:r>
      <w:r>
        <w:rPr>
          <w:rFonts w:hint="eastAsia" w:ascii="Times New Roman"/>
          <w:i w:val="0"/>
          <w:iCs w:val="0"/>
        </w:rPr>
        <w:t>耐压试验</w:t>
      </w:r>
      <w:r>
        <w:rPr>
          <w:i w:val="0"/>
          <w:iCs w:val="0"/>
        </w:rPr>
        <w:tab/>
      </w:r>
      <w:r>
        <w:rPr>
          <w:i w:val="0"/>
          <w:iCs w:val="0"/>
        </w:rPr>
        <w:fldChar w:fldCharType="begin"/>
      </w:r>
      <w:r>
        <w:rPr>
          <w:i w:val="0"/>
          <w:iCs w:val="0"/>
        </w:rPr>
        <w:instrText xml:space="preserve"> PAGEREF _Toc11136 \h </w:instrText>
      </w:r>
      <w:r>
        <w:rPr>
          <w:i w:val="0"/>
          <w:iCs w:val="0"/>
        </w:rPr>
        <w:fldChar w:fldCharType="separate"/>
      </w:r>
      <w:r>
        <w:rPr>
          <w:i w:val="0"/>
          <w:iCs w:val="0"/>
        </w:rPr>
        <w:t>15</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_Toc22470 </w:instrText>
      </w:r>
      <w:r>
        <w:rPr>
          <w:rFonts w:ascii="宋体" w:hAnsi="宋体"/>
          <w:i w:val="0"/>
          <w:iCs w:val="0"/>
          <w:szCs w:val="21"/>
        </w:rPr>
        <w:fldChar w:fldCharType="separate"/>
      </w:r>
      <w:r>
        <w:rPr>
          <w:rFonts w:hint="eastAsia"/>
          <w:i w:val="0"/>
          <w:iCs w:val="0"/>
          <w:lang w:val="en-US" w:eastAsia="zh-CN"/>
        </w:rPr>
        <w:t xml:space="preserve">8.7 </w:t>
      </w:r>
      <w:r>
        <w:rPr>
          <w:rFonts w:hint="eastAsia" w:ascii="Times New Roman"/>
          <w:i w:val="0"/>
          <w:iCs w:val="0"/>
        </w:rPr>
        <w:t>局部放电测量</w:t>
      </w:r>
      <w:r>
        <w:rPr>
          <w:i w:val="0"/>
          <w:iCs w:val="0"/>
        </w:rPr>
        <w:tab/>
      </w:r>
      <w:r>
        <w:rPr>
          <w:i w:val="0"/>
          <w:iCs w:val="0"/>
        </w:rPr>
        <w:fldChar w:fldCharType="begin"/>
      </w:r>
      <w:r>
        <w:rPr>
          <w:i w:val="0"/>
          <w:iCs w:val="0"/>
        </w:rPr>
        <w:instrText xml:space="preserve"> PAGEREF _Toc22470 \h </w:instrText>
      </w:r>
      <w:r>
        <w:rPr>
          <w:i w:val="0"/>
          <w:iCs w:val="0"/>
        </w:rPr>
        <w:fldChar w:fldCharType="separate"/>
      </w:r>
      <w:r>
        <w:rPr>
          <w:i w:val="0"/>
          <w:iCs w:val="0"/>
        </w:rPr>
        <w:t>15</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_Toc21698 </w:instrText>
      </w:r>
      <w:r>
        <w:rPr>
          <w:rFonts w:ascii="宋体" w:hAnsi="宋体"/>
          <w:i w:val="0"/>
          <w:iCs w:val="0"/>
          <w:szCs w:val="21"/>
        </w:rPr>
        <w:fldChar w:fldCharType="separate"/>
      </w:r>
      <w:r>
        <w:rPr>
          <w:rFonts w:hint="eastAsia"/>
          <w:i w:val="0"/>
          <w:iCs w:val="0"/>
          <w:lang w:val="en-US" w:eastAsia="zh-CN"/>
        </w:rPr>
        <w:t xml:space="preserve">8.8 </w:t>
      </w:r>
      <w:r>
        <w:rPr>
          <w:rFonts w:hint="eastAsia" w:ascii="Times New Roman"/>
          <w:i w:val="0"/>
          <w:iCs w:val="0"/>
        </w:rPr>
        <w:t>电容量和介质损耗因数测量</w:t>
      </w:r>
      <w:r>
        <w:rPr>
          <w:i w:val="0"/>
          <w:iCs w:val="0"/>
        </w:rPr>
        <w:tab/>
      </w:r>
      <w:r>
        <w:rPr>
          <w:i w:val="0"/>
          <w:iCs w:val="0"/>
        </w:rPr>
        <w:fldChar w:fldCharType="begin"/>
      </w:r>
      <w:r>
        <w:rPr>
          <w:i w:val="0"/>
          <w:iCs w:val="0"/>
        </w:rPr>
        <w:instrText xml:space="preserve"> PAGEREF _Toc21698 \h </w:instrText>
      </w:r>
      <w:r>
        <w:rPr>
          <w:i w:val="0"/>
          <w:iCs w:val="0"/>
        </w:rPr>
        <w:fldChar w:fldCharType="separate"/>
      </w:r>
      <w:r>
        <w:rPr>
          <w:i w:val="0"/>
          <w:iCs w:val="0"/>
        </w:rPr>
        <w:t>15</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_Toc4882 </w:instrText>
      </w:r>
      <w:r>
        <w:rPr>
          <w:rFonts w:ascii="宋体" w:hAnsi="宋体"/>
          <w:i w:val="0"/>
          <w:iCs w:val="0"/>
          <w:szCs w:val="21"/>
        </w:rPr>
        <w:fldChar w:fldCharType="separate"/>
      </w:r>
      <w:r>
        <w:rPr>
          <w:rFonts w:hint="eastAsia"/>
          <w:i w:val="0"/>
          <w:iCs w:val="0"/>
          <w:lang w:val="en-US" w:eastAsia="zh-CN"/>
        </w:rPr>
        <w:t xml:space="preserve">8.9 </w:t>
      </w:r>
      <w:r>
        <w:rPr>
          <w:rFonts w:hint="eastAsia" w:ascii="Times New Roman"/>
          <w:i w:val="0"/>
          <w:iCs w:val="0"/>
        </w:rPr>
        <w:t>二次端工频耐压试验</w:t>
      </w:r>
      <w:r>
        <w:rPr>
          <w:i w:val="0"/>
          <w:iCs w:val="0"/>
        </w:rPr>
        <w:tab/>
      </w:r>
      <w:r>
        <w:rPr>
          <w:i w:val="0"/>
          <w:iCs w:val="0"/>
        </w:rPr>
        <w:fldChar w:fldCharType="begin"/>
      </w:r>
      <w:r>
        <w:rPr>
          <w:i w:val="0"/>
          <w:iCs w:val="0"/>
        </w:rPr>
        <w:instrText xml:space="preserve"> PAGEREF _Toc4882 \h </w:instrText>
      </w:r>
      <w:r>
        <w:rPr>
          <w:i w:val="0"/>
          <w:iCs w:val="0"/>
        </w:rPr>
        <w:fldChar w:fldCharType="separate"/>
      </w:r>
      <w:r>
        <w:rPr>
          <w:i w:val="0"/>
          <w:iCs w:val="0"/>
        </w:rPr>
        <w:t>15</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_Toc18504 </w:instrText>
      </w:r>
      <w:r>
        <w:rPr>
          <w:rFonts w:ascii="宋体" w:hAnsi="宋体"/>
          <w:i w:val="0"/>
          <w:iCs w:val="0"/>
          <w:szCs w:val="21"/>
        </w:rPr>
        <w:fldChar w:fldCharType="separate"/>
      </w:r>
      <w:r>
        <w:rPr>
          <w:rFonts w:hint="eastAsia"/>
          <w:i w:val="0"/>
          <w:iCs w:val="0"/>
          <w:lang w:val="en-US" w:eastAsia="zh-CN"/>
        </w:rPr>
        <w:t xml:space="preserve">8.10 </w:t>
      </w:r>
      <w:r>
        <w:rPr>
          <w:rFonts w:hint="eastAsia" w:ascii="Times New Roman"/>
          <w:i w:val="0"/>
          <w:iCs w:val="0"/>
        </w:rPr>
        <w:t>标志的检验</w:t>
      </w:r>
      <w:r>
        <w:rPr>
          <w:i w:val="0"/>
          <w:iCs w:val="0"/>
        </w:rPr>
        <w:tab/>
      </w:r>
      <w:r>
        <w:rPr>
          <w:i w:val="0"/>
          <w:iCs w:val="0"/>
        </w:rPr>
        <w:fldChar w:fldCharType="begin"/>
      </w:r>
      <w:r>
        <w:rPr>
          <w:i w:val="0"/>
          <w:iCs w:val="0"/>
        </w:rPr>
        <w:instrText xml:space="preserve"> PAGEREF _Toc18504 \h </w:instrText>
      </w:r>
      <w:r>
        <w:rPr>
          <w:i w:val="0"/>
          <w:iCs w:val="0"/>
        </w:rPr>
        <w:fldChar w:fldCharType="separate"/>
      </w:r>
      <w:r>
        <w:rPr>
          <w:i w:val="0"/>
          <w:iCs w:val="0"/>
        </w:rPr>
        <w:t>15</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_Toc26725 </w:instrText>
      </w:r>
      <w:r>
        <w:rPr>
          <w:rFonts w:ascii="宋体" w:hAnsi="宋体"/>
          <w:i w:val="0"/>
          <w:iCs w:val="0"/>
          <w:szCs w:val="21"/>
        </w:rPr>
        <w:fldChar w:fldCharType="separate"/>
      </w:r>
      <w:r>
        <w:rPr>
          <w:rFonts w:hint="eastAsia"/>
          <w:i w:val="0"/>
          <w:iCs w:val="0"/>
          <w:lang w:val="en-US" w:eastAsia="zh-CN"/>
        </w:rPr>
        <w:t xml:space="preserve">8.11 </w:t>
      </w:r>
      <w:r>
        <w:rPr>
          <w:rFonts w:hint="eastAsia" w:ascii="Times New Roman"/>
          <w:i w:val="0"/>
          <w:iCs w:val="0"/>
        </w:rPr>
        <w:t>额定拐点电势和</w:t>
      </w:r>
      <w:r>
        <w:rPr>
          <w:rFonts w:ascii="Times New Roman"/>
          <w:i w:val="0"/>
          <w:iCs w:val="0"/>
        </w:rPr>
        <w:t>额定拐点电势下励磁电流的试验</w:t>
      </w:r>
      <w:r>
        <w:rPr>
          <w:i w:val="0"/>
          <w:iCs w:val="0"/>
        </w:rPr>
        <w:tab/>
      </w:r>
      <w:r>
        <w:rPr>
          <w:i w:val="0"/>
          <w:iCs w:val="0"/>
        </w:rPr>
        <w:fldChar w:fldCharType="begin"/>
      </w:r>
      <w:r>
        <w:rPr>
          <w:i w:val="0"/>
          <w:iCs w:val="0"/>
        </w:rPr>
        <w:instrText xml:space="preserve"> PAGEREF _Toc26725 \h </w:instrText>
      </w:r>
      <w:r>
        <w:rPr>
          <w:i w:val="0"/>
          <w:iCs w:val="0"/>
        </w:rPr>
        <w:fldChar w:fldCharType="separate"/>
      </w:r>
      <w:r>
        <w:rPr>
          <w:i w:val="0"/>
          <w:iCs w:val="0"/>
        </w:rPr>
        <w:t>15</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_Toc22597 </w:instrText>
      </w:r>
      <w:r>
        <w:rPr>
          <w:rFonts w:ascii="宋体" w:hAnsi="宋体"/>
          <w:i w:val="0"/>
          <w:iCs w:val="0"/>
          <w:szCs w:val="21"/>
        </w:rPr>
        <w:fldChar w:fldCharType="separate"/>
      </w:r>
      <w:r>
        <w:rPr>
          <w:rFonts w:hint="eastAsia"/>
          <w:i w:val="0"/>
          <w:iCs w:val="0"/>
          <w:lang w:val="en-US" w:eastAsia="zh-CN"/>
        </w:rPr>
        <w:t xml:space="preserve">8.12 </w:t>
      </w:r>
      <w:r>
        <w:rPr>
          <w:rFonts w:hint="eastAsia" w:ascii="Times New Roman"/>
          <w:i w:val="0"/>
          <w:iCs w:val="0"/>
        </w:rPr>
        <w:t>绝缘油性能试验</w:t>
      </w:r>
      <w:r>
        <w:rPr>
          <w:i w:val="0"/>
          <w:iCs w:val="0"/>
        </w:rPr>
        <w:tab/>
      </w:r>
      <w:r>
        <w:rPr>
          <w:i w:val="0"/>
          <w:iCs w:val="0"/>
        </w:rPr>
        <w:fldChar w:fldCharType="begin"/>
      </w:r>
      <w:r>
        <w:rPr>
          <w:i w:val="0"/>
          <w:iCs w:val="0"/>
        </w:rPr>
        <w:instrText xml:space="preserve"> PAGEREF _Toc22597 \h </w:instrText>
      </w:r>
      <w:r>
        <w:rPr>
          <w:i w:val="0"/>
          <w:iCs w:val="0"/>
        </w:rPr>
        <w:fldChar w:fldCharType="separate"/>
      </w:r>
      <w:r>
        <w:rPr>
          <w:i w:val="0"/>
          <w:iCs w:val="0"/>
        </w:rPr>
        <w:t>15</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_Toc10667 </w:instrText>
      </w:r>
      <w:r>
        <w:rPr>
          <w:rFonts w:ascii="宋体" w:hAnsi="宋体"/>
          <w:i w:val="0"/>
          <w:iCs w:val="0"/>
          <w:szCs w:val="21"/>
        </w:rPr>
        <w:fldChar w:fldCharType="separate"/>
      </w:r>
      <w:r>
        <w:rPr>
          <w:rFonts w:hint="eastAsia"/>
          <w:i w:val="0"/>
          <w:iCs w:val="0"/>
          <w:lang w:val="en-US" w:eastAsia="zh-CN"/>
        </w:rPr>
        <w:t xml:space="preserve">8.13 </w:t>
      </w:r>
      <w:r>
        <w:rPr>
          <w:rFonts w:hint="eastAsia" w:ascii="Times New Roman"/>
          <w:i w:val="0"/>
          <w:iCs w:val="0"/>
        </w:rPr>
        <w:t>绝缘电阻测量</w:t>
      </w:r>
      <w:r>
        <w:rPr>
          <w:i w:val="0"/>
          <w:iCs w:val="0"/>
        </w:rPr>
        <w:tab/>
      </w:r>
      <w:r>
        <w:rPr>
          <w:i w:val="0"/>
          <w:iCs w:val="0"/>
        </w:rPr>
        <w:fldChar w:fldCharType="begin"/>
      </w:r>
      <w:r>
        <w:rPr>
          <w:i w:val="0"/>
          <w:iCs w:val="0"/>
        </w:rPr>
        <w:instrText xml:space="preserve"> PAGEREF _Toc10667 \h </w:instrText>
      </w:r>
      <w:r>
        <w:rPr>
          <w:i w:val="0"/>
          <w:iCs w:val="0"/>
        </w:rPr>
        <w:fldChar w:fldCharType="separate"/>
      </w:r>
      <w:r>
        <w:rPr>
          <w:i w:val="0"/>
          <w:iCs w:val="0"/>
        </w:rPr>
        <w:t>15</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_Toc23896 </w:instrText>
      </w:r>
      <w:r>
        <w:rPr>
          <w:rFonts w:ascii="宋体" w:hAnsi="宋体"/>
          <w:i w:val="0"/>
          <w:iCs w:val="0"/>
          <w:szCs w:val="21"/>
        </w:rPr>
        <w:fldChar w:fldCharType="separate"/>
      </w:r>
      <w:r>
        <w:rPr>
          <w:rFonts w:hint="eastAsia"/>
          <w:i w:val="0"/>
          <w:iCs w:val="0"/>
          <w:lang w:val="en-US" w:eastAsia="zh-CN"/>
        </w:rPr>
        <w:t xml:space="preserve">8.14 </w:t>
      </w:r>
      <w:r>
        <w:rPr>
          <w:rFonts w:hint="eastAsia" w:ascii="Times New Roman"/>
          <w:i w:val="0"/>
          <w:iCs w:val="0"/>
        </w:rPr>
        <w:t>绕组直流电阻测量</w:t>
      </w:r>
      <w:r>
        <w:rPr>
          <w:i w:val="0"/>
          <w:iCs w:val="0"/>
        </w:rPr>
        <w:tab/>
      </w:r>
      <w:r>
        <w:rPr>
          <w:i w:val="0"/>
          <w:iCs w:val="0"/>
        </w:rPr>
        <w:fldChar w:fldCharType="begin"/>
      </w:r>
      <w:r>
        <w:rPr>
          <w:i w:val="0"/>
          <w:iCs w:val="0"/>
        </w:rPr>
        <w:instrText xml:space="preserve"> PAGEREF _Toc23896 \h </w:instrText>
      </w:r>
      <w:r>
        <w:rPr>
          <w:i w:val="0"/>
          <w:iCs w:val="0"/>
        </w:rPr>
        <w:fldChar w:fldCharType="separate"/>
      </w:r>
      <w:r>
        <w:rPr>
          <w:i w:val="0"/>
          <w:iCs w:val="0"/>
        </w:rPr>
        <w:t>15</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_Toc27109 </w:instrText>
      </w:r>
      <w:r>
        <w:rPr>
          <w:rFonts w:ascii="宋体" w:hAnsi="宋体"/>
          <w:i w:val="0"/>
          <w:iCs w:val="0"/>
          <w:szCs w:val="21"/>
        </w:rPr>
        <w:fldChar w:fldCharType="separate"/>
      </w:r>
      <w:r>
        <w:rPr>
          <w:rFonts w:hint="eastAsia"/>
          <w:i w:val="0"/>
          <w:iCs w:val="0"/>
          <w:lang w:val="en-US" w:eastAsia="zh-CN"/>
        </w:rPr>
        <w:t>9</w:t>
      </w:r>
      <w:r>
        <w:rPr>
          <w:rFonts w:hint="eastAsia"/>
          <w:i w:val="0"/>
          <w:iCs w:val="0"/>
        </w:rPr>
        <w:t xml:space="preserve"> 标志</w:t>
      </w:r>
      <w:r>
        <w:rPr>
          <w:i w:val="0"/>
          <w:iCs w:val="0"/>
        </w:rPr>
        <w:tab/>
      </w:r>
      <w:r>
        <w:rPr>
          <w:i w:val="0"/>
          <w:iCs w:val="0"/>
        </w:rPr>
        <w:fldChar w:fldCharType="begin"/>
      </w:r>
      <w:r>
        <w:rPr>
          <w:i w:val="0"/>
          <w:iCs w:val="0"/>
        </w:rPr>
        <w:instrText xml:space="preserve"> PAGEREF _Toc27109 \h </w:instrText>
      </w:r>
      <w:r>
        <w:rPr>
          <w:i w:val="0"/>
          <w:iCs w:val="0"/>
        </w:rPr>
        <w:fldChar w:fldCharType="separate"/>
      </w:r>
      <w:r>
        <w:rPr>
          <w:i w:val="0"/>
          <w:iCs w:val="0"/>
        </w:rPr>
        <w:t>16</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_Toc12270 </w:instrText>
      </w:r>
      <w:r>
        <w:rPr>
          <w:rFonts w:ascii="宋体" w:hAnsi="宋体"/>
          <w:i w:val="0"/>
          <w:iCs w:val="0"/>
          <w:szCs w:val="21"/>
        </w:rPr>
        <w:fldChar w:fldCharType="separate"/>
      </w:r>
      <w:r>
        <w:rPr>
          <w:rFonts w:hint="eastAsia"/>
          <w:i w:val="0"/>
          <w:iCs w:val="0"/>
          <w:lang w:val="en-US" w:eastAsia="zh-CN"/>
        </w:rPr>
        <w:t>9</w:t>
      </w:r>
      <w:r>
        <w:rPr>
          <w:rFonts w:hint="eastAsia"/>
          <w:i w:val="0"/>
          <w:iCs w:val="0"/>
        </w:rPr>
        <w:t>.1 端子标志</w:t>
      </w:r>
      <w:r>
        <w:rPr>
          <w:i w:val="0"/>
          <w:iCs w:val="0"/>
        </w:rPr>
        <w:tab/>
      </w:r>
      <w:r>
        <w:rPr>
          <w:i w:val="0"/>
          <w:iCs w:val="0"/>
        </w:rPr>
        <w:fldChar w:fldCharType="begin"/>
      </w:r>
      <w:r>
        <w:rPr>
          <w:i w:val="0"/>
          <w:iCs w:val="0"/>
        </w:rPr>
        <w:instrText xml:space="preserve"> PAGEREF _Toc12270 \h </w:instrText>
      </w:r>
      <w:r>
        <w:rPr>
          <w:i w:val="0"/>
          <w:iCs w:val="0"/>
        </w:rPr>
        <w:fldChar w:fldCharType="separate"/>
      </w:r>
      <w:r>
        <w:rPr>
          <w:i w:val="0"/>
          <w:iCs w:val="0"/>
        </w:rPr>
        <w:t>16</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_Toc13175 </w:instrText>
      </w:r>
      <w:r>
        <w:rPr>
          <w:rFonts w:ascii="宋体" w:hAnsi="宋体"/>
          <w:i w:val="0"/>
          <w:iCs w:val="0"/>
          <w:szCs w:val="21"/>
        </w:rPr>
        <w:fldChar w:fldCharType="separate"/>
      </w:r>
      <w:r>
        <w:rPr>
          <w:rFonts w:hint="eastAsia"/>
          <w:i w:val="0"/>
          <w:iCs w:val="0"/>
          <w:lang w:val="en-US" w:eastAsia="zh-CN"/>
        </w:rPr>
        <w:t>9</w:t>
      </w:r>
      <w:r>
        <w:rPr>
          <w:rFonts w:hint="eastAsia"/>
          <w:i w:val="0"/>
          <w:iCs w:val="0"/>
        </w:rPr>
        <w:t>.2 铭牌标志</w:t>
      </w:r>
      <w:r>
        <w:rPr>
          <w:i w:val="0"/>
          <w:iCs w:val="0"/>
        </w:rPr>
        <w:tab/>
      </w:r>
      <w:r>
        <w:rPr>
          <w:i w:val="0"/>
          <w:iCs w:val="0"/>
        </w:rPr>
        <w:fldChar w:fldCharType="begin"/>
      </w:r>
      <w:r>
        <w:rPr>
          <w:i w:val="0"/>
          <w:iCs w:val="0"/>
        </w:rPr>
        <w:instrText xml:space="preserve"> PAGEREF _Toc13175 \h </w:instrText>
      </w:r>
      <w:r>
        <w:rPr>
          <w:i w:val="0"/>
          <w:iCs w:val="0"/>
        </w:rPr>
        <w:fldChar w:fldCharType="separate"/>
      </w:r>
      <w:r>
        <w:rPr>
          <w:i w:val="0"/>
          <w:iCs w:val="0"/>
        </w:rPr>
        <w:t>16</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_Toc7646 </w:instrText>
      </w:r>
      <w:r>
        <w:rPr>
          <w:rFonts w:ascii="宋体" w:hAnsi="宋体"/>
          <w:i w:val="0"/>
          <w:iCs w:val="0"/>
          <w:szCs w:val="21"/>
        </w:rPr>
        <w:fldChar w:fldCharType="separate"/>
      </w:r>
      <w:r>
        <w:rPr>
          <w:rFonts w:hint="eastAsia"/>
          <w:i w:val="0"/>
          <w:iCs w:val="0"/>
          <w:lang w:val="en-US" w:eastAsia="zh-CN"/>
        </w:rPr>
        <w:t>10</w:t>
      </w:r>
      <w:r>
        <w:rPr>
          <w:rFonts w:hint="eastAsia"/>
          <w:i w:val="0"/>
          <w:iCs w:val="0"/>
        </w:rPr>
        <w:t xml:space="preserve"> 使用期限</w:t>
      </w:r>
      <w:r>
        <w:rPr>
          <w:i w:val="0"/>
          <w:iCs w:val="0"/>
        </w:rPr>
        <w:tab/>
      </w:r>
      <w:r>
        <w:rPr>
          <w:i w:val="0"/>
          <w:iCs w:val="0"/>
        </w:rPr>
        <w:fldChar w:fldCharType="begin"/>
      </w:r>
      <w:r>
        <w:rPr>
          <w:i w:val="0"/>
          <w:iCs w:val="0"/>
        </w:rPr>
        <w:instrText xml:space="preserve"> PAGEREF _Toc7646 \h </w:instrText>
      </w:r>
      <w:r>
        <w:rPr>
          <w:i w:val="0"/>
          <w:iCs w:val="0"/>
        </w:rPr>
        <w:fldChar w:fldCharType="separate"/>
      </w:r>
      <w:r>
        <w:rPr>
          <w:i w:val="0"/>
          <w:iCs w:val="0"/>
        </w:rPr>
        <w:t>16</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_Toc24019 </w:instrText>
      </w:r>
      <w:r>
        <w:rPr>
          <w:rFonts w:ascii="宋体" w:hAnsi="宋体"/>
          <w:i w:val="0"/>
          <w:iCs w:val="0"/>
          <w:szCs w:val="21"/>
        </w:rPr>
        <w:fldChar w:fldCharType="separate"/>
      </w:r>
      <w:r>
        <w:rPr>
          <w:rFonts w:hint="eastAsia"/>
          <w:i w:val="0"/>
          <w:iCs w:val="0"/>
        </w:rPr>
        <w:t>1</w:t>
      </w:r>
      <w:r>
        <w:rPr>
          <w:rFonts w:hint="eastAsia"/>
          <w:i w:val="0"/>
          <w:iCs w:val="0"/>
          <w:lang w:val="en-US" w:eastAsia="zh-CN"/>
        </w:rPr>
        <w:t>1</w:t>
      </w:r>
      <w:r>
        <w:rPr>
          <w:rFonts w:hint="eastAsia"/>
          <w:i w:val="0"/>
          <w:iCs w:val="0"/>
        </w:rPr>
        <w:t xml:space="preserve"> 包装、运输和贮存</w:t>
      </w:r>
      <w:r>
        <w:rPr>
          <w:i w:val="0"/>
          <w:iCs w:val="0"/>
        </w:rPr>
        <w:tab/>
      </w:r>
      <w:r>
        <w:rPr>
          <w:i w:val="0"/>
          <w:iCs w:val="0"/>
        </w:rPr>
        <w:fldChar w:fldCharType="begin"/>
      </w:r>
      <w:r>
        <w:rPr>
          <w:i w:val="0"/>
          <w:iCs w:val="0"/>
        </w:rPr>
        <w:instrText xml:space="preserve"> PAGEREF _Toc24019 \h </w:instrText>
      </w:r>
      <w:r>
        <w:rPr>
          <w:i w:val="0"/>
          <w:iCs w:val="0"/>
        </w:rPr>
        <w:fldChar w:fldCharType="separate"/>
      </w:r>
      <w:r>
        <w:rPr>
          <w:i w:val="0"/>
          <w:iCs w:val="0"/>
        </w:rPr>
        <w:t>17</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_Toc17892 </w:instrText>
      </w:r>
      <w:r>
        <w:rPr>
          <w:rFonts w:ascii="宋体" w:hAnsi="宋体"/>
          <w:i w:val="0"/>
          <w:iCs w:val="0"/>
          <w:szCs w:val="21"/>
        </w:rPr>
        <w:fldChar w:fldCharType="separate"/>
      </w:r>
      <w:r>
        <w:rPr>
          <w:rFonts w:hint="eastAsia"/>
          <w:i w:val="0"/>
          <w:iCs w:val="0"/>
        </w:rPr>
        <w:t>1</w:t>
      </w:r>
      <w:r>
        <w:rPr>
          <w:rFonts w:hint="eastAsia"/>
          <w:i w:val="0"/>
          <w:iCs w:val="0"/>
          <w:lang w:val="en-US" w:eastAsia="zh-CN"/>
        </w:rPr>
        <w:t>1</w:t>
      </w:r>
      <w:r>
        <w:rPr>
          <w:rFonts w:hint="eastAsia"/>
          <w:i w:val="0"/>
          <w:iCs w:val="0"/>
        </w:rPr>
        <w:t>.1 包装</w:t>
      </w:r>
      <w:r>
        <w:rPr>
          <w:i w:val="0"/>
          <w:iCs w:val="0"/>
        </w:rPr>
        <w:tab/>
      </w:r>
      <w:r>
        <w:rPr>
          <w:i w:val="0"/>
          <w:iCs w:val="0"/>
        </w:rPr>
        <w:fldChar w:fldCharType="begin"/>
      </w:r>
      <w:r>
        <w:rPr>
          <w:i w:val="0"/>
          <w:iCs w:val="0"/>
        </w:rPr>
        <w:instrText xml:space="preserve"> PAGEREF _Toc17892 \h </w:instrText>
      </w:r>
      <w:r>
        <w:rPr>
          <w:i w:val="0"/>
          <w:iCs w:val="0"/>
        </w:rPr>
        <w:fldChar w:fldCharType="separate"/>
      </w:r>
      <w:r>
        <w:rPr>
          <w:i w:val="0"/>
          <w:iCs w:val="0"/>
        </w:rPr>
        <w:t>17</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_Toc26000 </w:instrText>
      </w:r>
      <w:r>
        <w:rPr>
          <w:rFonts w:ascii="宋体" w:hAnsi="宋体"/>
          <w:i w:val="0"/>
          <w:iCs w:val="0"/>
          <w:szCs w:val="21"/>
        </w:rPr>
        <w:fldChar w:fldCharType="separate"/>
      </w:r>
      <w:r>
        <w:rPr>
          <w:rFonts w:hint="eastAsia"/>
          <w:i w:val="0"/>
          <w:iCs w:val="0"/>
        </w:rPr>
        <w:t>1</w:t>
      </w:r>
      <w:r>
        <w:rPr>
          <w:rFonts w:hint="eastAsia"/>
          <w:i w:val="0"/>
          <w:iCs w:val="0"/>
          <w:lang w:val="en-US" w:eastAsia="zh-CN"/>
        </w:rPr>
        <w:t>1</w:t>
      </w:r>
      <w:r>
        <w:rPr>
          <w:rFonts w:hint="eastAsia"/>
          <w:i w:val="0"/>
          <w:iCs w:val="0"/>
        </w:rPr>
        <w:t>.2 出厂文件</w:t>
      </w:r>
      <w:r>
        <w:rPr>
          <w:i w:val="0"/>
          <w:iCs w:val="0"/>
        </w:rPr>
        <w:tab/>
      </w:r>
      <w:r>
        <w:rPr>
          <w:i w:val="0"/>
          <w:iCs w:val="0"/>
        </w:rPr>
        <w:fldChar w:fldCharType="begin"/>
      </w:r>
      <w:r>
        <w:rPr>
          <w:i w:val="0"/>
          <w:iCs w:val="0"/>
        </w:rPr>
        <w:instrText xml:space="preserve"> PAGEREF _Toc26000 \h </w:instrText>
      </w:r>
      <w:r>
        <w:rPr>
          <w:i w:val="0"/>
          <w:iCs w:val="0"/>
        </w:rPr>
        <w:fldChar w:fldCharType="separate"/>
      </w:r>
      <w:r>
        <w:rPr>
          <w:i w:val="0"/>
          <w:iCs w:val="0"/>
        </w:rPr>
        <w:t>17</w:t>
      </w:r>
      <w:r>
        <w:rPr>
          <w:i w:val="0"/>
          <w:iCs w:val="0"/>
        </w:rPr>
        <w:fldChar w:fldCharType="end"/>
      </w:r>
      <w:r>
        <w:rPr>
          <w:rFonts w:ascii="宋体" w:hAnsi="宋体"/>
          <w:i w:val="0"/>
          <w:iCs w:val="0"/>
          <w:szCs w:val="21"/>
        </w:rPr>
        <w:fldChar w:fldCharType="end"/>
      </w:r>
    </w:p>
    <w:p>
      <w:pPr>
        <w:pStyle w:val="17"/>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_Toc20445 </w:instrText>
      </w:r>
      <w:r>
        <w:rPr>
          <w:rFonts w:ascii="宋体" w:hAnsi="宋体"/>
          <w:i w:val="0"/>
          <w:iCs w:val="0"/>
          <w:szCs w:val="21"/>
        </w:rPr>
        <w:fldChar w:fldCharType="separate"/>
      </w:r>
      <w:r>
        <w:rPr>
          <w:rFonts w:hint="eastAsia"/>
          <w:i w:val="0"/>
          <w:iCs w:val="0"/>
        </w:rPr>
        <w:t>1</w:t>
      </w:r>
      <w:r>
        <w:rPr>
          <w:rFonts w:hint="eastAsia"/>
          <w:i w:val="0"/>
          <w:iCs w:val="0"/>
          <w:lang w:val="en-US" w:eastAsia="zh-CN"/>
        </w:rPr>
        <w:t>1</w:t>
      </w:r>
      <w:r>
        <w:rPr>
          <w:rFonts w:hint="eastAsia"/>
          <w:i w:val="0"/>
          <w:iCs w:val="0"/>
        </w:rPr>
        <w:t>.3 运输及贮存</w:t>
      </w:r>
      <w:r>
        <w:rPr>
          <w:i w:val="0"/>
          <w:iCs w:val="0"/>
        </w:rPr>
        <w:tab/>
      </w:r>
      <w:r>
        <w:rPr>
          <w:i w:val="0"/>
          <w:iCs w:val="0"/>
        </w:rPr>
        <w:fldChar w:fldCharType="begin"/>
      </w:r>
      <w:r>
        <w:rPr>
          <w:i w:val="0"/>
          <w:iCs w:val="0"/>
        </w:rPr>
        <w:instrText xml:space="preserve"> PAGEREF _Toc20445 \h </w:instrText>
      </w:r>
      <w:r>
        <w:rPr>
          <w:i w:val="0"/>
          <w:iCs w:val="0"/>
        </w:rPr>
        <w:fldChar w:fldCharType="separate"/>
      </w:r>
      <w:r>
        <w:rPr>
          <w:i w:val="0"/>
          <w:iCs w:val="0"/>
        </w:rPr>
        <w:t>17</w:t>
      </w:r>
      <w:r>
        <w:rPr>
          <w:i w:val="0"/>
          <w:iCs w:val="0"/>
        </w:rPr>
        <w:fldChar w:fldCharType="end"/>
      </w:r>
      <w:r>
        <w:rPr>
          <w:rFonts w:ascii="宋体" w:hAnsi="宋体"/>
          <w:i w:val="0"/>
          <w:iCs w:val="0"/>
          <w:szCs w:val="21"/>
        </w:rPr>
        <w:fldChar w:fldCharType="end"/>
      </w:r>
    </w:p>
    <w:p>
      <w:pPr>
        <w:pStyle w:val="18"/>
        <w:tabs>
          <w:tab w:val="right" w:leader="dot" w:pos="9354"/>
          <w:tab w:val="clear" w:pos="9344"/>
        </w:tabs>
        <w:rPr>
          <w:i w:val="0"/>
          <w:iCs w:val="0"/>
        </w:rPr>
      </w:pPr>
      <w:r>
        <w:rPr>
          <w:rFonts w:ascii="宋体" w:hAnsi="宋体"/>
          <w:i w:val="0"/>
          <w:iCs w:val="0"/>
          <w:szCs w:val="21"/>
        </w:rPr>
        <w:fldChar w:fldCharType="begin"/>
      </w:r>
      <w:r>
        <w:rPr>
          <w:rFonts w:ascii="宋体" w:hAnsi="宋体"/>
          <w:i w:val="0"/>
          <w:iCs w:val="0"/>
          <w:szCs w:val="21"/>
        </w:rPr>
        <w:instrText xml:space="preserve"> HYPERLINK \l _Toc562 </w:instrText>
      </w:r>
      <w:r>
        <w:rPr>
          <w:rFonts w:ascii="宋体" w:hAnsi="宋体"/>
          <w:i w:val="0"/>
          <w:iCs w:val="0"/>
          <w:szCs w:val="21"/>
        </w:rPr>
        <w:fldChar w:fldCharType="separate"/>
      </w:r>
      <w:r>
        <w:rPr>
          <w:rFonts w:hint="eastAsia"/>
          <w:i w:val="0"/>
          <w:iCs w:val="0"/>
        </w:rPr>
        <w:t>1</w:t>
      </w:r>
      <w:r>
        <w:rPr>
          <w:rFonts w:hint="eastAsia"/>
          <w:i w:val="0"/>
          <w:iCs w:val="0"/>
          <w:lang w:val="en-US" w:eastAsia="zh-CN"/>
        </w:rPr>
        <w:t>2</w:t>
      </w:r>
      <w:r>
        <w:rPr>
          <w:rFonts w:hint="eastAsia"/>
          <w:i w:val="0"/>
          <w:iCs w:val="0"/>
        </w:rPr>
        <w:t xml:space="preserve"> 运行及维护要求</w:t>
      </w:r>
      <w:r>
        <w:rPr>
          <w:i w:val="0"/>
          <w:iCs w:val="0"/>
        </w:rPr>
        <w:tab/>
      </w:r>
      <w:r>
        <w:rPr>
          <w:i w:val="0"/>
          <w:iCs w:val="0"/>
        </w:rPr>
        <w:fldChar w:fldCharType="begin"/>
      </w:r>
      <w:r>
        <w:rPr>
          <w:i w:val="0"/>
          <w:iCs w:val="0"/>
        </w:rPr>
        <w:instrText xml:space="preserve"> PAGEREF _Toc562 \h </w:instrText>
      </w:r>
      <w:r>
        <w:rPr>
          <w:i w:val="0"/>
          <w:iCs w:val="0"/>
        </w:rPr>
        <w:fldChar w:fldCharType="separate"/>
      </w:r>
      <w:r>
        <w:rPr>
          <w:i w:val="0"/>
          <w:iCs w:val="0"/>
        </w:rPr>
        <w:t>17</w:t>
      </w:r>
      <w:r>
        <w:rPr>
          <w:i w:val="0"/>
          <w:iCs w:val="0"/>
        </w:rPr>
        <w:fldChar w:fldCharType="end"/>
      </w:r>
      <w:r>
        <w:rPr>
          <w:rFonts w:ascii="宋体" w:hAnsi="宋体"/>
          <w:i w:val="0"/>
          <w:iCs w:val="0"/>
          <w:szCs w:val="21"/>
        </w:rPr>
        <w:fldChar w:fldCharType="end"/>
      </w:r>
    </w:p>
    <w:p>
      <w:pPr>
        <w:pStyle w:val="18"/>
        <w:rPr>
          <w:rFonts w:ascii="宋体" w:hAnsi="宋体"/>
          <w:i w:val="0"/>
          <w:sz w:val="21"/>
        </w:rPr>
      </w:pPr>
      <w:r>
        <w:rPr>
          <w:rFonts w:ascii="宋体" w:hAnsi="宋体"/>
          <w:i w:val="0"/>
          <w:iCs w:val="0"/>
          <w:szCs w:val="21"/>
        </w:rPr>
        <w:fldChar w:fldCharType="end"/>
      </w: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right"/>
        <w:rPr>
          <w:rFonts w:ascii="宋体" w:hAnsi="宋体"/>
          <w:b/>
          <w:kern w:val="0"/>
          <w:u w:val="thick"/>
        </w:rPr>
      </w:pPr>
    </w:p>
    <w:p>
      <w:pPr>
        <w:jc w:val="center"/>
        <w:rPr>
          <w:rFonts w:ascii="黑体" w:eastAsia="黑体"/>
          <w:sz w:val="32"/>
        </w:rPr>
      </w:pPr>
      <w:r>
        <w:rPr>
          <w:rFonts w:hint="eastAsia" w:ascii="黑体" w:eastAsia="黑体"/>
          <w:sz w:val="32"/>
        </w:rPr>
        <w:t>前    言</w:t>
      </w:r>
    </w:p>
    <w:p>
      <w:pPr>
        <w:jc w:val="center"/>
        <w:rPr>
          <w:rFonts w:ascii="黑体" w:eastAsia="黑体"/>
          <w:sz w:val="32"/>
        </w:rPr>
      </w:pPr>
    </w:p>
    <w:p>
      <w:pPr>
        <w:pStyle w:val="32"/>
        <w:ind w:firstLine="420"/>
        <w:rPr>
          <w:rFonts w:hint="eastAsia"/>
        </w:rPr>
      </w:pPr>
      <w:r>
        <w:rPr>
          <w:rFonts w:hint="eastAsia"/>
        </w:rPr>
        <w:t>本文件按照《中国电机工程学会标准化管理办法》、《中国电机工程学会标准化管理办法实施细则》的要求，依据GB/T 1.1—2020《标准化工作导则 第1部分：标准化文件的结构和起草规则》的规定起草。</w:t>
      </w:r>
    </w:p>
    <w:p>
      <w:pPr>
        <w:pStyle w:val="32"/>
        <w:ind w:firstLine="420"/>
        <w:rPr>
          <w:rFonts w:hint="eastAsia"/>
        </w:rPr>
      </w:pPr>
      <w:r>
        <w:rPr>
          <w:rFonts w:hint="eastAsia"/>
        </w:rPr>
        <w:t>【前言的第一段是必备的，给出本文件起草所依据的基础标准。</w:t>
      </w:r>
    </w:p>
    <w:p>
      <w:pPr>
        <w:pStyle w:val="32"/>
        <w:ind w:firstLine="420"/>
        <w:rPr>
          <w:rFonts w:hint="eastAsia"/>
        </w:rPr>
      </w:pPr>
      <w:r>
        <w:rPr>
          <w:rFonts w:hint="eastAsia"/>
        </w:rPr>
        <w:t>接着可视情况依次分段给出下列信息：</w:t>
      </w:r>
    </w:p>
    <w:p>
      <w:pPr>
        <w:pStyle w:val="32"/>
        <w:ind w:firstLine="420"/>
        <w:rPr>
          <w:rFonts w:hint="eastAsia"/>
        </w:rPr>
      </w:pPr>
      <w:r>
        <w:rPr>
          <w:rFonts w:hint="eastAsia"/>
        </w:rPr>
        <w:t>示例1：分为若干部分的标准的前言中关于标准结构的表述。</w:t>
      </w:r>
    </w:p>
    <w:p>
      <w:pPr>
        <w:pStyle w:val="32"/>
        <w:ind w:firstLine="420"/>
        <w:rPr>
          <w:rFonts w:hint="eastAsia"/>
        </w:rPr>
      </w:pPr>
      <w:r>
        <w:rPr>
          <w:rFonts w:hint="eastAsia"/>
        </w:rPr>
        <w:t xml:space="preserve">本文件是T/CSEE XXXX《XX［标准名称］XX》的第N部分。T/CSEE XXXX已经发布了以下部分： </w:t>
      </w:r>
    </w:p>
    <w:p>
      <w:pPr>
        <w:pStyle w:val="32"/>
        <w:ind w:firstLine="420"/>
        <w:rPr>
          <w:rFonts w:hint="eastAsia"/>
        </w:rPr>
      </w:pPr>
      <w:r>
        <w:rPr>
          <w:rFonts w:hint="eastAsia"/>
        </w:rPr>
        <w:t xml:space="preserve">——第1部分：×××××； </w:t>
      </w:r>
    </w:p>
    <w:p>
      <w:pPr>
        <w:pStyle w:val="32"/>
        <w:ind w:firstLine="420"/>
        <w:rPr>
          <w:rFonts w:hint="eastAsia"/>
        </w:rPr>
      </w:pPr>
      <w:r>
        <w:rPr>
          <w:rFonts w:hint="eastAsia"/>
        </w:rPr>
        <w:t xml:space="preserve">——第2部分：×××××； </w:t>
      </w:r>
    </w:p>
    <w:p>
      <w:pPr>
        <w:pStyle w:val="32"/>
        <w:ind w:firstLine="420"/>
        <w:rPr>
          <w:rFonts w:hint="eastAsia"/>
        </w:rPr>
      </w:pPr>
      <w:r>
        <w:rPr>
          <w:rFonts w:hint="eastAsia"/>
        </w:rPr>
        <w:t>……</w:t>
      </w:r>
    </w:p>
    <w:p>
      <w:pPr>
        <w:pStyle w:val="32"/>
        <w:ind w:firstLine="420"/>
        <w:rPr>
          <w:rFonts w:hint="eastAsia"/>
        </w:rPr>
      </w:pPr>
      <w:r>
        <w:rPr>
          <w:rFonts w:hint="eastAsia"/>
        </w:rPr>
        <w:t>——第×部分：×××××。</w:t>
      </w:r>
    </w:p>
    <w:p>
      <w:pPr>
        <w:pStyle w:val="32"/>
        <w:ind w:firstLine="420"/>
        <w:rPr>
          <w:rFonts w:hint="eastAsia"/>
        </w:rPr>
      </w:pPr>
      <w:r>
        <w:rPr>
          <w:rFonts w:hint="eastAsia"/>
        </w:rPr>
        <w:t>示例2：单项标准代替单项标准。</w:t>
      </w:r>
    </w:p>
    <w:p>
      <w:pPr>
        <w:pStyle w:val="32"/>
        <w:ind w:firstLine="420"/>
        <w:rPr>
          <w:rFonts w:hint="eastAsia"/>
        </w:rPr>
      </w:pPr>
      <w:r>
        <w:rPr>
          <w:rFonts w:hint="eastAsia"/>
        </w:rPr>
        <w:t>本文件代替Q/NARI—20□□《×××(标准名称)×××》，与Q/NARI XXXX—20□□相比，除结构调整和编辑性改动外，主要技术变化如下：</w:t>
      </w:r>
    </w:p>
    <w:p>
      <w:pPr>
        <w:pStyle w:val="32"/>
        <w:ind w:firstLine="420"/>
        <w:rPr>
          <w:rFonts w:hint="eastAsia"/>
        </w:rPr>
      </w:pPr>
      <w:r>
        <w:rPr>
          <w:rFonts w:hint="eastAsia"/>
        </w:rPr>
        <w:t>a)增加了××××××××××（见X.X）；（括号中应列出</w:t>
      </w:r>
      <w:r>
        <w:rPr>
          <w:rFonts w:hint="eastAsia"/>
          <w:lang w:eastAsia="zh-CN"/>
        </w:rPr>
        <w:t>本文件</w:t>
      </w:r>
      <w:r>
        <w:rPr>
          <w:rFonts w:hint="eastAsia"/>
        </w:rPr>
        <w:t>增加内容的对应章条）</w:t>
      </w:r>
    </w:p>
    <w:p>
      <w:pPr>
        <w:pStyle w:val="32"/>
        <w:ind w:firstLine="420"/>
        <w:rPr>
          <w:rFonts w:hint="eastAsia"/>
        </w:rPr>
      </w:pPr>
      <w:r>
        <w:rPr>
          <w:rFonts w:hint="eastAsia"/>
        </w:rPr>
        <w:t>b)更改了××××××××××（见X.X，XXXX年版的X.X）；（括号中应先列出</w:t>
      </w:r>
      <w:r>
        <w:rPr>
          <w:rFonts w:hint="eastAsia"/>
          <w:lang w:eastAsia="zh-CN"/>
        </w:rPr>
        <w:t>本文件</w:t>
      </w:r>
      <w:r>
        <w:rPr>
          <w:rFonts w:hint="eastAsia"/>
        </w:rPr>
        <w:t>更改内容的对应章条，逗号后列出原标准被更改内容的对应章条）</w:t>
      </w:r>
    </w:p>
    <w:p>
      <w:pPr>
        <w:pStyle w:val="32"/>
        <w:ind w:firstLine="420"/>
        <w:rPr>
          <w:rFonts w:hint="eastAsia"/>
        </w:rPr>
      </w:pPr>
      <w:r>
        <w:rPr>
          <w:rFonts w:hint="eastAsia"/>
        </w:rPr>
        <w:t>c)删除了××××××××××（见XXXX年版的X.X）（括号中应列出原标准被删除内容的对应章条）。</w:t>
      </w:r>
    </w:p>
    <w:p>
      <w:pPr>
        <w:pStyle w:val="32"/>
        <w:ind w:firstLine="420"/>
        <w:rPr>
          <w:rFonts w:hint="eastAsia"/>
        </w:rPr>
      </w:pPr>
      <w:r>
        <w:rPr>
          <w:rFonts w:hint="eastAsia"/>
        </w:rPr>
        <w:t>请注意本文件的某些内容可能涉及专利。本文件的发布机构不承担识别这些专利的责任。</w:t>
      </w:r>
    </w:p>
    <w:p>
      <w:pPr>
        <w:pStyle w:val="32"/>
        <w:ind w:firstLine="420"/>
        <w:rPr>
          <w:rFonts w:hint="eastAsia"/>
        </w:rPr>
      </w:pPr>
      <w:r>
        <w:rPr>
          <w:rFonts w:hint="eastAsia"/>
        </w:rPr>
        <w:t>本文件由中国电机工程学会提出。</w:t>
      </w:r>
    </w:p>
    <w:p>
      <w:pPr>
        <w:pStyle w:val="32"/>
        <w:ind w:firstLine="420"/>
        <w:rPr>
          <w:rFonts w:hint="eastAsia"/>
        </w:rPr>
      </w:pPr>
      <w:r>
        <w:rPr>
          <w:rFonts w:hint="eastAsia"/>
        </w:rPr>
        <w:t>本文件由中国电机工程学会XXXXXXXXXX标准专业委员会技术归口和解释。</w:t>
      </w:r>
    </w:p>
    <w:p>
      <w:pPr>
        <w:pStyle w:val="32"/>
        <w:ind w:firstLine="420"/>
        <w:rPr>
          <w:rFonts w:hint="eastAsia"/>
        </w:rPr>
      </w:pPr>
      <w:r>
        <w:rPr>
          <w:rFonts w:hint="eastAsia"/>
        </w:rPr>
        <w:t>本文件起草单位：、、、。</w:t>
      </w:r>
      <w:bookmarkStart w:id="192" w:name="_GoBack"/>
      <w:bookmarkEnd w:id="192"/>
    </w:p>
    <w:p>
      <w:pPr>
        <w:pStyle w:val="32"/>
        <w:ind w:firstLine="420"/>
        <w:rPr>
          <w:rFonts w:hint="eastAsia"/>
        </w:rPr>
      </w:pPr>
      <w:r>
        <w:rPr>
          <w:rFonts w:hint="eastAsia"/>
        </w:rPr>
        <w:t>本文件主要起草人：、、、。</w:t>
      </w:r>
    </w:p>
    <w:p>
      <w:pPr>
        <w:pStyle w:val="32"/>
        <w:ind w:firstLine="420"/>
        <w:rPr>
          <w:rFonts w:hint="eastAsia"/>
        </w:rPr>
      </w:pPr>
      <w:r>
        <w:rPr>
          <w:rFonts w:hint="eastAsia"/>
        </w:rPr>
        <w:t>本文件首次发布。</w:t>
      </w:r>
    </w:p>
    <w:p>
      <w:pPr>
        <w:pStyle w:val="32"/>
        <w:ind w:firstLine="420"/>
        <w:rPr>
          <w:rFonts w:hint="eastAsia"/>
        </w:rPr>
      </w:pPr>
      <w:r>
        <w:rPr>
          <w:rFonts w:hint="eastAsia"/>
        </w:rPr>
        <w:t xml:space="preserve">【修订标准应表述为：“本文件X年X月首次发布，X年X月第一次修订，……。”】 </w:t>
      </w:r>
    </w:p>
    <w:p>
      <w:pPr>
        <w:pStyle w:val="32"/>
        <w:ind w:firstLine="420"/>
        <w:rPr>
          <w:rFonts w:ascii="Times New Roman"/>
          <w:color w:val="000000"/>
        </w:rPr>
      </w:pPr>
      <w:r>
        <w:rPr>
          <w:rFonts w:hint="eastAsia"/>
        </w:rPr>
        <w:t>本文件在执行过程中的意见或建议反馈至中国电机工程学会标准执行办公室（地址：北京市西城区白广路二条1 号，100761，网址：http：//www.csee.org.cn，邮箱：cseebz@csee.org.cn）。</w:t>
      </w:r>
    </w:p>
    <w:p>
      <w:pPr>
        <w:widowControl/>
        <w:jc w:val="left"/>
        <w:rPr>
          <w:rFonts w:ascii="黑体" w:eastAsia="黑体"/>
          <w:sz w:val="32"/>
        </w:rPr>
      </w:pPr>
    </w:p>
    <w:p>
      <w:pPr>
        <w:widowControl/>
        <w:jc w:val="left"/>
        <w:rPr>
          <w:rFonts w:ascii="黑体" w:eastAsia="黑体"/>
          <w:sz w:val="32"/>
        </w:rPr>
      </w:pPr>
    </w:p>
    <w:p>
      <w:pPr>
        <w:widowControl/>
        <w:jc w:val="left"/>
        <w:rPr>
          <w:rFonts w:ascii="黑体" w:eastAsia="黑体"/>
          <w:sz w:val="32"/>
        </w:rPr>
      </w:pPr>
    </w:p>
    <w:p>
      <w:pPr>
        <w:widowControl/>
        <w:jc w:val="left"/>
        <w:rPr>
          <w:rFonts w:ascii="黑体" w:eastAsia="黑体"/>
          <w:sz w:val="32"/>
        </w:rPr>
      </w:pPr>
    </w:p>
    <w:p>
      <w:pPr>
        <w:widowControl/>
        <w:jc w:val="left"/>
        <w:rPr>
          <w:rFonts w:ascii="黑体" w:eastAsia="黑体"/>
          <w:sz w:val="32"/>
        </w:rPr>
      </w:pPr>
    </w:p>
    <w:p>
      <w:pPr>
        <w:widowControl/>
        <w:jc w:val="left"/>
        <w:rPr>
          <w:rFonts w:ascii="黑体" w:eastAsia="黑体"/>
          <w:sz w:val="32"/>
        </w:rPr>
      </w:pPr>
    </w:p>
    <w:p>
      <w:pPr>
        <w:pStyle w:val="90"/>
        <w:rPr>
          <w:rFonts w:hint="eastAsia" w:eastAsia="黑体"/>
          <w:lang w:eastAsia="zh-CN"/>
        </w:rPr>
      </w:pPr>
      <w:bookmarkStart w:id="1" w:name="_Toc17510"/>
      <w:r>
        <w:rPr>
          <w:rFonts w:hint="eastAsia"/>
        </w:rPr>
        <w:t>低频电流互感器技术</w:t>
      </w:r>
      <w:r>
        <w:rPr>
          <w:rFonts w:hint="eastAsia"/>
          <w:lang w:eastAsia="zh-CN"/>
        </w:rPr>
        <w:t>规范</w:t>
      </w:r>
      <w:bookmarkEnd w:id="1"/>
    </w:p>
    <w:p>
      <w:pPr>
        <w:pStyle w:val="86"/>
        <w:numPr>
          <w:ilvl w:val="0"/>
          <w:numId w:val="0"/>
        </w:numPr>
        <w:spacing w:before="312" w:after="312"/>
      </w:pPr>
      <w:bookmarkStart w:id="2" w:name="_Toc17642"/>
      <w:r>
        <w:rPr>
          <w:rFonts w:hint="eastAsia"/>
        </w:rPr>
        <w:t>1范围</w:t>
      </w:r>
      <w:bookmarkEnd w:id="2"/>
    </w:p>
    <w:p>
      <w:pPr>
        <w:pStyle w:val="32"/>
        <w:ind w:firstLine="420"/>
        <w:rPr>
          <w:rFonts w:ascii="Times New Roman"/>
          <w:kern w:val="2"/>
        </w:rPr>
      </w:pPr>
      <w:r>
        <w:rPr>
          <w:rFonts w:hint="eastAsia" w:ascii="Times New Roman"/>
          <w:kern w:val="2"/>
          <w:lang w:eastAsia="zh-CN"/>
        </w:rPr>
        <w:t>本文件</w:t>
      </w:r>
      <w:r>
        <w:rPr>
          <w:rFonts w:ascii="Times New Roman"/>
          <w:kern w:val="2"/>
        </w:rPr>
        <w:t>规定了</w:t>
      </w:r>
      <w:r>
        <w:rPr>
          <w:rFonts w:hint="eastAsia" w:ascii="Times New Roman"/>
          <w:kern w:val="2"/>
          <w:lang w:eastAsia="zh-CN"/>
        </w:rPr>
        <w:t>电力用</w:t>
      </w:r>
      <w:r>
        <w:rPr>
          <w:rFonts w:hint="eastAsia" w:ascii="Times New Roman"/>
          <w:kern w:val="2"/>
        </w:rPr>
        <w:t>低频电流互感器</w:t>
      </w:r>
      <w:r>
        <w:rPr>
          <w:rFonts w:ascii="Times New Roman"/>
          <w:kern w:val="2"/>
        </w:rPr>
        <w:t>的</w:t>
      </w:r>
      <w:r>
        <w:rPr>
          <w:rFonts w:hint="eastAsia" w:ascii="Times New Roman"/>
          <w:kern w:val="2"/>
        </w:rPr>
        <w:t>使用条件、技术要求、结构与</w:t>
      </w:r>
      <w:r>
        <w:rPr>
          <w:rFonts w:ascii="Times New Roman"/>
          <w:kern w:val="2"/>
        </w:rPr>
        <w:t>选型</w:t>
      </w:r>
      <w:r>
        <w:rPr>
          <w:rFonts w:hint="eastAsia" w:ascii="Times New Roman"/>
          <w:kern w:val="2"/>
        </w:rPr>
        <w:t>要求、试验、标志、使用期限、包装、运输和贮存、运行及维护要求等。</w:t>
      </w:r>
    </w:p>
    <w:p>
      <w:pPr>
        <w:pStyle w:val="20"/>
        <w:ind w:firstLine="425"/>
        <w:rPr>
          <w:rFonts w:ascii="Times New Roman" w:hAnsi="Times New Roman"/>
        </w:rPr>
      </w:pPr>
      <w:r>
        <w:rPr>
          <w:rFonts w:hint="eastAsia" w:ascii="Times New Roman" w:hAnsi="Times New Roman"/>
          <w:lang w:eastAsia="zh-CN"/>
        </w:rPr>
        <w:t>本文件</w:t>
      </w:r>
      <w:r>
        <w:rPr>
          <w:rFonts w:hint="eastAsia" w:ascii="Times New Roman" w:hAnsi="Times New Roman"/>
        </w:rPr>
        <w:t>适用于额定一次电压</w:t>
      </w:r>
      <w:r>
        <w:rPr>
          <w:rFonts w:hint="eastAsia" w:ascii="Times New Roman" w:hAnsi="Times New Roman"/>
          <w:lang w:val="en-US" w:eastAsia="zh-CN"/>
        </w:rPr>
        <w:t>10kV</w:t>
      </w:r>
      <w:r>
        <w:rPr>
          <w:rFonts w:hint="eastAsia" w:ascii="Times New Roman" w:hAnsi="Times New Roman"/>
        </w:rPr>
        <w:t>~</w:t>
      </w:r>
      <w:r>
        <w:rPr>
          <w:rFonts w:hint="eastAsia" w:ascii="Times New Roman" w:hAnsi="Times New Roman"/>
          <w:lang w:val="en-US" w:eastAsia="zh-CN"/>
        </w:rPr>
        <w:t>220</w:t>
      </w:r>
      <w:r>
        <w:rPr>
          <w:rFonts w:hint="eastAsia" w:ascii="Times New Roman" w:hAnsi="Times New Roman"/>
        </w:rPr>
        <w:t>kV</w:t>
      </w:r>
      <w:r>
        <w:rPr>
          <w:rFonts w:hint="eastAsia" w:ascii="Times New Roman" w:hAnsi="Times New Roman"/>
          <w:lang w:eastAsia="zh-CN"/>
        </w:rPr>
        <w:t>、频率为</w:t>
      </w:r>
      <w:r>
        <w:rPr>
          <w:rFonts w:hint="eastAsia" w:ascii="Times New Roman" w:hAnsi="Times New Roman"/>
          <w:lang w:val="en-US" w:eastAsia="zh-CN"/>
        </w:rPr>
        <w:t>50Hz以下</w:t>
      </w:r>
      <w:r>
        <w:rPr>
          <w:rFonts w:hint="eastAsia" w:ascii="Times New Roman" w:hAnsi="Times New Roman"/>
        </w:rPr>
        <w:t>的低频电流互感器的设计、生产、订货、验收、运行及维护。</w:t>
      </w:r>
    </w:p>
    <w:p>
      <w:pPr>
        <w:pStyle w:val="86"/>
        <w:numPr>
          <w:ilvl w:val="0"/>
          <w:numId w:val="0"/>
        </w:numPr>
        <w:spacing w:before="312" w:after="312"/>
      </w:pPr>
      <w:bookmarkStart w:id="3" w:name="_Toc2439"/>
      <w:r>
        <w:rPr>
          <w:rFonts w:hint="eastAsia"/>
        </w:rPr>
        <w:t>2 规范性引用文件</w:t>
      </w:r>
      <w:bookmarkEnd w:id="3"/>
    </w:p>
    <w:p>
      <w:pPr>
        <w:pStyle w:val="32"/>
        <w:ind w:firstLine="420"/>
      </w:pPr>
      <w:r>
        <w:rPr>
          <w:rFonts w:hint="eastAsia"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ind w:firstLine="420" w:firstLineChars="200"/>
        <w:rPr>
          <w:rFonts w:hint="eastAsia"/>
          <w:szCs w:val="21"/>
        </w:rPr>
      </w:pPr>
      <w:r>
        <w:rPr>
          <w:szCs w:val="21"/>
        </w:rPr>
        <w:t>GB</w:t>
      </w:r>
      <w:r>
        <w:rPr>
          <w:rFonts w:hint="eastAsia"/>
          <w:szCs w:val="21"/>
        </w:rPr>
        <w:t>/T</w:t>
      </w:r>
      <w:r>
        <w:rPr>
          <w:szCs w:val="21"/>
        </w:rPr>
        <w:t xml:space="preserve"> 311.1  </w:t>
      </w:r>
      <w:r>
        <w:rPr>
          <w:rFonts w:hint="eastAsia"/>
          <w:szCs w:val="21"/>
        </w:rPr>
        <w:t>绝缘配合 第1部分：定义、原则和规则</w:t>
      </w:r>
    </w:p>
    <w:p>
      <w:pPr>
        <w:autoSpaceDE w:val="0"/>
        <w:autoSpaceDN w:val="0"/>
        <w:ind w:firstLine="420" w:firstLineChars="200"/>
        <w:rPr>
          <w:szCs w:val="21"/>
        </w:rPr>
      </w:pPr>
      <w:r>
        <w:rPr>
          <w:rFonts w:hint="eastAsia"/>
          <w:szCs w:val="21"/>
        </w:rPr>
        <w:t>GB/T 507  绝缘油 击穿电压测定法</w:t>
      </w:r>
    </w:p>
    <w:p>
      <w:pPr>
        <w:ind w:firstLine="411" w:firstLineChars="196"/>
        <w:rPr>
          <w:rFonts w:hint="eastAsia"/>
        </w:rPr>
      </w:pPr>
      <w:r>
        <w:t xml:space="preserve">GB/T 2900.94 </w:t>
      </w:r>
      <w:r>
        <w:rPr>
          <w:rFonts w:hint="eastAsia"/>
        </w:rPr>
        <w:t xml:space="preserve"> </w:t>
      </w:r>
      <w:r>
        <w:t>电工术语 互感器</w:t>
      </w:r>
    </w:p>
    <w:p>
      <w:pPr>
        <w:ind w:firstLine="411" w:firstLineChars="196"/>
        <w:rPr>
          <w:rFonts w:hint="eastAsia"/>
        </w:rPr>
      </w:pPr>
      <w:r>
        <w:rPr>
          <w:rFonts w:hint="eastAsia"/>
        </w:rPr>
        <w:t xml:space="preserve">GB/T 5654  </w:t>
      </w:r>
      <w:r>
        <w:t>液体绝缘材料</w:t>
      </w:r>
      <w:r>
        <w:rPr>
          <w:rFonts w:hint="eastAsia"/>
        </w:rPr>
        <w:t xml:space="preserve"> </w:t>
      </w:r>
      <w:r>
        <w:t>相对</w:t>
      </w:r>
      <w:r>
        <w:rPr>
          <w:rFonts w:hint="eastAsia"/>
        </w:rPr>
        <w:t>电容率</w:t>
      </w:r>
      <w:r>
        <w:t>、介质损耗因数和</w:t>
      </w:r>
      <w:r>
        <w:rPr>
          <w:rFonts w:hint="eastAsia"/>
        </w:rPr>
        <w:t>直流</w:t>
      </w:r>
      <w:r>
        <w:t>电阻率的测量</w:t>
      </w:r>
    </w:p>
    <w:p>
      <w:pPr>
        <w:ind w:firstLine="411" w:firstLineChars="196"/>
        <w:rPr>
          <w:rFonts w:hint="eastAsia"/>
        </w:rPr>
      </w:pPr>
      <w:r>
        <w:t>GB/T 7595  运行中变压器油质量</w:t>
      </w:r>
    </w:p>
    <w:p>
      <w:pPr>
        <w:ind w:firstLine="411" w:firstLineChars="196"/>
        <w:rPr>
          <w:rFonts w:hint="eastAsia"/>
        </w:rPr>
      </w:pPr>
      <w:r>
        <w:rPr>
          <w:rFonts w:hint="eastAsia"/>
        </w:rPr>
        <w:t xml:space="preserve">GB/T 7600  </w:t>
      </w:r>
      <w:r>
        <w:t>运行中变压器油</w:t>
      </w:r>
      <w:r>
        <w:rPr>
          <w:rFonts w:hint="eastAsia"/>
        </w:rPr>
        <w:t>和汽轮机油</w:t>
      </w:r>
      <w:r>
        <w:t>水分含量测定法(库仑法)</w:t>
      </w:r>
    </w:p>
    <w:p>
      <w:pPr>
        <w:autoSpaceDE w:val="0"/>
        <w:autoSpaceDN w:val="0"/>
        <w:ind w:firstLine="420" w:firstLineChars="200"/>
        <w:rPr>
          <w:rFonts w:hint="eastAsia"/>
          <w:szCs w:val="21"/>
        </w:rPr>
      </w:pPr>
      <w:r>
        <w:rPr>
          <w:rFonts w:hint="eastAsia"/>
          <w:szCs w:val="21"/>
        </w:rPr>
        <w:t>GB/T 7674  额定电压72.5kV及以上气体绝缘金属封闭开关设备</w:t>
      </w:r>
    </w:p>
    <w:p>
      <w:pPr>
        <w:autoSpaceDE w:val="0"/>
        <w:autoSpaceDN w:val="0"/>
        <w:ind w:firstLine="420" w:firstLineChars="200"/>
        <w:rPr>
          <w:rFonts w:hint="eastAsia"/>
        </w:rPr>
      </w:pPr>
      <w:r>
        <w:rPr>
          <w:rFonts w:hint="eastAsia"/>
          <w:szCs w:val="21"/>
        </w:rPr>
        <w:t xml:space="preserve">GB/T 8905  </w:t>
      </w:r>
      <w:r>
        <w:t>六氟化硫</w:t>
      </w:r>
      <w:r>
        <w:rPr>
          <w:rFonts w:hint="eastAsia"/>
        </w:rPr>
        <w:t>电气设备中气体管理和检测导则</w:t>
      </w:r>
    </w:p>
    <w:p>
      <w:pPr>
        <w:autoSpaceDE w:val="0"/>
        <w:autoSpaceDN w:val="0"/>
        <w:ind w:firstLine="420" w:firstLineChars="200"/>
        <w:rPr>
          <w:szCs w:val="21"/>
        </w:rPr>
      </w:pPr>
      <w:r>
        <w:rPr>
          <w:rFonts w:hint="eastAsia"/>
        </w:rPr>
        <w:t>GB/T 11023  高压开关设备六氟化硫气体密封试验方法</w:t>
      </w:r>
    </w:p>
    <w:p>
      <w:pPr>
        <w:ind w:firstLine="411" w:firstLineChars="196"/>
      </w:pPr>
      <w:r>
        <w:t>GB</w:t>
      </w:r>
      <w:r>
        <w:rPr>
          <w:szCs w:val="21"/>
        </w:rPr>
        <w:t>/T</w:t>
      </w:r>
      <w:r>
        <w:t xml:space="preserve"> 12022  工业六氟化硫</w:t>
      </w:r>
    </w:p>
    <w:p>
      <w:pPr>
        <w:ind w:firstLine="411" w:firstLineChars="196"/>
      </w:pPr>
      <w:r>
        <w:t>GB/T 13384  机电产品包装通用技术条件</w:t>
      </w:r>
    </w:p>
    <w:p>
      <w:pPr>
        <w:ind w:firstLine="411" w:firstLineChars="196"/>
        <w:rPr>
          <w:rFonts w:hint="eastAsia"/>
        </w:rPr>
      </w:pPr>
      <w:r>
        <w:t>GB/T 13540  高压开关设备</w:t>
      </w:r>
      <w:r>
        <w:rPr>
          <w:rFonts w:hint="eastAsia"/>
        </w:rPr>
        <w:t>和控制设备的抗震要求</w:t>
      </w:r>
    </w:p>
    <w:p>
      <w:pPr>
        <w:ind w:firstLine="411" w:firstLineChars="196"/>
        <w:rPr>
          <w:rFonts w:hint="eastAsia"/>
        </w:rPr>
      </w:pPr>
      <w:r>
        <w:rPr>
          <w:rFonts w:hint="eastAsia"/>
        </w:rPr>
        <w:t>GB/T 14285  继电保护和安全自动装置技术规程</w:t>
      </w:r>
    </w:p>
    <w:p>
      <w:pPr>
        <w:ind w:firstLine="411" w:firstLineChars="196"/>
        <w:rPr>
          <w:rFonts w:hint="eastAsia"/>
        </w:rPr>
      </w:pPr>
      <w:r>
        <w:rPr>
          <w:rFonts w:hint="eastAsia"/>
        </w:rPr>
        <w:t>GB/T 17623  绝缘油中溶解气体组分含量的气相色谱测定法</w:t>
      </w:r>
    </w:p>
    <w:p>
      <w:pPr>
        <w:ind w:firstLine="411" w:firstLineChars="196"/>
      </w:pPr>
      <w:r>
        <w:t>GB</w:t>
      </w:r>
      <w:r>
        <w:rPr>
          <w:rFonts w:hint="eastAsia"/>
        </w:rPr>
        <w:t>/T</w:t>
      </w:r>
      <w:r>
        <w:t xml:space="preserve"> 20840.1</w:t>
      </w:r>
      <w:r>
        <w:rPr>
          <w:rFonts w:hint="eastAsia"/>
        </w:rPr>
        <w:t>—2010</w:t>
      </w:r>
      <w:r>
        <w:t xml:space="preserve">  互感器 第1部分：通用技术要求</w:t>
      </w:r>
    </w:p>
    <w:p>
      <w:pPr>
        <w:ind w:firstLine="411" w:firstLineChars="196"/>
        <w:rPr>
          <w:rFonts w:hint="eastAsia"/>
        </w:rPr>
      </w:pPr>
      <w:r>
        <w:t>GB</w:t>
      </w:r>
      <w:r>
        <w:rPr>
          <w:rFonts w:hint="eastAsia"/>
        </w:rPr>
        <w:t>/T</w:t>
      </w:r>
      <w:r>
        <w:t xml:space="preserve"> 20840.2  互感器 第2部分：电流互感器的补充技术要求</w:t>
      </w:r>
    </w:p>
    <w:p>
      <w:pPr>
        <w:ind w:firstLine="411" w:firstLineChars="196"/>
        <w:rPr>
          <w:rFonts w:hint="eastAsia"/>
        </w:rPr>
      </w:pPr>
      <w:r>
        <w:t>GB/T 22071.1  互感器试验导则 第1部分：电流互感器</w:t>
      </w:r>
    </w:p>
    <w:p>
      <w:pPr>
        <w:ind w:firstLine="411" w:firstLineChars="196"/>
        <w:rPr>
          <w:rFonts w:hint="eastAsia"/>
          <w:szCs w:val="21"/>
        </w:rPr>
      </w:pPr>
      <w:r>
        <w:rPr>
          <w:rFonts w:hint="eastAsia"/>
          <w:szCs w:val="21"/>
        </w:rPr>
        <w:t>GB/T 24836  1100kV气体绝缘金属封闭开关设备</w:t>
      </w:r>
    </w:p>
    <w:p>
      <w:pPr>
        <w:ind w:firstLine="411" w:firstLineChars="196"/>
      </w:pPr>
      <w:r>
        <w:rPr>
          <w:rFonts w:hint="eastAsia"/>
          <w:szCs w:val="21"/>
        </w:rPr>
        <w:t>GB/T 24846  1000kV交流电气设备预防性试验规程</w:t>
      </w:r>
    </w:p>
    <w:p>
      <w:pPr>
        <w:ind w:left="420" w:leftChars="200"/>
        <w:rPr>
          <w:rFonts w:hint="eastAsia"/>
        </w:rPr>
      </w:pPr>
      <w:r>
        <w:t>GB/T 26218.2  污秽条件下使用的高压绝缘子的选择和尺寸确定 第2部分：交流系统用瓷和玻璃绝缘子</w:t>
      </w:r>
    </w:p>
    <w:p>
      <w:pPr>
        <w:ind w:left="420" w:leftChars="200"/>
        <w:rPr>
          <w:rFonts w:hint="eastAsia"/>
        </w:rPr>
      </w:pPr>
      <w:r>
        <w:t>GB/T 26218.</w:t>
      </w:r>
      <w:r>
        <w:rPr>
          <w:rFonts w:hint="eastAsia"/>
        </w:rPr>
        <w:t xml:space="preserve">3  </w:t>
      </w:r>
      <w:r>
        <w:t>污秽条件下使用的高压绝缘子的选择和尺寸确定 第</w:t>
      </w:r>
      <w:r>
        <w:rPr>
          <w:rFonts w:hint="eastAsia"/>
        </w:rPr>
        <w:t>3</w:t>
      </w:r>
      <w:r>
        <w:t>部分：交流系统用</w:t>
      </w:r>
      <w:r>
        <w:rPr>
          <w:rFonts w:hint="eastAsia"/>
        </w:rPr>
        <w:t>复合</w:t>
      </w:r>
      <w:r>
        <w:t>绝缘子</w:t>
      </w:r>
    </w:p>
    <w:p>
      <w:pPr>
        <w:ind w:left="420" w:leftChars="200"/>
      </w:pPr>
      <w:r>
        <w:rPr>
          <w:rFonts w:hint="eastAsia"/>
        </w:rPr>
        <w:t>GB/T 31238  1000kV交流电流互感器技术规范</w:t>
      </w:r>
    </w:p>
    <w:p>
      <w:pPr>
        <w:ind w:firstLine="411" w:firstLineChars="196"/>
      </w:pPr>
      <w:r>
        <w:rPr>
          <w:rFonts w:hint="eastAsia"/>
        </w:rPr>
        <w:t>GB 50150  电气装置安装工程电气设备交接试验标准</w:t>
      </w:r>
    </w:p>
    <w:p>
      <w:pPr>
        <w:ind w:firstLine="411" w:firstLineChars="196"/>
        <w:rPr>
          <w:rFonts w:hint="eastAsia"/>
        </w:rPr>
      </w:pPr>
      <w:r>
        <w:t>GB 50260  电力设施抗震设计规范</w:t>
      </w:r>
    </w:p>
    <w:p>
      <w:pPr>
        <w:ind w:firstLine="411" w:firstLineChars="196"/>
        <w:rPr>
          <w:rFonts w:hint="eastAsia"/>
        </w:rPr>
      </w:pPr>
      <w:r>
        <w:rPr>
          <w:rFonts w:hint="eastAsia"/>
        </w:rPr>
        <w:t>GB/T 50832  1000kV系统电气装置安装工程电气设备交接试验标准</w:t>
      </w:r>
    </w:p>
    <w:p>
      <w:pPr>
        <w:ind w:firstLine="411" w:firstLineChars="196"/>
      </w:pPr>
      <w:r>
        <w:rPr>
          <w:rFonts w:hint="eastAsia"/>
        </w:rPr>
        <w:t>DL/T 393  输变电设备状态检修试验规程</w:t>
      </w:r>
    </w:p>
    <w:p>
      <w:pPr>
        <w:autoSpaceDE w:val="0"/>
        <w:autoSpaceDN w:val="0"/>
        <w:ind w:firstLine="420" w:firstLineChars="200"/>
        <w:rPr>
          <w:rFonts w:hint="eastAsia"/>
        </w:rPr>
      </w:pPr>
      <w:r>
        <w:t>DL/T 448  电能计量装置技术管理规程</w:t>
      </w:r>
    </w:p>
    <w:p>
      <w:pPr>
        <w:autoSpaceDE w:val="0"/>
        <w:autoSpaceDN w:val="0"/>
        <w:ind w:firstLine="420" w:firstLineChars="200"/>
        <w:rPr>
          <w:rFonts w:hint="eastAsia"/>
        </w:rPr>
      </w:pPr>
      <w:r>
        <w:rPr>
          <w:rFonts w:hint="eastAsia"/>
        </w:rPr>
        <w:t>DL/T 506  六氟化硫电气设备中绝缘气体湿度测量方法</w:t>
      </w:r>
    </w:p>
    <w:p>
      <w:pPr>
        <w:ind w:firstLine="411" w:firstLineChars="196"/>
      </w:pPr>
      <w:r>
        <w:rPr>
          <w:rFonts w:hint="eastAsia"/>
        </w:rPr>
        <w:t>DL/T 703  绝缘油中含气量的气相色谱测定法</w:t>
      </w:r>
    </w:p>
    <w:p>
      <w:pPr>
        <w:ind w:firstLine="411" w:firstLineChars="196"/>
        <w:rPr>
          <w:rFonts w:hint="eastAsia"/>
        </w:rPr>
      </w:pPr>
      <w:r>
        <w:t>DL/T 722  变压器油中溶解气体分析和判断导则</w:t>
      </w:r>
    </w:p>
    <w:p>
      <w:pPr>
        <w:ind w:firstLine="411" w:firstLineChars="196"/>
        <w:rPr>
          <w:rFonts w:hint="eastAsia"/>
        </w:rPr>
      </w:pPr>
      <w:r>
        <w:t>DL/T 727  互感器运行检修导则</w:t>
      </w:r>
    </w:p>
    <w:p>
      <w:pPr>
        <w:autoSpaceDE w:val="0"/>
        <w:autoSpaceDN w:val="0"/>
        <w:ind w:firstLine="420" w:firstLineChars="200"/>
        <w:rPr>
          <w:szCs w:val="21"/>
        </w:rPr>
      </w:pPr>
      <w:r>
        <w:rPr>
          <w:rFonts w:hint="eastAsia"/>
        </w:rPr>
        <w:t>DL/T 866  电流互感器和电压互感器选择及计算规程</w:t>
      </w:r>
    </w:p>
    <w:p>
      <w:pPr>
        <w:ind w:firstLine="411" w:firstLineChars="196"/>
      </w:pPr>
      <w:r>
        <w:rPr>
          <w:rFonts w:hint="eastAsia"/>
        </w:rPr>
        <w:t>DL/T 1691  电流互感器状态检修导则</w:t>
      </w:r>
    </w:p>
    <w:p>
      <w:pPr>
        <w:pStyle w:val="86"/>
        <w:numPr>
          <w:ilvl w:val="0"/>
          <w:numId w:val="0"/>
        </w:numPr>
        <w:spacing w:before="312" w:after="312"/>
      </w:pPr>
      <w:bookmarkStart w:id="4" w:name="_Toc21795"/>
      <w:r>
        <w:rPr>
          <w:rFonts w:hint="eastAsia"/>
        </w:rPr>
        <w:t>3 术语和定义</w:t>
      </w:r>
      <w:bookmarkEnd w:id="4"/>
    </w:p>
    <w:p>
      <w:pPr>
        <w:pStyle w:val="32"/>
        <w:ind w:firstLine="420"/>
      </w:pPr>
      <w:r>
        <w:rPr>
          <w:rFonts w:hint="eastAsia"/>
        </w:rPr>
        <w:t>GB/T 2900.</w:t>
      </w:r>
      <w:r>
        <w:t>94</w:t>
      </w:r>
      <w:r>
        <w:rPr>
          <w:rFonts w:hint="eastAsia"/>
        </w:rPr>
        <w:t>、GB/T 2900.50、GB/T 2900.57、GB/T</w:t>
      </w:r>
      <w:r>
        <w:t xml:space="preserve"> </w:t>
      </w:r>
      <w:r>
        <w:rPr>
          <w:rFonts w:hint="eastAsia"/>
        </w:rPr>
        <w:t>20840.1和GB/T</w:t>
      </w:r>
      <w:r>
        <w:t xml:space="preserve"> </w:t>
      </w:r>
      <w:r>
        <w:rPr>
          <w:rFonts w:hint="eastAsia"/>
        </w:rPr>
        <w:t>20840.2所界定的以及下列术语和定义适用于</w:t>
      </w:r>
      <w:r>
        <w:rPr>
          <w:rFonts w:hint="eastAsia"/>
          <w:lang w:eastAsia="zh-CN"/>
        </w:rPr>
        <w:t>本文件</w:t>
      </w:r>
      <w:r>
        <w:rPr>
          <w:rFonts w:hint="eastAsia"/>
        </w:rPr>
        <w:t>。</w:t>
      </w:r>
    </w:p>
    <w:p>
      <w:pPr>
        <w:pStyle w:val="74"/>
        <w:numPr>
          <w:ilvl w:val="1"/>
          <w:numId w:val="0"/>
        </w:numPr>
        <w:spacing w:before="156" w:after="156"/>
      </w:pPr>
      <w:bookmarkStart w:id="5" w:name="_Toc8745"/>
      <w:r>
        <w:rPr>
          <w:rFonts w:hint="eastAsia"/>
        </w:rPr>
        <w:t>3.1</w:t>
      </w:r>
      <w:bookmarkEnd w:id="5"/>
    </w:p>
    <w:p>
      <w:pPr>
        <w:pStyle w:val="74"/>
        <w:numPr>
          <w:ilvl w:val="0"/>
          <w:numId w:val="0"/>
        </w:numPr>
        <w:spacing w:before="156" w:after="156"/>
        <w:ind w:firstLine="420" w:firstLineChars="200"/>
      </w:pPr>
      <w:bookmarkStart w:id="6" w:name="_Toc30451"/>
      <w:r>
        <w:rPr>
          <w:rFonts w:hint="eastAsia"/>
        </w:rPr>
        <w:t>低频电流互感器</w:t>
      </w:r>
      <w:bookmarkEnd w:id="6"/>
    </w:p>
    <w:p>
      <w:pPr>
        <w:pStyle w:val="32"/>
        <w:ind w:firstLine="420"/>
      </w:pPr>
      <w:r>
        <w:rPr>
          <w:rFonts w:hint="eastAsia"/>
        </w:rPr>
        <w:t>运行在低频（</w:t>
      </w:r>
      <w:r>
        <w:rPr>
          <w:rFonts w:hint="eastAsia" w:ascii="宋体" w:hAnsi="宋体" w:eastAsia="宋体" w:cs="宋体"/>
        </w:rPr>
        <w:t>&lt;</w:t>
      </w:r>
      <w:r>
        <w:rPr>
          <w:rFonts w:hint="eastAsia"/>
          <w:lang w:val="en-US" w:eastAsia="zh-CN"/>
        </w:rPr>
        <w:t>5</w:t>
      </w:r>
      <w:r>
        <w:rPr>
          <w:rFonts w:hint="eastAsia"/>
        </w:rPr>
        <w:t>0Hz）输电系统中，提供与一次回路电流相对应的信息信号的</w:t>
      </w:r>
      <w:r>
        <w:rPr>
          <w:rFonts w:hint="eastAsia"/>
          <w:lang w:eastAsia="zh-CN"/>
        </w:rPr>
        <w:t>电流互感器</w:t>
      </w:r>
      <w:r>
        <w:rPr>
          <w:rFonts w:hint="eastAsia"/>
        </w:rPr>
        <w:t>，可为测量仪器、仪表和保护或控制设备提供信息</w:t>
      </w:r>
      <w:r>
        <w:t>信号</w:t>
      </w:r>
      <w:r>
        <w:rPr>
          <w:rFonts w:hint="eastAsia"/>
        </w:rPr>
        <w:t>。</w:t>
      </w:r>
    </w:p>
    <w:p>
      <w:pPr>
        <w:pStyle w:val="86"/>
        <w:numPr>
          <w:ilvl w:val="0"/>
          <w:numId w:val="0"/>
        </w:numPr>
        <w:spacing w:before="312" w:after="312"/>
      </w:pPr>
      <w:bookmarkStart w:id="7" w:name="_Toc289698026"/>
      <w:bookmarkStart w:id="8" w:name="_Toc289677002"/>
      <w:bookmarkStart w:id="9" w:name="_Toc8883"/>
      <w:bookmarkStart w:id="10" w:name="_Toc287623594"/>
      <w:bookmarkStart w:id="11" w:name="_Toc287623641"/>
      <w:bookmarkStart w:id="12" w:name="_Toc279246774"/>
      <w:bookmarkStart w:id="13" w:name="_Toc279248602"/>
      <w:bookmarkStart w:id="14" w:name="_Toc279249668"/>
      <w:bookmarkStart w:id="15" w:name="_Toc279244617"/>
      <w:r>
        <w:rPr>
          <w:rFonts w:hint="eastAsia"/>
        </w:rPr>
        <w:t>4 使用条件</w:t>
      </w:r>
      <w:bookmarkEnd w:id="7"/>
      <w:bookmarkEnd w:id="8"/>
      <w:bookmarkEnd w:id="9"/>
      <w:bookmarkEnd w:id="10"/>
      <w:bookmarkEnd w:id="11"/>
      <w:bookmarkEnd w:id="12"/>
      <w:bookmarkEnd w:id="13"/>
      <w:bookmarkEnd w:id="14"/>
      <w:bookmarkEnd w:id="15"/>
    </w:p>
    <w:p>
      <w:pPr>
        <w:pStyle w:val="74"/>
        <w:numPr>
          <w:ilvl w:val="1"/>
          <w:numId w:val="0"/>
        </w:numPr>
        <w:spacing w:before="156" w:after="156"/>
      </w:pPr>
      <w:bookmarkStart w:id="16" w:name="_Toc18443"/>
      <w:r>
        <w:rPr>
          <w:rFonts w:hint="eastAsia"/>
        </w:rPr>
        <w:t>4.1 一般要求</w:t>
      </w:r>
      <w:bookmarkEnd w:id="16"/>
    </w:p>
    <w:p>
      <w:pPr>
        <w:pStyle w:val="32"/>
        <w:ind w:firstLine="420"/>
      </w:pPr>
      <w:r>
        <w:rPr>
          <w:rFonts w:hint="eastAsia"/>
        </w:rPr>
        <w:t>除非另有规定，低频电流互感器额定性能的使用条件是</w:t>
      </w:r>
      <w:r>
        <w:rPr>
          <w:rFonts w:ascii="Times New Roman"/>
        </w:rPr>
        <w:t>4.2</w:t>
      </w:r>
      <w:r>
        <w:rPr>
          <w:rFonts w:hint="eastAsia"/>
        </w:rPr>
        <w:t>所列的正常使用条件。</w:t>
      </w:r>
    </w:p>
    <w:p>
      <w:pPr>
        <w:pStyle w:val="32"/>
        <w:ind w:firstLine="420"/>
      </w:pPr>
      <w:r>
        <w:rPr>
          <w:rFonts w:hint="eastAsia"/>
        </w:rPr>
        <w:t>如果实际使用条件与正常使用条件不同，则低频电流互感器应依据用户要求的任何特殊使用条件设计，或者须作适当调整见</w:t>
      </w:r>
      <w:r>
        <w:rPr>
          <w:rFonts w:ascii="Times New Roman"/>
        </w:rPr>
        <w:t>4.3</w:t>
      </w:r>
      <w:r>
        <w:rPr>
          <w:rFonts w:hint="eastAsia"/>
        </w:rPr>
        <w:t>。</w:t>
      </w:r>
    </w:p>
    <w:p>
      <w:pPr>
        <w:autoSpaceDE w:val="0"/>
        <w:autoSpaceDN w:val="0"/>
        <w:adjustRightInd w:val="0"/>
        <w:spacing w:line="308" w:lineRule="atLeast"/>
        <w:ind w:left="423"/>
        <w:jc w:val="left"/>
        <w:rPr>
          <w:rFonts w:ascii="宋体" w:cs="宋体"/>
          <w:kern w:val="0"/>
          <w:szCs w:val="21"/>
        </w:rPr>
      </w:pPr>
      <w:r>
        <w:rPr>
          <w:rFonts w:hint="eastAsia" w:ascii="宋体" w:cs="宋体"/>
          <w:kern w:val="0"/>
          <w:szCs w:val="21"/>
        </w:rPr>
        <w:t>有关环境条件分类的详细信息见</w:t>
      </w:r>
      <w:r>
        <w:rPr>
          <w:kern w:val="0"/>
          <w:szCs w:val="21"/>
        </w:rPr>
        <w:t>GB</w:t>
      </w:r>
      <w:r>
        <w:rPr>
          <w:rFonts w:ascii="宋体" w:cs="宋体"/>
          <w:kern w:val="0"/>
          <w:szCs w:val="21"/>
        </w:rPr>
        <w:t>/</w:t>
      </w:r>
      <w:r>
        <w:rPr>
          <w:kern w:val="0"/>
          <w:szCs w:val="21"/>
        </w:rPr>
        <w:t>T 4798.3</w:t>
      </w:r>
      <w:r>
        <w:rPr>
          <w:rFonts w:hint="eastAsia" w:ascii="宋体" w:cs="宋体"/>
          <w:kern w:val="0"/>
          <w:szCs w:val="21"/>
        </w:rPr>
        <w:t>和</w:t>
      </w:r>
      <w:r>
        <w:rPr>
          <w:kern w:val="0"/>
          <w:szCs w:val="21"/>
        </w:rPr>
        <w:t>GB</w:t>
      </w:r>
      <w:r>
        <w:rPr>
          <w:rFonts w:ascii="宋体" w:cs="宋体"/>
          <w:kern w:val="0"/>
          <w:szCs w:val="21"/>
        </w:rPr>
        <w:t>/</w:t>
      </w:r>
      <w:r>
        <w:rPr>
          <w:kern w:val="0"/>
          <w:szCs w:val="21"/>
        </w:rPr>
        <w:t>T 4798.4</w:t>
      </w:r>
      <w:r>
        <w:rPr>
          <w:rFonts w:hint="eastAsia" w:ascii="宋体" w:cs="宋体"/>
          <w:kern w:val="0"/>
          <w:szCs w:val="21"/>
        </w:rPr>
        <w:t>。</w:t>
      </w:r>
    </w:p>
    <w:p>
      <w:pPr>
        <w:pStyle w:val="74"/>
        <w:numPr>
          <w:ilvl w:val="1"/>
          <w:numId w:val="0"/>
        </w:numPr>
        <w:spacing w:before="156" w:after="156"/>
      </w:pPr>
      <w:bookmarkStart w:id="17" w:name="_Toc10600"/>
      <w:r>
        <w:rPr>
          <w:rFonts w:hint="eastAsia"/>
        </w:rPr>
        <w:t>4.2 正常使用条件</w:t>
      </w:r>
      <w:bookmarkEnd w:id="17"/>
    </w:p>
    <w:p>
      <w:pPr>
        <w:pStyle w:val="80"/>
        <w:numPr>
          <w:ilvl w:val="2"/>
          <w:numId w:val="0"/>
        </w:numPr>
        <w:spacing w:before="156" w:beforeLines="50" w:after="156" w:afterLines="50"/>
      </w:pPr>
      <w:r>
        <w:rPr>
          <w:rFonts w:hint="eastAsia"/>
        </w:rPr>
        <w:t>4.2.1 环境温度</w:t>
      </w:r>
    </w:p>
    <w:p>
      <w:pPr>
        <w:autoSpaceDE w:val="0"/>
        <w:autoSpaceDN w:val="0"/>
        <w:adjustRightInd w:val="0"/>
        <w:spacing w:line="308" w:lineRule="atLeast"/>
        <w:ind w:left="423"/>
        <w:jc w:val="left"/>
        <w:rPr>
          <w:rFonts w:ascii="宋体" w:cs="宋体"/>
          <w:kern w:val="0"/>
          <w:szCs w:val="21"/>
        </w:rPr>
      </w:pPr>
      <w:r>
        <w:rPr>
          <w:rFonts w:hint="eastAsia" w:ascii="宋体" w:cs="宋体"/>
          <w:kern w:val="0"/>
          <w:szCs w:val="21"/>
        </w:rPr>
        <w:t>环境温度分为</w:t>
      </w:r>
      <w:r>
        <w:rPr>
          <w:kern w:val="0"/>
          <w:szCs w:val="21"/>
        </w:rPr>
        <w:t>3</w:t>
      </w:r>
      <w:r>
        <w:rPr>
          <w:rFonts w:hint="eastAsia" w:ascii="宋体" w:cs="宋体"/>
          <w:kern w:val="0"/>
          <w:szCs w:val="21"/>
        </w:rPr>
        <w:t>类，见表</w:t>
      </w:r>
      <w:r>
        <w:rPr>
          <w:kern w:val="0"/>
          <w:szCs w:val="21"/>
        </w:rPr>
        <w:t>1</w:t>
      </w:r>
      <w:r>
        <w:rPr>
          <w:rFonts w:hint="eastAsia" w:ascii="宋体" w:cs="宋体"/>
          <w:kern w:val="0"/>
          <w:szCs w:val="21"/>
        </w:rPr>
        <w:t>。</w:t>
      </w:r>
    </w:p>
    <w:p>
      <w:pPr>
        <w:pStyle w:val="84"/>
        <w:spacing w:before="156" w:after="156"/>
        <w:ind w:left="0"/>
      </w:pPr>
      <w:r>
        <w:rPr>
          <w:rFonts w:hint="eastAsia"/>
        </w:rPr>
        <w:t>表1 温度类别</w:t>
      </w:r>
    </w:p>
    <w:tbl>
      <w:tblPr>
        <w:tblStyle w:val="42"/>
        <w:tblW w:w="9493" w:type="dxa"/>
        <w:tblInd w:w="0" w:type="dxa"/>
        <w:tblLayout w:type="autofit"/>
        <w:tblCellMar>
          <w:top w:w="0" w:type="dxa"/>
          <w:left w:w="108" w:type="dxa"/>
          <w:bottom w:w="0" w:type="dxa"/>
          <w:right w:w="108" w:type="dxa"/>
        </w:tblCellMar>
      </w:tblPr>
      <w:tblGrid>
        <w:gridCol w:w="3164"/>
        <w:gridCol w:w="3177"/>
        <w:gridCol w:w="3152"/>
      </w:tblGrid>
      <w:tr>
        <w:tblPrEx>
          <w:tblCellMar>
            <w:top w:w="0" w:type="dxa"/>
            <w:left w:w="108" w:type="dxa"/>
            <w:bottom w:w="0" w:type="dxa"/>
            <w:right w:w="108" w:type="dxa"/>
          </w:tblCellMar>
        </w:tblPrEx>
        <w:trPr>
          <w:trHeight w:val="620" w:hRule="atLeast"/>
        </w:trPr>
        <w:tc>
          <w:tcPr>
            <w:tcW w:w="3165" w:type="dxa"/>
            <w:tcBorders>
              <w:top w:val="single" w:color="000000" w:sz="12" w:space="0"/>
              <w:left w:val="single" w:color="000000" w:sz="12" w:space="0"/>
              <w:bottom w:val="single" w:color="000000" w:sz="12" w:space="0"/>
              <w:right w:val="single" w:color="000000"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类别</w:t>
            </w:r>
          </w:p>
        </w:tc>
        <w:tc>
          <w:tcPr>
            <w:tcW w:w="3178" w:type="dxa"/>
            <w:tcBorders>
              <w:top w:val="single" w:color="000000" w:sz="12" w:space="0"/>
              <w:left w:val="single" w:color="000000" w:sz="4" w:space="0"/>
              <w:bottom w:val="single" w:color="000000" w:sz="12" w:space="0"/>
              <w:right w:val="single" w:color="000000" w:sz="4"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最低温度</w:t>
            </w:r>
          </w:p>
          <w:p>
            <w:pPr>
              <w:autoSpaceDE w:val="0"/>
              <w:autoSpaceDN w:val="0"/>
              <w:adjustRightInd w:val="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150" w:type="dxa"/>
            <w:tcBorders>
              <w:top w:val="single" w:color="000000" w:sz="12" w:space="0"/>
              <w:left w:val="single" w:color="000000" w:sz="4" w:space="0"/>
              <w:bottom w:val="single" w:color="000000" w:sz="12" w:space="0"/>
              <w:right w:val="single" w:color="000000" w:sz="12" w:space="0"/>
            </w:tcBorders>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最高温度</w:t>
            </w:r>
          </w:p>
          <w:p>
            <w:pPr>
              <w:autoSpaceDE w:val="0"/>
              <w:autoSpaceDN w:val="0"/>
              <w:adjustRightInd w:val="0"/>
              <w:jc w:val="center"/>
              <w:rPr>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18" w:hRule="atLeast"/>
        </w:trPr>
        <w:tc>
          <w:tcPr>
            <w:tcW w:w="3165" w:type="dxa"/>
            <w:tcBorders>
              <w:top w:val="single" w:color="000000" w:sz="12" w:space="0"/>
              <w:left w:val="single" w:color="000000" w:sz="12" w:space="0"/>
              <w:bottom w:val="single" w:color="000000" w:sz="6" w:space="0"/>
              <w:right w:val="single" w:color="auto" w:sz="4" w:space="0"/>
            </w:tcBorders>
            <w:vAlign w:val="center"/>
          </w:tcPr>
          <w:p>
            <w:pPr>
              <w:autoSpaceDE w:val="0"/>
              <w:autoSpaceDN w:val="0"/>
              <w:adjustRightInd w:val="0"/>
              <w:jc w:val="center"/>
              <w:rPr>
                <w:color w:val="000000"/>
                <w:kern w:val="0"/>
                <w:sz w:val="18"/>
                <w:szCs w:val="18"/>
              </w:rPr>
            </w:pPr>
            <w:r>
              <w:rPr>
                <w:color w:val="000000"/>
                <w:kern w:val="0"/>
                <w:sz w:val="18"/>
                <w:szCs w:val="18"/>
              </w:rPr>
              <w:t>−5/40</w:t>
            </w:r>
          </w:p>
        </w:tc>
        <w:tc>
          <w:tcPr>
            <w:tcW w:w="3178" w:type="dxa"/>
            <w:tcBorders>
              <w:top w:val="single" w:color="000000" w:sz="12" w:space="0"/>
              <w:left w:val="single" w:color="auto" w:sz="4" w:space="0"/>
              <w:bottom w:val="single" w:color="000000" w:sz="6" w:space="0"/>
              <w:right w:val="single" w:color="auto" w:sz="4" w:space="0"/>
            </w:tcBorders>
            <w:vAlign w:val="center"/>
          </w:tcPr>
          <w:p>
            <w:pPr>
              <w:autoSpaceDE w:val="0"/>
              <w:autoSpaceDN w:val="0"/>
              <w:adjustRightInd w:val="0"/>
              <w:jc w:val="center"/>
              <w:rPr>
                <w:color w:val="000000"/>
                <w:kern w:val="0"/>
                <w:sz w:val="18"/>
                <w:szCs w:val="18"/>
              </w:rPr>
            </w:pPr>
            <w:r>
              <w:rPr>
                <w:color w:val="000000"/>
                <w:kern w:val="0"/>
                <w:sz w:val="18"/>
                <w:szCs w:val="18"/>
              </w:rPr>
              <w:t>−5</w:t>
            </w:r>
          </w:p>
        </w:tc>
        <w:tc>
          <w:tcPr>
            <w:tcW w:w="3150" w:type="dxa"/>
            <w:tcBorders>
              <w:top w:val="single" w:color="000000" w:sz="12" w:space="0"/>
              <w:left w:val="single" w:color="auto" w:sz="4" w:space="0"/>
              <w:bottom w:val="single" w:color="000000" w:sz="6" w:space="0"/>
              <w:right w:val="single" w:color="000000" w:sz="12" w:space="0"/>
            </w:tcBorders>
            <w:vAlign w:val="center"/>
          </w:tcPr>
          <w:p>
            <w:pPr>
              <w:autoSpaceDE w:val="0"/>
              <w:autoSpaceDN w:val="0"/>
              <w:adjustRightInd w:val="0"/>
              <w:jc w:val="center"/>
              <w:rPr>
                <w:color w:val="000000"/>
                <w:kern w:val="0"/>
                <w:sz w:val="18"/>
                <w:szCs w:val="18"/>
              </w:rPr>
            </w:pPr>
            <w:r>
              <w:rPr>
                <w:color w:val="000000"/>
                <w:kern w:val="0"/>
                <w:sz w:val="18"/>
                <w:szCs w:val="18"/>
              </w:rPr>
              <w:t>40</w:t>
            </w:r>
          </w:p>
        </w:tc>
      </w:tr>
      <w:tr>
        <w:tblPrEx>
          <w:tblCellMar>
            <w:top w:w="0" w:type="dxa"/>
            <w:left w:w="108" w:type="dxa"/>
            <w:bottom w:w="0" w:type="dxa"/>
            <w:right w:w="108" w:type="dxa"/>
          </w:tblCellMar>
        </w:tblPrEx>
        <w:trPr>
          <w:trHeight w:val="331" w:hRule="atLeast"/>
        </w:trPr>
        <w:tc>
          <w:tcPr>
            <w:tcW w:w="3165" w:type="dxa"/>
            <w:tcBorders>
              <w:top w:val="single" w:color="000000" w:sz="12" w:space="0"/>
              <w:left w:val="single" w:color="000000" w:sz="12" w:space="0"/>
              <w:bottom w:val="single" w:color="000000" w:sz="6" w:space="0"/>
              <w:right w:val="single" w:color="auto" w:sz="4" w:space="0"/>
            </w:tcBorders>
            <w:vAlign w:val="center"/>
          </w:tcPr>
          <w:p>
            <w:pPr>
              <w:autoSpaceDE w:val="0"/>
              <w:autoSpaceDN w:val="0"/>
              <w:adjustRightInd w:val="0"/>
              <w:jc w:val="center"/>
              <w:rPr>
                <w:color w:val="000000"/>
                <w:kern w:val="0"/>
                <w:sz w:val="18"/>
                <w:szCs w:val="18"/>
              </w:rPr>
            </w:pPr>
            <w:r>
              <w:rPr>
                <w:color w:val="000000"/>
                <w:kern w:val="0"/>
                <w:sz w:val="18"/>
                <w:szCs w:val="18"/>
              </w:rPr>
              <w:t>−25/40</w:t>
            </w:r>
          </w:p>
        </w:tc>
        <w:tc>
          <w:tcPr>
            <w:tcW w:w="3178" w:type="dxa"/>
            <w:tcBorders>
              <w:top w:val="single" w:color="000000" w:sz="12" w:space="0"/>
              <w:left w:val="single" w:color="auto" w:sz="4" w:space="0"/>
              <w:bottom w:val="single" w:color="000000" w:sz="6" w:space="0"/>
              <w:right w:val="single" w:color="auto" w:sz="4" w:space="0"/>
            </w:tcBorders>
            <w:vAlign w:val="center"/>
          </w:tcPr>
          <w:p>
            <w:pPr>
              <w:autoSpaceDE w:val="0"/>
              <w:autoSpaceDN w:val="0"/>
              <w:adjustRightInd w:val="0"/>
              <w:jc w:val="center"/>
              <w:rPr>
                <w:color w:val="000000"/>
                <w:kern w:val="0"/>
                <w:sz w:val="18"/>
                <w:szCs w:val="18"/>
              </w:rPr>
            </w:pPr>
            <w:r>
              <w:rPr>
                <w:color w:val="000000"/>
                <w:kern w:val="0"/>
                <w:sz w:val="18"/>
                <w:szCs w:val="18"/>
              </w:rPr>
              <w:t>−25</w:t>
            </w:r>
          </w:p>
        </w:tc>
        <w:tc>
          <w:tcPr>
            <w:tcW w:w="3150" w:type="dxa"/>
            <w:tcBorders>
              <w:top w:val="single" w:color="000000" w:sz="12" w:space="0"/>
              <w:left w:val="single" w:color="auto" w:sz="4" w:space="0"/>
              <w:bottom w:val="single" w:color="000000" w:sz="6" w:space="0"/>
              <w:right w:val="single" w:color="000000" w:sz="12" w:space="0"/>
            </w:tcBorders>
            <w:vAlign w:val="center"/>
          </w:tcPr>
          <w:p>
            <w:pPr>
              <w:autoSpaceDE w:val="0"/>
              <w:autoSpaceDN w:val="0"/>
              <w:adjustRightInd w:val="0"/>
              <w:jc w:val="center"/>
              <w:rPr>
                <w:color w:val="000000"/>
                <w:kern w:val="0"/>
                <w:sz w:val="18"/>
                <w:szCs w:val="18"/>
              </w:rPr>
            </w:pPr>
            <w:r>
              <w:rPr>
                <w:color w:val="000000"/>
                <w:kern w:val="0"/>
                <w:sz w:val="18"/>
                <w:szCs w:val="18"/>
              </w:rPr>
              <w:t>40</w:t>
            </w:r>
          </w:p>
        </w:tc>
      </w:tr>
      <w:tr>
        <w:tblPrEx>
          <w:tblCellMar>
            <w:top w:w="0" w:type="dxa"/>
            <w:left w:w="108" w:type="dxa"/>
            <w:bottom w:w="0" w:type="dxa"/>
            <w:right w:w="108" w:type="dxa"/>
          </w:tblCellMar>
        </w:tblPrEx>
        <w:trPr>
          <w:trHeight w:val="331" w:hRule="atLeast"/>
        </w:trPr>
        <w:tc>
          <w:tcPr>
            <w:tcW w:w="3165" w:type="dxa"/>
            <w:tcBorders>
              <w:top w:val="single" w:color="000000" w:sz="12" w:space="0"/>
              <w:left w:val="single" w:color="000000" w:sz="12" w:space="0"/>
              <w:bottom w:val="single" w:color="000000" w:sz="6" w:space="0"/>
              <w:right w:val="single" w:color="auto" w:sz="4" w:space="0"/>
            </w:tcBorders>
            <w:vAlign w:val="center"/>
          </w:tcPr>
          <w:p>
            <w:pPr>
              <w:autoSpaceDE w:val="0"/>
              <w:autoSpaceDN w:val="0"/>
              <w:adjustRightInd w:val="0"/>
              <w:jc w:val="center"/>
              <w:rPr>
                <w:color w:val="000000"/>
                <w:kern w:val="0"/>
                <w:sz w:val="18"/>
                <w:szCs w:val="18"/>
              </w:rPr>
            </w:pPr>
            <w:r>
              <w:rPr>
                <w:color w:val="000000"/>
                <w:kern w:val="0"/>
                <w:sz w:val="18"/>
                <w:szCs w:val="18"/>
              </w:rPr>
              <w:t>−40/40</w:t>
            </w:r>
          </w:p>
        </w:tc>
        <w:tc>
          <w:tcPr>
            <w:tcW w:w="3178" w:type="dxa"/>
            <w:tcBorders>
              <w:top w:val="single" w:color="000000" w:sz="12" w:space="0"/>
              <w:left w:val="single" w:color="auto" w:sz="4" w:space="0"/>
              <w:bottom w:val="single" w:color="000000" w:sz="6" w:space="0"/>
              <w:right w:val="single" w:color="auto" w:sz="4" w:space="0"/>
            </w:tcBorders>
            <w:vAlign w:val="center"/>
          </w:tcPr>
          <w:p>
            <w:pPr>
              <w:autoSpaceDE w:val="0"/>
              <w:autoSpaceDN w:val="0"/>
              <w:adjustRightInd w:val="0"/>
              <w:jc w:val="center"/>
              <w:rPr>
                <w:color w:val="000000"/>
                <w:kern w:val="0"/>
                <w:sz w:val="18"/>
                <w:szCs w:val="18"/>
              </w:rPr>
            </w:pPr>
            <w:r>
              <w:rPr>
                <w:color w:val="000000"/>
                <w:kern w:val="0"/>
                <w:sz w:val="18"/>
                <w:szCs w:val="18"/>
              </w:rPr>
              <w:t>−40</w:t>
            </w:r>
          </w:p>
        </w:tc>
        <w:tc>
          <w:tcPr>
            <w:tcW w:w="3150" w:type="dxa"/>
            <w:tcBorders>
              <w:top w:val="single" w:color="000000" w:sz="12" w:space="0"/>
              <w:left w:val="single" w:color="auto" w:sz="4" w:space="0"/>
              <w:bottom w:val="single" w:color="000000" w:sz="6" w:space="0"/>
              <w:right w:val="single" w:color="000000" w:sz="12" w:space="0"/>
            </w:tcBorders>
            <w:vAlign w:val="center"/>
          </w:tcPr>
          <w:p>
            <w:pPr>
              <w:autoSpaceDE w:val="0"/>
              <w:autoSpaceDN w:val="0"/>
              <w:adjustRightInd w:val="0"/>
              <w:jc w:val="center"/>
              <w:rPr>
                <w:color w:val="000000"/>
                <w:kern w:val="0"/>
                <w:sz w:val="18"/>
                <w:szCs w:val="18"/>
              </w:rPr>
            </w:pPr>
            <w:r>
              <w:rPr>
                <w:color w:val="000000"/>
                <w:kern w:val="0"/>
                <w:sz w:val="18"/>
                <w:szCs w:val="18"/>
              </w:rPr>
              <w:t>40</w:t>
            </w:r>
          </w:p>
        </w:tc>
      </w:tr>
      <w:tr>
        <w:tblPrEx>
          <w:tblCellMar>
            <w:top w:w="0" w:type="dxa"/>
            <w:left w:w="108" w:type="dxa"/>
            <w:bottom w:w="0" w:type="dxa"/>
            <w:right w:w="108" w:type="dxa"/>
          </w:tblCellMar>
        </w:tblPrEx>
        <w:trPr>
          <w:trHeight w:val="623" w:hRule="atLeast"/>
        </w:trPr>
        <w:tc>
          <w:tcPr>
            <w:tcW w:w="9495" w:type="dxa"/>
            <w:gridSpan w:val="3"/>
            <w:tcBorders>
              <w:top w:val="single" w:color="000000" w:sz="6" w:space="0"/>
              <w:left w:val="single" w:color="000000" w:sz="12" w:space="0"/>
              <w:bottom w:val="single" w:color="000000" w:sz="12" w:space="0"/>
              <w:right w:val="single" w:color="000000" w:sz="12" w:space="0"/>
            </w:tcBorders>
            <w:vAlign w:val="center"/>
          </w:tcPr>
          <w:p>
            <w:pPr>
              <w:pStyle w:val="82"/>
              <w:ind w:left="811"/>
            </w:pPr>
            <w:r>
              <w:rPr>
                <w:rFonts w:hint="eastAsia"/>
              </w:rPr>
              <w:t>注1：在选择温度类别时，贮存和运输条件亦应考虑。</w:t>
            </w:r>
          </w:p>
          <w:p>
            <w:pPr>
              <w:pStyle w:val="82"/>
              <w:ind w:left="811"/>
            </w:pPr>
            <w:r>
              <w:rPr>
                <w:rFonts w:hint="eastAsia"/>
              </w:rPr>
              <w:t>注2：如低频电流互感器组装在其它设备（例如断路器）中，低频电流互感器应按有关设备的环境温度条件作规定。</w:t>
            </w:r>
          </w:p>
        </w:tc>
      </w:tr>
    </w:tbl>
    <w:p>
      <w:pPr>
        <w:pStyle w:val="80"/>
        <w:numPr>
          <w:ilvl w:val="2"/>
          <w:numId w:val="0"/>
        </w:numPr>
        <w:spacing w:before="156" w:beforeLines="50" w:after="156" w:afterLines="50"/>
      </w:pPr>
      <w:r>
        <w:rPr>
          <w:rFonts w:hint="eastAsia"/>
        </w:rPr>
        <w:t>4.2.2 海拔</w:t>
      </w:r>
    </w:p>
    <w:p>
      <w:pPr>
        <w:pStyle w:val="32"/>
        <w:ind w:firstLine="420"/>
        <w:rPr>
          <w:rFonts w:cs="宋体"/>
        </w:rPr>
      </w:pPr>
      <w:r>
        <w:rPr>
          <w:rFonts w:hint="eastAsia" w:cs="宋体"/>
        </w:rPr>
        <w:t>海拔不超过</w:t>
      </w:r>
      <w:r>
        <w:t>1000m</w:t>
      </w:r>
      <w:r>
        <w:rPr>
          <w:rFonts w:hint="eastAsia" w:cs="宋体"/>
        </w:rPr>
        <w:t>。</w:t>
      </w:r>
    </w:p>
    <w:p>
      <w:pPr>
        <w:pStyle w:val="80"/>
        <w:numPr>
          <w:ilvl w:val="2"/>
          <w:numId w:val="0"/>
        </w:numPr>
        <w:spacing w:before="156" w:beforeLines="50" w:after="156" w:afterLines="50"/>
      </w:pPr>
      <w:r>
        <w:rPr>
          <w:rFonts w:hint="eastAsia"/>
        </w:rPr>
        <w:t>4.2.3 振动</w:t>
      </w:r>
    </w:p>
    <w:p>
      <w:pPr>
        <w:pStyle w:val="32"/>
        <w:ind w:firstLine="420"/>
      </w:pPr>
      <w:r>
        <w:rPr>
          <w:rFonts w:hint="eastAsia"/>
        </w:rPr>
        <w:t>由外部原因引起的低频电流互感器振动可以忽略。</w:t>
      </w:r>
    </w:p>
    <w:p>
      <w:pPr>
        <w:pStyle w:val="80"/>
        <w:numPr>
          <w:ilvl w:val="2"/>
          <w:numId w:val="0"/>
        </w:numPr>
        <w:spacing w:before="156" w:beforeLines="50" w:after="156" w:afterLines="50"/>
      </w:pPr>
      <w:r>
        <w:rPr>
          <w:rFonts w:hint="eastAsia"/>
        </w:rPr>
        <w:t>4.2.4 户内低频电流互感器的其它使用条件</w:t>
      </w:r>
    </w:p>
    <w:p>
      <w:pPr>
        <w:pStyle w:val="32"/>
        <w:ind w:firstLine="420"/>
      </w:pPr>
      <w:r>
        <w:rPr>
          <w:rFonts w:hint="eastAsia"/>
        </w:rPr>
        <w:t>所考虑的其它使用条件如下</w:t>
      </w:r>
      <w:r>
        <w:t>：</w:t>
      </w:r>
    </w:p>
    <w:p>
      <w:pPr>
        <w:pStyle w:val="32"/>
        <w:ind w:firstLine="420"/>
      </w:pPr>
      <w:r>
        <w:t xml:space="preserve">a) </w:t>
      </w:r>
      <w:r>
        <w:rPr>
          <w:rFonts w:hint="eastAsia"/>
        </w:rPr>
        <w:t>太阳幅射影响可以忽略</w:t>
      </w:r>
      <w:r>
        <w:t>；</w:t>
      </w:r>
    </w:p>
    <w:p>
      <w:pPr>
        <w:pStyle w:val="32"/>
        <w:ind w:left="420" w:leftChars="200" w:firstLine="0" w:firstLineChars="0"/>
      </w:pPr>
      <w:r>
        <w:t xml:space="preserve">b) </w:t>
      </w:r>
      <w:r>
        <w:rPr>
          <w:rFonts w:hint="eastAsia"/>
        </w:rPr>
        <w:t>环境空气无明显灰尘、烟、腐蚀性气体、蒸气或盐的污染</w:t>
      </w:r>
      <w:r>
        <w:t>；</w:t>
      </w:r>
    </w:p>
    <w:p>
      <w:pPr>
        <w:pStyle w:val="32"/>
        <w:ind w:left="420" w:leftChars="200" w:firstLine="0" w:firstLineChars="0"/>
      </w:pPr>
      <w:r>
        <w:t xml:space="preserve">c) </w:t>
      </w:r>
      <w:r>
        <w:rPr>
          <w:rFonts w:hint="eastAsia"/>
        </w:rPr>
        <w:t>湿度条件如下</w:t>
      </w:r>
      <w:r>
        <w:t>：</w:t>
      </w:r>
    </w:p>
    <w:p>
      <w:pPr>
        <w:pStyle w:val="32"/>
        <w:ind w:left="420" w:leftChars="200" w:firstLine="0" w:firstLineChars="0"/>
      </w:pPr>
      <w:r>
        <w:t xml:space="preserve">  1) 24h</w:t>
      </w:r>
      <w:r>
        <w:rPr>
          <w:rFonts w:hint="eastAsia"/>
        </w:rPr>
        <w:t>内测得的相对湿度平均值不超过</w:t>
      </w:r>
      <w:r>
        <w:t>95%；</w:t>
      </w:r>
    </w:p>
    <w:p>
      <w:pPr>
        <w:pStyle w:val="32"/>
        <w:ind w:left="420" w:leftChars="200" w:firstLine="0" w:firstLineChars="0"/>
      </w:pPr>
      <w:r>
        <w:t xml:space="preserve">  2) 24h</w:t>
      </w:r>
      <w:r>
        <w:rPr>
          <w:rFonts w:hint="eastAsia"/>
        </w:rPr>
        <w:t>内的水蒸气压强平均值不超过</w:t>
      </w:r>
      <w:r>
        <w:t>2.2kPa；</w:t>
      </w:r>
    </w:p>
    <w:p>
      <w:pPr>
        <w:pStyle w:val="32"/>
        <w:ind w:left="420" w:leftChars="200" w:firstLine="0" w:firstLineChars="0"/>
      </w:pPr>
      <w:r>
        <w:t xml:space="preserve">  3) </w:t>
      </w:r>
      <w:r>
        <w:rPr>
          <w:rFonts w:hint="eastAsia"/>
        </w:rPr>
        <w:t>一个月内的相对湿度平均值不超过</w:t>
      </w:r>
      <w:r>
        <w:t>90%；</w:t>
      </w:r>
    </w:p>
    <w:p>
      <w:pPr>
        <w:pStyle w:val="32"/>
        <w:ind w:left="420" w:leftChars="200" w:firstLine="0" w:firstLineChars="0"/>
      </w:pPr>
      <w:r>
        <w:t xml:space="preserve">  4) </w:t>
      </w:r>
      <w:r>
        <w:rPr>
          <w:rFonts w:hint="eastAsia"/>
        </w:rPr>
        <w:t>一个月内的水蒸气压强平均值不超过</w:t>
      </w:r>
      <w:r>
        <w:t>1.8kPa。</w:t>
      </w:r>
    </w:p>
    <w:p>
      <w:pPr>
        <w:pStyle w:val="32"/>
        <w:ind w:left="420" w:leftChars="200" w:firstLine="0" w:firstLineChars="0"/>
      </w:pPr>
      <w:r>
        <w:rPr>
          <w:rFonts w:hint="eastAsia"/>
        </w:rPr>
        <w:t>在上述条件下，凝露可能会偶尔出现。</w:t>
      </w:r>
    </w:p>
    <w:p>
      <w:pPr>
        <w:pStyle w:val="75"/>
        <w:numPr>
          <w:ilvl w:val="0"/>
          <w:numId w:val="0"/>
        </w:numPr>
        <w:ind w:left="811" w:hanging="448"/>
      </w:pPr>
      <w:r>
        <w:rPr>
          <w:rFonts w:hint="eastAsia" w:ascii="黑体" w:eastAsia="黑体"/>
        </w:rPr>
        <w:t>注1：</w:t>
      </w:r>
      <w:r>
        <w:rPr>
          <w:rFonts w:hint="eastAsia"/>
        </w:rPr>
        <w:t>在高湿度期间，凝露可能在温度突然变化时出现。</w:t>
      </w:r>
    </w:p>
    <w:p>
      <w:pPr>
        <w:pStyle w:val="75"/>
        <w:numPr>
          <w:ilvl w:val="0"/>
          <w:numId w:val="0"/>
        </w:numPr>
        <w:ind w:left="811" w:hanging="448"/>
      </w:pPr>
      <w:r>
        <w:rPr>
          <w:rFonts w:hint="eastAsia" w:ascii="黑体" w:eastAsia="黑体"/>
        </w:rPr>
        <w:t>注2：</w:t>
      </w:r>
      <w:r>
        <w:rPr>
          <w:rFonts w:hint="eastAsia"/>
        </w:rPr>
        <w:t>为了能够承受高湿度和凝露的作用，防止绝缘击穿或金属件腐蚀，应采用按此条件设计的低频电流互感器。</w:t>
      </w:r>
    </w:p>
    <w:p>
      <w:pPr>
        <w:pStyle w:val="75"/>
        <w:numPr>
          <w:ilvl w:val="0"/>
          <w:numId w:val="0"/>
        </w:numPr>
        <w:ind w:left="811" w:hanging="448"/>
      </w:pPr>
      <w:r>
        <w:rPr>
          <w:rFonts w:hint="eastAsia" w:ascii="黑体" w:eastAsia="黑体"/>
        </w:rPr>
        <w:t>注3：</w:t>
      </w:r>
      <w:r>
        <w:rPr>
          <w:rFonts w:hint="eastAsia"/>
        </w:rPr>
        <w:t>采用特殊设计的壳套，采取适当的通风和加热或者使用除湿设备，可以防止凝露。</w:t>
      </w:r>
    </w:p>
    <w:p>
      <w:pPr>
        <w:pStyle w:val="80"/>
        <w:numPr>
          <w:ilvl w:val="2"/>
          <w:numId w:val="0"/>
        </w:numPr>
        <w:spacing w:before="156" w:beforeLines="50" w:after="156" w:afterLines="50"/>
      </w:pPr>
      <w:r>
        <w:t xml:space="preserve">4.2.5 </w:t>
      </w:r>
      <w:r>
        <w:rPr>
          <w:rFonts w:hint="eastAsia"/>
        </w:rPr>
        <w:t>户外低频电流互感器的其它使用条件</w:t>
      </w:r>
    </w:p>
    <w:p>
      <w:pPr>
        <w:autoSpaceDE w:val="0"/>
        <w:autoSpaceDN w:val="0"/>
        <w:adjustRightInd w:val="0"/>
        <w:spacing w:line="308" w:lineRule="atLeast"/>
        <w:ind w:left="423"/>
        <w:jc w:val="left"/>
        <w:rPr>
          <w:kern w:val="0"/>
          <w:szCs w:val="21"/>
        </w:rPr>
      </w:pPr>
      <w:r>
        <w:rPr>
          <w:rFonts w:hint="eastAsia" w:ascii="宋体" w:cs="宋体"/>
          <w:kern w:val="0"/>
          <w:szCs w:val="21"/>
        </w:rPr>
        <w:t>所考虑的其它使用条件如下</w:t>
      </w:r>
      <w:r>
        <w:rPr>
          <w:kern w:val="0"/>
          <w:szCs w:val="21"/>
        </w:rPr>
        <w:t>：</w:t>
      </w:r>
    </w:p>
    <w:p>
      <w:pPr>
        <w:autoSpaceDE w:val="0"/>
        <w:autoSpaceDN w:val="0"/>
        <w:adjustRightInd w:val="0"/>
        <w:spacing w:line="308" w:lineRule="atLeast"/>
        <w:ind w:left="423"/>
        <w:jc w:val="left"/>
        <w:rPr>
          <w:kern w:val="0"/>
          <w:szCs w:val="21"/>
        </w:rPr>
      </w:pPr>
      <w:r>
        <w:rPr>
          <w:kern w:val="0"/>
          <w:szCs w:val="21"/>
        </w:rPr>
        <w:t xml:space="preserve">a) 24 h </w:t>
      </w:r>
      <w:r>
        <w:rPr>
          <w:rFonts w:hint="eastAsia" w:ascii="宋体" w:cs="宋体"/>
          <w:kern w:val="0"/>
          <w:szCs w:val="21"/>
        </w:rPr>
        <w:t>内测得的环境气温平均值不超过</w:t>
      </w:r>
      <w:r>
        <w:rPr>
          <w:kern w:val="0"/>
          <w:szCs w:val="21"/>
        </w:rPr>
        <w:t>35 °C；</w:t>
      </w:r>
    </w:p>
    <w:p>
      <w:pPr>
        <w:autoSpaceDE w:val="0"/>
        <w:autoSpaceDN w:val="0"/>
        <w:adjustRightInd w:val="0"/>
        <w:spacing w:line="308" w:lineRule="atLeast"/>
        <w:ind w:left="423"/>
        <w:jc w:val="left"/>
        <w:rPr>
          <w:kern w:val="0"/>
          <w:szCs w:val="21"/>
        </w:rPr>
      </w:pPr>
      <w:r>
        <w:rPr>
          <w:kern w:val="0"/>
          <w:szCs w:val="21"/>
        </w:rPr>
        <w:t xml:space="preserve">b) </w:t>
      </w:r>
      <w:r>
        <w:rPr>
          <w:rFonts w:hint="eastAsia" w:ascii="宋体" w:cs="宋体"/>
          <w:kern w:val="0"/>
          <w:szCs w:val="21"/>
        </w:rPr>
        <w:t>太阳幅射水平高达</w:t>
      </w:r>
      <w:r>
        <w:rPr>
          <w:kern w:val="0"/>
          <w:szCs w:val="21"/>
        </w:rPr>
        <w:t>1000W/m</w:t>
      </w:r>
      <w:r>
        <w:rPr>
          <w:kern w:val="0"/>
          <w:position w:val="10"/>
          <w:szCs w:val="21"/>
          <w:vertAlign w:val="superscript"/>
        </w:rPr>
        <w:t>2</w:t>
      </w:r>
      <w:r>
        <w:rPr>
          <w:rFonts w:hint="eastAsia" w:ascii="宋体" w:cs="宋体"/>
          <w:kern w:val="0"/>
          <w:szCs w:val="21"/>
        </w:rPr>
        <w:t>（晴天中午）时应予考虑</w:t>
      </w:r>
      <w:r>
        <w:rPr>
          <w:kern w:val="0"/>
          <w:szCs w:val="21"/>
        </w:rPr>
        <w:t>；</w:t>
      </w:r>
    </w:p>
    <w:p>
      <w:pPr>
        <w:tabs>
          <w:tab w:val="left" w:pos="360"/>
        </w:tabs>
        <w:autoSpaceDE w:val="0"/>
        <w:autoSpaceDN w:val="0"/>
        <w:adjustRightInd w:val="0"/>
        <w:spacing w:line="308" w:lineRule="atLeast"/>
        <w:ind w:left="423"/>
        <w:jc w:val="left"/>
        <w:rPr>
          <w:kern w:val="0"/>
          <w:szCs w:val="21"/>
        </w:rPr>
      </w:pPr>
      <w:r>
        <w:rPr>
          <w:kern w:val="0"/>
          <w:szCs w:val="21"/>
        </w:rPr>
        <w:t xml:space="preserve">c) </w:t>
      </w:r>
      <w:r>
        <w:rPr>
          <w:rFonts w:hint="eastAsia" w:ascii="宋体" w:cs="宋体"/>
          <w:kern w:val="0"/>
          <w:szCs w:val="21"/>
        </w:rPr>
        <w:t>环境空气可能有灰尘、烟、腐蚀性气体、蒸气或盐的污染。其污染不超过</w:t>
      </w:r>
      <w:r>
        <w:rPr>
          <w:rFonts w:ascii="宋体" w:cs="宋体"/>
          <w:kern w:val="0"/>
          <w:szCs w:val="21"/>
        </w:rPr>
        <w:t>GB</w:t>
      </w:r>
      <w:r>
        <w:rPr>
          <w:rFonts w:hint="eastAsia" w:ascii="宋体" w:cs="宋体"/>
          <w:kern w:val="0"/>
          <w:szCs w:val="21"/>
        </w:rPr>
        <w:t>/T 262</w:t>
      </w:r>
      <w:r>
        <w:rPr>
          <w:rFonts w:ascii="宋体" w:cs="宋体"/>
          <w:kern w:val="0"/>
          <w:szCs w:val="21"/>
        </w:rPr>
        <w:t>18.1</w:t>
      </w:r>
      <w:r>
        <w:rPr>
          <w:rFonts w:hint="eastAsia" w:ascii="宋体" w:cs="宋体"/>
          <w:kern w:val="0"/>
          <w:szCs w:val="21"/>
        </w:rPr>
        <w:t>规定的</w:t>
      </w:r>
      <w:r>
        <w:rPr>
          <w:kern w:val="0"/>
          <w:szCs w:val="21"/>
        </w:rPr>
        <w:t>污</w:t>
      </w:r>
      <w:r>
        <w:rPr>
          <w:rFonts w:hint="eastAsia" w:ascii="宋体" w:cs="宋体"/>
          <w:kern w:val="0"/>
          <w:szCs w:val="21"/>
        </w:rPr>
        <w:t>秽等级</w:t>
      </w:r>
      <w:r>
        <w:rPr>
          <w:kern w:val="0"/>
          <w:szCs w:val="21"/>
        </w:rPr>
        <w:t>；</w:t>
      </w:r>
    </w:p>
    <w:p>
      <w:pPr>
        <w:tabs>
          <w:tab w:val="left" w:pos="360"/>
        </w:tabs>
        <w:autoSpaceDE w:val="0"/>
        <w:autoSpaceDN w:val="0"/>
        <w:adjustRightInd w:val="0"/>
        <w:spacing w:line="308" w:lineRule="atLeast"/>
        <w:ind w:left="423"/>
        <w:jc w:val="left"/>
        <w:rPr>
          <w:kern w:val="0"/>
          <w:szCs w:val="21"/>
        </w:rPr>
      </w:pPr>
      <w:r>
        <w:rPr>
          <w:kern w:val="0"/>
          <w:szCs w:val="21"/>
        </w:rPr>
        <w:t xml:space="preserve">d) </w:t>
      </w:r>
      <w:r>
        <w:rPr>
          <w:rFonts w:hint="eastAsia" w:ascii="宋体" w:cs="宋体"/>
          <w:kern w:val="0"/>
          <w:szCs w:val="21"/>
        </w:rPr>
        <w:t>风压不超过</w:t>
      </w:r>
      <w:r>
        <w:rPr>
          <w:kern w:val="0"/>
          <w:szCs w:val="21"/>
        </w:rPr>
        <w:t>0.7 kPa</w:t>
      </w:r>
      <w:r>
        <w:rPr>
          <w:rFonts w:hint="eastAsia" w:ascii="宋体" w:cs="宋体"/>
          <w:kern w:val="0"/>
          <w:szCs w:val="21"/>
        </w:rPr>
        <w:t>（相当于风速为</w:t>
      </w:r>
      <w:r>
        <w:rPr>
          <w:kern w:val="0"/>
          <w:szCs w:val="21"/>
        </w:rPr>
        <w:t>34 m/s</w:t>
      </w:r>
      <w:r>
        <w:rPr>
          <w:rFonts w:hint="eastAsia" w:ascii="宋体" w:cs="宋体"/>
          <w:kern w:val="0"/>
          <w:szCs w:val="21"/>
        </w:rPr>
        <w:t>）</w:t>
      </w:r>
      <w:r>
        <w:rPr>
          <w:kern w:val="0"/>
          <w:szCs w:val="21"/>
        </w:rPr>
        <w:t>；</w:t>
      </w:r>
    </w:p>
    <w:p>
      <w:pPr>
        <w:tabs>
          <w:tab w:val="left" w:pos="360"/>
        </w:tabs>
        <w:autoSpaceDE w:val="0"/>
        <w:autoSpaceDN w:val="0"/>
        <w:adjustRightInd w:val="0"/>
        <w:spacing w:line="308" w:lineRule="atLeast"/>
        <w:ind w:left="423"/>
        <w:jc w:val="left"/>
        <w:rPr>
          <w:kern w:val="0"/>
          <w:szCs w:val="21"/>
        </w:rPr>
      </w:pPr>
      <w:r>
        <w:rPr>
          <w:kern w:val="0"/>
          <w:szCs w:val="21"/>
        </w:rPr>
        <w:t xml:space="preserve">e) </w:t>
      </w:r>
      <w:r>
        <w:rPr>
          <w:rFonts w:hint="eastAsia" w:ascii="宋体" w:cs="宋体"/>
          <w:kern w:val="0"/>
          <w:szCs w:val="21"/>
        </w:rPr>
        <w:t>应考虑出现凝露或降水</w:t>
      </w:r>
      <w:r>
        <w:rPr>
          <w:kern w:val="0"/>
          <w:szCs w:val="21"/>
        </w:rPr>
        <w:t>；</w:t>
      </w:r>
    </w:p>
    <w:p>
      <w:pPr>
        <w:tabs>
          <w:tab w:val="left" w:pos="360"/>
        </w:tabs>
        <w:autoSpaceDE w:val="0"/>
        <w:autoSpaceDN w:val="0"/>
        <w:adjustRightInd w:val="0"/>
        <w:spacing w:line="308" w:lineRule="atLeast"/>
        <w:ind w:left="423"/>
        <w:jc w:val="left"/>
        <w:rPr>
          <w:kern w:val="0"/>
          <w:szCs w:val="21"/>
        </w:rPr>
      </w:pPr>
      <w:r>
        <w:rPr>
          <w:kern w:val="0"/>
          <w:szCs w:val="21"/>
        </w:rPr>
        <w:t xml:space="preserve">f) </w:t>
      </w:r>
      <w:r>
        <w:rPr>
          <w:rFonts w:hint="eastAsia" w:ascii="宋体" w:cs="宋体"/>
          <w:kern w:val="0"/>
          <w:szCs w:val="21"/>
        </w:rPr>
        <w:t>覆冰厚度不超过</w:t>
      </w:r>
      <w:r>
        <w:rPr>
          <w:kern w:val="0"/>
          <w:szCs w:val="21"/>
        </w:rPr>
        <w:t>20 mm。</w:t>
      </w:r>
    </w:p>
    <w:p>
      <w:pPr>
        <w:pStyle w:val="74"/>
        <w:numPr>
          <w:ilvl w:val="1"/>
          <w:numId w:val="0"/>
        </w:numPr>
        <w:spacing w:before="156" w:after="156"/>
      </w:pPr>
      <w:bookmarkStart w:id="18" w:name="_Toc28563"/>
      <w:r>
        <w:rPr>
          <w:rFonts w:hint="eastAsia"/>
        </w:rPr>
        <w:t>4.3 特殊使用条件</w:t>
      </w:r>
      <w:bookmarkEnd w:id="18"/>
    </w:p>
    <w:p>
      <w:pPr>
        <w:pStyle w:val="80"/>
        <w:numPr>
          <w:ilvl w:val="2"/>
          <w:numId w:val="0"/>
        </w:numPr>
        <w:spacing w:before="156" w:beforeLines="50" w:after="156" w:afterLines="50"/>
      </w:pPr>
      <w:r>
        <w:rPr>
          <w:rFonts w:hint="eastAsia"/>
        </w:rPr>
        <w:t>4.3.1 环境温度</w:t>
      </w:r>
    </w:p>
    <w:p>
      <w:pPr>
        <w:pStyle w:val="80"/>
        <w:numPr>
          <w:ilvl w:val="2"/>
          <w:numId w:val="0"/>
        </w:numPr>
        <w:spacing w:before="156" w:beforeLines="50" w:after="156" w:afterLines="50"/>
        <w:ind w:firstLine="420" w:firstLineChars="0"/>
        <w:rPr>
          <w:rFonts w:hint="eastAsia" w:ascii="宋体" w:hAnsi="Times New Roman" w:eastAsia="宋体" w:cs="宋体"/>
          <w:kern w:val="0"/>
          <w:sz w:val="21"/>
          <w:szCs w:val="21"/>
          <w:lang w:val="en-US" w:eastAsia="zh-CN" w:bidi="ar-SA"/>
        </w:rPr>
      </w:pPr>
      <w:r>
        <w:rPr>
          <w:rFonts w:hint="eastAsia" w:ascii="宋体" w:hAnsi="Times New Roman" w:eastAsia="宋体" w:cs="宋体"/>
          <w:kern w:val="0"/>
          <w:sz w:val="21"/>
          <w:szCs w:val="21"/>
          <w:lang w:val="en-US" w:eastAsia="zh-CN" w:bidi="ar-SA"/>
        </w:rPr>
        <w:t>安装地点的环境温度明显超出4.2.1所列的正常使用条件范围时，优先的最低和最高温度范围应规定为：</w:t>
      </w:r>
    </w:p>
    <w:p>
      <w:pPr>
        <w:pStyle w:val="80"/>
        <w:numPr>
          <w:ilvl w:val="2"/>
          <w:numId w:val="0"/>
        </w:numPr>
        <w:spacing w:before="156" w:beforeLines="50" w:after="156" w:afterLines="50"/>
        <w:ind w:firstLine="420" w:firstLineChars="0"/>
        <w:rPr>
          <w:rFonts w:hint="eastAsia" w:ascii="宋体" w:hAnsi="Times New Roman" w:eastAsia="宋体" w:cs="宋体"/>
          <w:kern w:val="0"/>
          <w:sz w:val="21"/>
          <w:szCs w:val="21"/>
          <w:lang w:val="en-US" w:eastAsia="zh-CN" w:bidi="ar-SA"/>
        </w:rPr>
      </w:pPr>
      <w:r>
        <w:rPr>
          <w:rFonts w:hint="eastAsia" w:ascii="宋体" w:hAnsi="Times New Roman" w:eastAsia="宋体" w:cs="宋体"/>
          <w:kern w:val="0"/>
          <w:sz w:val="21"/>
          <w:szCs w:val="21"/>
          <w:lang w:val="en-US" w:eastAsia="zh-CN" w:bidi="ar-SA"/>
        </w:rPr>
        <w:t>a)严寒气候，一50℃和+40℃;</w:t>
      </w:r>
    </w:p>
    <w:p>
      <w:pPr>
        <w:pStyle w:val="80"/>
        <w:numPr>
          <w:ilvl w:val="2"/>
          <w:numId w:val="0"/>
        </w:numPr>
        <w:spacing w:before="156" w:beforeLines="50" w:after="156" w:afterLines="50"/>
        <w:ind w:firstLine="420" w:firstLineChars="0"/>
        <w:rPr>
          <w:rFonts w:hint="eastAsia" w:ascii="宋体" w:hAnsi="Times New Roman" w:eastAsia="宋体" w:cs="宋体"/>
          <w:kern w:val="0"/>
          <w:sz w:val="21"/>
          <w:szCs w:val="21"/>
          <w:lang w:val="en-US" w:eastAsia="zh-CN" w:bidi="ar-SA"/>
        </w:rPr>
      </w:pPr>
      <w:r>
        <w:rPr>
          <w:rFonts w:hint="eastAsia" w:ascii="宋体" w:hAnsi="Times New Roman" w:eastAsia="宋体" w:cs="宋体"/>
          <w:kern w:val="0"/>
          <w:sz w:val="21"/>
          <w:szCs w:val="21"/>
          <w:lang w:val="en-US" w:eastAsia="zh-CN" w:bidi="ar-SA"/>
        </w:rPr>
        <w:t>b)酷热气候，-5 ℃和+50℃。</w:t>
      </w:r>
    </w:p>
    <w:p>
      <w:pPr>
        <w:pStyle w:val="80"/>
        <w:numPr>
          <w:ilvl w:val="2"/>
          <w:numId w:val="0"/>
        </w:numPr>
        <w:spacing w:before="156" w:beforeLines="50" w:after="156" w:afterLines="50"/>
        <w:ind w:firstLine="420" w:firstLineChars="0"/>
        <w:rPr>
          <w:rFonts w:hint="eastAsia" w:ascii="宋体" w:hAnsi="Times New Roman" w:eastAsia="宋体" w:cs="宋体"/>
          <w:kern w:val="0"/>
          <w:sz w:val="21"/>
          <w:szCs w:val="21"/>
          <w:lang w:val="en-US" w:eastAsia="zh-CN" w:bidi="ar-SA"/>
        </w:rPr>
      </w:pPr>
      <w:r>
        <w:rPr>
          <w:rFonts w:hint="eastAsia" w:ascii="宋体" w:hAnsi="Times New Roman" w:eastAsia="宋体" w:cs="宋体"/>
          <w:kern w:val="0"/>
          <w:sz w:val="21"/>
          <w:szCs w:val="21"/>
          <w:lang w:val="en-US" w:eastAsia="zh-CN" w:bidi="ar-SA"/>
        </w:rPr>
        <w:t>在频繁出现暖湿气流的某些地区，可能发生温度突然变化以致凝露，即使在户内也如此。</w:t>
      </w:r>
    </w:p>
    <w:p>
      <w:pPr>
        <w:pStyle w:val="80"/>
        <w:numPr>
          <w:ilvl w:val="2"/>
          <w:numId w:val="0"/>
        </w:numPr>
        <w:spacing w:before="156" w:beforeLines="50" w:after="156" w:afterLines="50"/>
        <w:ind w:firstLine="420" w:firstLineChars="0"/>
        <w:rPr>
          <w:rFonts w:hint="eastAsia" w:ascii="宋体" w:hAnsi="Times New Roman" w:eastAsia="宋体" w:cs="宋体"/>
          <w:kern w:val="0"/>
          <w:sz w:val="18"/>
          <w:szCs w:val="18"/>
          <w:lang w:val="en-US" w:eastAsia="zh-CN" w:bidi="ar-SA"/>
        </w:rPr>
      </w:pPr>
      <w:r>
        <w:rPr>
          <w:rFonts w:hint="eastAsia" w:ascii="宋体" w:hAnsi="Times New Roman" w:eastAsia="宋体" w:cs="宋体"/>
          <w:kern w:val="0"/>
          <w:sz w:val="18"/>
          <w:szCs w:val="18"/>
          <w:lang w:val="en-US" w:eastAsia="zh-CN" w:bidi="ar-SA"/>
        </w:rPr>
        <w:t>注：在某些太阳幅射条件下，可能需要采取例如遮盖、吹风等适当措施，以避免温升超过规定。也可降低额定值使用。</w:t>
      </w:r>
    </w:p>
    <w:p>
      <w:pPr>
        <w:pStyle w:val="80"/>
        <w:numPr>
          <w:ilvl w:val="2"/>
          <w:numId w:val="0"/>
        </w:numPr>
        <w:spacing w:before="156" w:beforeLines="50" w:after="156" w:afterLines="50"/>
      </w:pPr>
      <w:r>
        <w:rPr>
          <w:rFonts w:hint="eastAsia"/>
        </w:rPr>
        <w:t>4.3.2 海拔</w:t>
      </w:r>
    </w:p>
    <w:p>
      <w:pPr>
        <w:autoSpaceDE w:val="0"/>
        <w:autoSpaceDN w:val="0"/>
        <w:adjustRightInd w:val="0"/>
        <w:spacing w:line="308" w:lineRule="atLeast"/>
        <w:ind w:left="423"/>
        <w:jc w:val="left"/>
        <w:rPr>
          <w:rFonts w:ascii="宋体" w:cs="宋体"/>
          <w:kern w:val="0"/>
          <w:szCs w:val="21"/>
        </w:rPr>
      </w:pPr>
      <w:r>
        <w:rPr>
          <w:rFonts w:hint="eastAsia" w:ascii="宋体" w:cs="宋体"/>
          <w:kern w:val="0"/>
          <w:szCs w:val="21"/>
          <w:lang w:val="en-US" w:eastAsia="zh-CN"/>
        </w:rPr>
        <w:t>不</w:t>
      </w:r>
      <w:r>
        <w:rPr>
          <w:rFonts w:hint="eastAsia" w:ascii="宋体" w:cs="宋体"/>
          <w:kern w:val="0"/>
          <w:szCs w:val="21"/>
        </w:rPr>
        <w:t>超过</w:t>
      </w:r>
      <w:r>
        <w:rPr>
          <w:rFonts w:ascii="宋体" w:cs="宋体"/>
          <w:kern w:val="0"/>
          <w:szCs w:val="21"/>
        </w:rPr>
        <w:t>1000m</w:t>
      </w:r>
      <w:r>
        <w:rPr>
          <w:rFonts w:hint="eastAsia" w:ascii="宋体" w:cs="宋体"/>
          <w:kern w:val="0"/>
          <w:szCs w:val="21"/>
        </w:rPr>
        <w:t>。</w:t>
      </w:r>
    </w:p>
    <w:p>
      <w:pPr>
        <w:pStyle w:val="80"/>
        <w:numPr>
          <w:ilvl w:val="2"/>
          <w:numId w:val="0"/>
        </w:numPr>
        <w:spacing w:before="156" w:beforeLines="50" w:after="156" w:afterLines="50"/>
      </w:pPr>
      <w:r>
        <w:rPr>
          <w:rFonts w:hint="eastAsia"/>
        </w:rPr>
        <w:t>4.3.3 振动</w:t>
      </w:r>
    </w:p>
    <w:p>
      <w:pPr>
        <w:pStyle w:val="80"/>
        <w:numPr>
          <w:ilvl w:val="0"/>
          <w:numId w:val="0"/>
        </w:numPr>
        <w:spacing w:before="120" w:after="120"/>
        <w:ind w:firstLine="420" w:firstLineChars="200"/>
        <w:rPr>
          <w:rFonts w:ascii="宋体" w:eastAsia="宋体" w:cs="宋体"/>
        </w:rPr>
      </w:pPr>
      <w:r>
        <w:rPr>
          <w:rFonts w:hint="eastAsia" w:ascii="宋体" w:eastAsia="宋体" w:cs="宋体"/>
        </w:rPr>
        <w:t>开关操作或短路电动力可引发振动。组装在其它设备内的互感器，应考虑该设备产生的振动。</w:t>
      </w:r>
    </w:p>
    <w:p>
      <w:pPr>
        <w:pStyle w:val="80"/>
        <w:numPr>
          <w:ilvl w:val="2"/>
          <w:numId w:val="0"/>
        </w:numPr>
        <w:spacing w:before="156" w:beforeLines="50" w:after="156" w:afterLines="50"/>
      </w:pPr>
      <w:r>
        <w:rPr>
          <w:rFonts w:hint="eastAsia"/>
        </w:rPr>
        <w:t>4.3.4 地震</w:t>
      </w:r>
    </w:p>
    <w:p>
      <w:pPr>
        <w:pStyle w:val="84"/>
        <w:tabs>
          <w:tab w:val="left" w:pos="360"/>
        </w:tabs>
        <w:spacing w:before="156" w:after="156"/>
        <w:ind w:left="0" w:leftChars="0" w:firstLine="420" w:firstLineChars="200"/>
        <w:jc w:val="both"/>
        <w:rPr>
          <w:rFonts w:hint="eastAsia" w:ascii="宋体" w:hAnsi="Times New Roman" w:eastAsia="宋体" w:cs="宋体"/>
          <w:sz w:val="21"/>
          <w:lang w:val="en-US" w:eastAsia="zh-CN" w:bidi="ar-SA"/>
        </w:rPr>
      </w:pPr>
      <w:r>
        <w:rPr>
          <w:rFonts w:hint="eastAsia" w:ascii="宋体" w:hAnsi="Times New Roman" w:eastAsia="宋体" w:cs="宋体"/>
          <w:sz w:val="21"/>
          <w:lang w:val="en-US" w:eastAsia="zh-CN" w:bidi="ar-SA"/>
        </w:rPr>
        <w:t>抗震水平及试验应满足GB 50260和GB/T 13540的要求。</w:t>
      </w:r>
    </w:p>
    <w:p>
      <w:pPr>
        <w:pStyle w:val="86"/>
        <w:numPr>
          <w:ilvl w:val="0"/>
          <w:numId w:val="0"/>
        </w:numPr>
        <w:spacing w:before="312" w:after="312"/>
        <w:rPr>
          <w:rFonts w:hint="default"/>
          <w:lang w:val="en-US"/>
        </w:rPr>
      </w:pPr>
      <w:bookmarkStart w:id="19" w:name="_Toc766"/>
      <w:r>
        <w:rPr>
          <w:rFonts w:hint="eastAsia"/>
        </w:rPr>
        <w:t xml:space="preserve">5 </w:t>
      </w:r>
      <w:r>
        <w:rPr>
          <w:rFonts w:hint="eastAsia"/>
          <w:lang w:val="en-US" w:eastAsia="zh-CN"/>
        </w:rPr>
        <w:t>基本分类</w:t>
      </w:r>
      <w:bookmarkEnd w:id="19"/>
    </w:p>
    <w:p>
      <w:pPr>
        <w:ind w:firstLine="420" w:firstLineChars="200"/>
        <w:rPr>
          <w:rFonts w:ascii="宋体" w:hAnsi="宋体" w:eastAsia="宋体" w:cs="Times New Roman"/>
          <w:sz w:val="18"/>
          <w:szCs w:val="18"/>
        </w:rPr>
      </w:pPr>
      <w:r>
        <w:rPr>
          <w:rFonts w:ascii="宋体" w:hAnsi="宋体" w:eastAsia="宋体" w:cs="Times New Roman"/>
          <w:szCs w:val="21"/>
        </w:rPr>
        <w:t>电</w:t>
      </w:r>
      <w:r>
        <w:rPr>
          <w:rFonts w:hint="eastAsia" w:ascii="宋体" w:hAnsi="宋体" w:eastAsia="宋体" w:cs="Times New Roman"/>
          <w:szCs w:val="21"/>
          <w:lang w:val="en-US" w:eastAsia="zh-CN"/>
        </w:rPr>
        <w:t>流</w:t>
      </w:r>
      <w:r>
        <w:rPr>
          <w:rFonts w:ascii="宋体" w:hAnsi="宋体" w:eastAsia="宋体" w:cs="Times New Roman"/>
          <w:szCs w:val="21"/>
        </w:rPr>
        <w:t>互感器的</w:t>
      </w:r>
      <w:r>
        <w:rPr>
          <w:rFonts w:hint="eastAsia" w:ascii="宋体" w:hAnsi="宋体" w:eastAsia="宋体" w:cs="Times New Roman"/>
          <w:szCs w:val="21"/>
        </w:rPr>
        <w:t>基本</w:t>
      </w:r>
      <w:r>
        <w:rPr>
          <w:rFonts w:ascii="宋体" w:hAnsi="宋体" w:eastAsia="宋体" w:cs="Times New Roman"/>
          <w:szCs w:val="21"/>
        </w:rPr>
        <w:t>分类</w:t>
      </w:r>
      <w:r>
        <w:rPr>
          <w:rFonts w:hint="eastAsia" w:ascii="宋体" w:hAnsi="宋体" w:eastAsia="宋体" w:cs="Times New Roman"/>
          <w:szCs w:val="21"/>
        </w:rPr>
        <w:t>见</w:t>
      </w:r>
      <w:r>
        <w:rPr>
          <w:rFonts w:ascii="宋体" w:hAnsi="宋体" w:eastAsia="宋体" w:cs="Times New Roman"/>
          <w:szCs w:val="21"/>
        </w:rPr>
        <w:t>表</w:t>
      </w:r>
      <w:r>
        <w:rPr>
          <w:rFonts w:hint="eastAsia" w:eastAsia="宋体" w:cs="Times New Roman"/>
          <w:szCs w:val="21"/>
          <w:lang w:val="en-US" w:eastAsia="zh-CN"/>
        </w:rPr>
        <w:t>2</w:t>
      </w:r>
      <w:r>
        <w:rPr>
          <w:rFonts w:ascii="宋体" w:hAnsi="宋体" w:eastAsia="宋体" w:cs="Times New Roman"/>
          <w:szCs w:val="21"/>
        </w:rPr>
        <w:t>。</w:t>
      </w:r>
    </w:p>
    <w:p>
      <w:pPr>
        <w:numPr>
          <w:ilvl w:val="0"/>
          <w:numId w:val="0"/>
        </w:numPr>
        <w:tabs>
          <w:tab w:val="left" w:pos="360"/>
        </w:tabs>
        <w:spacing w:before="156" w:beforeLines="50" w:after="156" w:afterLines="50"/>
        <w:jc w:val="center"/>
        <w:rPr>
          <w:rFonts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表</w:t>
      </w:r>
      <w:r>
        <w:rPr>
          <w:rFonts w:hint="eastAsia" w:ascii="黑体" w:eastAsia="黑体" w:cs="Times New Roman"/>
          <w:sz w:val="21"/>
          <w:szCs w:val="21"/>
          <w:lang w:val="en-US" w:eastAsia="zh-CN" w:bidi="ar-SA"/>
        </w:rPr>
        <w:t>2</w:t>
      </w:r>
      <w:r>
        <w:rPr>
          <w:rFonts w:ascii="黑体" w:hAnsi="Times New Roman" w:eastAsia="黑体" w:cs="Times New Roman"/>
          <w:sz w:val="21"/>
          <w:szCs w:val="21"/>
          <w:lang w:val="en-US" w:eastAsia="zh-CN" w:bidi="ar-SA"/>
        </w:rPr>
        <w:t xml:space="preserve"> </w:t>
      </w:r>
      <w:r>
        <w:rPr>
          <w:rFonts w:hint="eastAsia" w:ascii="黑体" w:hAnsi="Times New Roman" w:eastAsia="黑体" w:cs="Times New Roman"/>
          <w:sz w:val="21"/>
          <w:szCs w:val="21"/>
          <w:lang w:val="en-US" w:eastAsia="zh-CN" w:bidi="ar-SA"/>
        </w:rPr>
        <w:t>电</w:t>
      </w:r>
      <w:r>
        <w:rPr>
          <w:rFonts w:hint="eastAsia" w:ascii="黑体" w:eastAsia="黑体" w:cs="Times New Roman"/>
          <w:sz w:val="21"/>
          <w:szCs w:val="21"/>
          <w:lang w:val="en-US" w:eastAsia="zh-CN" w:bidi="ar-SA"/>
        </w:rPr>
        <w:t>流</w:t>
      </w:r>
      <w:r>
        <w:rPr>
          <w:rFonts w:hint="eastAsia" w:ascii="黑体" w:hAnsi="Times New Roman" w:eastAsia="黑体" w:cs="Times New Roman"/>
          <w:sz w:val="21"/>
          <w:szCs w:val="21"/>
          <w:lang w:val="en-US" w:eastAsia="zh-CN" w:bidi="ar-SA"/>
        </w:rPr>
        <w:t>互感器的基本分类</w:t>
      </w:r>
      <w:bookmarkStart w:id="20" w:name="pindex221"/>
      <w:bookmarkEnd w:id="20"/>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pPr>
              <w:autoSpaceDE w:val="0"/>
              <w:autoSpaceDN w:val="0"/>
              <w:jc w:val="center"/>
              <w:rPr>
                <w:rFonts w:ascii="Times New Roman" w:hAnsi="Times New Roman" w:eastAsia="宋体" w:cs="Times New Roman"/>
                <w:sz w:val="18"/>
                <w:szCs w:val="21"/>
              </w:rPr>
            </w:pPr>
            <w:r>
              <w:rPr>
                <w:rFonts w:ascii="Times New Roman" w:hAnsi="Times New Roman" w:eastAsia="宋体" w:cs="Times New Roman"/>
                <w:sz w:val="18"/>
                <w:szCs w:val="21"/>
              </w:rPr>
              <w:t>使用场所</w:t>
            </w:r>
          </w:p>
        </w:tc>
        <w:tc>
          <w:tcPr>
            <w:tcW w:w="3930" w:type="pct"/>
            <w:noWrap w:val="0"/>
            <w:vAlign w:val="top"/>
          </w:tcPr>
          <w:p>
            <w:pPr>
              <w:autoSpaceDE w:val="0"/>
              <w:autoSpaceDN w:val="0"/>
              <w:jc w:val="center"/>
              <w:rPr>
                <w:rFonts w:ascii="Times New Roman" w:hAnsi="Times New Roman" w:eastAsia="宋体" w:cs="Times New Roman"/>
                <w:sz w:val="18"/>
                <w:szCs w:val="21"/>
              </w:rPr>
            </w:pPr>
            <w:r>
              <w:rPr>
                <w:rFonts w:ascii="Times New Roman" w:hAnsi="Times New Roman" w:eastAsia="宋体" w:cs="Times New Roman"/>
                <w:sz w:val="18"/>
                <w:szCs w:val="21"/>
              </w:rPr>
              <w:t>户内、户外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pPr>
              <w:autoSpaceDE w:val="0"/>
              <w:autoSpaceDN w:val="0"/>
              <w:jc w:val="center"/>
              <w:rPr>
                <w:rFonts w:ascii="Times New Roman" w:hAnsi="Times New Roman" w:eastAsia="宋体" w:cs="Times New Roman"/>
                <w:sz w:val="18"/>
                <w:szCs w:val="21"/>
              </w:rPr>
            </w:pPr>
            <w:r>
              <w:rPr>
                <w:rFonts w:ascii="Times New Roman" w:hAnsi="Times New Roman" w:eastAsia="宋体" w:cs="Times New Roman"/>
                <w:sz w:val="18"/>
                <w:szCs w:val="21"/>
              </w:rPr>
              <w:t>安装位置</w:t>
            </w:r>
          </w:p>
        </w:tc>
        <w:tc>
          <w:tcPr>
            <w:tcW w:w="3930" w:type="pct"/>
            <w:noWrap w:val="0"/>
            <w:vAlign w:val="top"/>
          </w:tcPr>
          <w:p>
            <w:pPr>
              <w:autoSpaceDE w:val="0"/>
              <w:autoSpaceDN w:val="0"/>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组合电器、套管、母线、电缆、开关柜</w:t>
            </w:r>
            <w:r>
              <w:rPr>
                <w:rFonts w:hint="eastAsia" w:eastAsia="宋体" w:cs="Times New Roman"/>
                <w:sz w:val="18"/>
                <w:szCs w:val="21"/>
                <w:lang w:eastAsia="zh-CN"/>
              </w:rPr>
              <w:t>、</w:t>
            </w:r>
            <w:r>
              <w:rPr>
                <w:rFonts w:hint="eastAsia" w:ascii="Times New Roman" w:hAnsi="Times New Roman" w:eastAsia="宋体" w:cs="Times New Roman"/>
                <w:sz w:val="18"/>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pPr>
              <w:autoSpaceDE w:val="0"/>
              <w:autoSpaceDN w:val="0"/>
              <w:jc w:val="center"/>
              <w:rPr>
                <w:rFonts w:ascii="Times New Roman" w:hAnsi="Times New Roman" w:eastAsia="宋体" w:cs="Times New Roman"/>
                <w:sz w:val="18"/>
                <w:szCs w:val="21"/>
              </w:rPr>
            </w:pPr>
            <w:r>
              <w:rPr>
                <w:rFonts w:ascii="Times New Roman" w:hAnsi="Times New Roman" w:eastAsia="宋体" w:cs="Times New Roman"/>
                <w:sz w:val="18"/>
                <w:szCs w:val="21"/>
              </w:rPr>
              <w:t>接线方式</w:t>
            </w:r>
          </w:p>
        </w:tc>
        <w:tc>
          <w:tcPr>
            <w:tcW w:w="3930" w:type="pct"/>
            <w:noWrap w:val="0"/>
            <w:vAlign w:val="top"/>
          </w:tcPr>
          <w:p>
            <w:pPr>
              <w:autoSpaceDE w:val="0"/>
              <w:autoSpaceDN w:val="0"/>
              <w:jc w:val="center"/>
              <w:rPr>
                <w:rFonts w:ascii="Times New Roman" w:hAnsi="Times New Roman" w:eastAsia="宋体" w:cs="Times New Roman"/>
                <w:sz w:val="18"/>
                <w:szCs w:val="21"/>
              </w:rPr>
            </w:pPr>
            <w:r>
              <w:rPr>
                <w:rFonts w:ascii="Times New Roman" w:hAnsi="Times New Roman" w:eastAsia="宋体" w:cs="Times New Roman"/>
                <w:sz w:val="18"/>
                <w:szCs w:val="21"/>
              </w:rPr>
              <w:t>相对地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pPr>
              <w:autoSpaceDE w:val="0"/>
              <w:autoSpaceDN w:val="0"/>
              <w:jc w:val="center"/>
              <w:rPr>
                <w:rFonts w:ascii="Times New Roman" w:hAnsi="Times New Roman" w:eastAsia="宋体" w:cs="Times New Roman"/>
                <w:sz w:val="18"/>
                <w:szCs w:val="21"/>
              </w:rPr>
            </w:pPr>
            <w:r>
              <w:rPr>
                <w:rFonts w:ascii="Times New Roman" w:hAnsi="Times New Roman" w:eastAsia="宋体" w:cs="Times New Roman"/>
                <w:sz w:val="18"/>
                <w:szCs w:val="21"/>
              </w:rPr>
              <w:t>用    途</w:t>
            </w:r>
          </w:p>
        </w:tc>
        <w:tc>
          <w:tcPr>
            <w:tcW w:w="3930" w:type="pct"/>
            <w:noWrap w:val="0"/>
            <w:vAlign w:val="top"/>
          </w:tcPr>
          <w:p>
            <w:pPr>
              <w:autoSpaceDE w:val="0"/>
              <w:autoSpaceDN w:val="0"/>
              <w:jc w:val="center"/>
              <w:rPr>
                <w:rFonts w:ascii="Times New Roman" w:hAnsi="Times New Roman" w:eastAsia="宋体" w:cs="Times New Roman"/>
                <w:sz w:val="18"/>
                <w:szCs w:val="21"/>
              </w:rPr>
            </w:pPr>
            <w:r>
              <w:rPr>
                <w:rFonts w:hint="eastAsia" w:cs="Times New Roman"/>
                <w:sz w:val="18"/>
                <w:szCs w:val="21"/>
                <w:lang w:val="en-US" w:eastAsia="zh-CN"/>
              </w:rPr>
              <w:t>计量用、</w:t>
            </w:r>
            <w:r>
              <w:rPr>
                <w:rFonts w:ascii="Times New Roman" w:hAnsi="Times New Roman" w:eastAsia="宋体" w:cs="Times New Roman"/>
                <w:sz w:val="18"/>
                <w:szCs w:val="21"/>
              </w:rPr>
              <w:t>测量用、保护用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pPr>
              <w:autoSpaceDE w:val="0"/>
              <w:autoSpaceDN w:val="0"/>
              <w:jc w:val="center"/>
              <w:rPr>
                <w:rFonts w:ascii="Times New Roman" w:hAnsi="Times New Roman" w:eastAsia="宋体" w:cs="Times New Roman"/>
                <w:sz w:val="18"/>
                <w:szCs w:val="21"/>
              </w:rPr>
            </w:pPr>
            <w:r>
              <w:rPr>
                <w:rFonts w:ascii="Times New Roman" w:hAnsi="Times New Roman" w:eastAsia="宋体" w:cs="Times New Roman"/>
                <w:sz w:val="18"/>
                <w:szCs w:val="21"/>
              </w:rPr>
              <w:t>结构型式</w:t>
            </w:r>
          </w:p>
        </w:tc>
        <w:tc>
          <w:tcPr>
            <w:tcW w:w="3930" w:type="pct"/>
            <w:noWrap w:val="0"/>
            <w:vAlign w:val="top"/>
          </w:tcPr>
          <w:p>
            <w:pPr>
              <w:autoSpaceDE w:val="0"/>
              <w:autoSpaceDN w:val="0"/>
              <w:jc w:val="center"/>
              <w:rPr>
                <w:rFonts w:hint="default" w:ascii="Times New Roman" w:hAnsi="Times New Roman" w:eastAsia="宋体" w:cs="Times New Roman"/>
                <w:sz w:val="18"/>
                <w:szCs w:val="21"/>
                <w:lang w:val="en-US" w:eastAsia="zh-CN"/>
              </w:rPr>
            </w:pPr>
            <w:r>
              <w:rPr>
                <w:rFonts w:hint="eastAsia" w:eastAsia="宋体" w:cs="Times New Roman"/>
                <w:sz w:val="18"/>
                <w:szCs w:val="21"/>
                <w:lang w:val="en-US" w:eastAsia="zh-CN"/>
              </w:rPr>
              <w:t>正立式、倒立式、贯穿式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top"/>
          </w:tcPr>
          <w:p>
            <w:pPr>
              <w:autoSpaceDE w:val="0"/>
              <w:autoSpaceDN w:val="0"/>
              <w:jc w:val="center"/>
              <w:rPr>
                <w:rFonts w:ascii="Times New Roman" w:hAnsi="Times New Roman" w:eastAsia="宋体" w:cs="Times New Roman"/>
                <w:sz w:val="18"/>
                <w:szCs w:val="21"/>
              </w:rPr>
            </w:pPr>
            <w:r>
              <w:rPr>
                <w:rFonts w:ascii="Times New Roman" w:hAnsi="Times New Roman" w:eastAsia="宋体" w:cs="Times New Roman"/>
                <w:sz w:val="18"/>
                <w:szCs w:val="21"/>
              </w:rPr>
              <w:t>绝缘介质种类</w:t>
            </w:r>
          </w:p>
        </w:tc>
        <w:tc>
          <w:tcPr>
            <w:tcW w:w="3930" w:type="pct"/>
            <w:noWrap w:val="0"/>
            <w:vAlign w:val="top"/>
          </w:tcPr>
          <w:p>
            <w:pPr>
              <w:autoSpaceDE w:val="0"/>
              <w:autoSpaceDN w:val="0"/>
              <w:jc w:val="center"/>
              <w:rPr>
                <w:rFonts w:hint="default" w:ascii="Times New Roman" w:hAnsi="Times New Roman" w:eastAsia="宋体" w:cs="Times New Roman"/>
                <w:sz w:val="18"/>
                <w:szCs w:val="21"/>
                <w:lang w:val="en-US" w:eastAsia="zh-CN"/>
              </w:rPr>
            </w:pPr>
            <w:bookmarkStart w:id="21" w:name="bkReivew3063430"/>
            <w:r>
              <w:rPr>
                <w:rFonts w:ascii="Times New Roman" w:hAnsi="Times New Roman" w:eastAsia="宋体" w:cs="Times New Roman"/>
                <w:color w:val="auto"/>
                <w:sz w:val="18"/>
                <w:szCs w:val="21"/>
                <w:highlight w:val="none"/>
              </w:rPr>
              <w:t>油纸</w:t>
            </w:r>
            <w:bookmarkEnd w:id="21"/>
            <w:r>
              <w:rPr>
                <w:rFonts w:ascii="Times New Roman" w:hAnsi="Times New Roman" w:eastAsia="宋体" w:cs="Times New Roman"/>
                <w:sz w:val="18"/>
                <w:szCs w:val="21"/>
                <w:highlight w:val="none"/>
              </w:rPr>
              <w:t>、气体、树脂</w:t>
            </w:r>
            <w:r>
              <w:rPr>
                <w:rFonts w:hint="eastAsia" w:eastAsia="宋体" w:cs="Times New Roman"/>
                <w:sz w:val="18"/>
                <w:szCs w:val="21"/>
                <w:highlight w:val="none"/>
                <w:lang w:eastAsia="zh-CN"/>
              </w:rPr>
              <w:t>、</w:t>
            </w:r>
            <w:r>
              <w:rPr>
                <w:rFonts w:hint="eastAsia" w:eastAsia="宋体" w:cs="Times New Roman"/>
                <w:sz w:val="18"/>
                <w:szCs w:val="21"/>
                <w:highlight w:val="none"/>
                <w:lang w:val="en-US" w:eastAsia="zh-CN"/>
              </w:rPr>
              <w:t>合成薄膜</w:t>
            </w:r>
          </w:p>
        </w:tc>
      </w:tr>
    </w:tbl>
    <w:p>
      <w:pPr>
        <w:pStyle w:val="86"/>
        <w:numPr>
          <w:ilvl w:val="0"/>
          <w:numId w:val="0"/>
        </w:numPr>
        <w:spacing w:before="312" w:after="312"/>
        <w:rPr>
          <w:rFonts w:hint="eastAsia"/>
        </w:rPr>
      </w:pPr>
      <w:bookmarkStart w:id="22" w:name="_Toc26856"/>
      <w:bookmarkStart w:id="23" w:name="_Toc84961989"/>
      <w:bookmarkStart w:id="24" w:name="_Toc309744258"/>
      <w:bookmarkStart w:id="25" w:name="_Toc296872622"/>
      <w:bookmarkStart w:id="26" w:name="_Toc309756096"/>
      <w:bookmarkStart w:id="27" w:name="_Toc296872664"/>
      <w:bookmarkStart w:id="28" w:name="_Toc317177926"/>
      <w:bookmarkStart w:id="29" w:name="_Toc289677004"/>
      <w:bookmarkStart w:id="30" w:name="_Toc289698028"/>
      <w:bookmarkStart w:id="31" w:name="_Toc326151913"/>
      <w:bookmarkStart w:id="32" w:name="_Toc301857108"/>
      <w:bookmarkStart w:id="33" w:name="_Toc309754952"/>
      <w:bookmarkStart w:id="34" w:name="_Toc309744222"/>
      <w:bookmarkStart w:id="35" w:name="_Toc301857049"/>
      <w:bookmarkStart w:id="36" w:name="_Toc317177952"/>
      <w:bookmarkStart w:id="37" w:name="_Toc441046369"/>
      <w:bookmarkStart w:id="38" w:name="_Toc450655715"/>
      <w:r>
        <w:rPr>
          <w:rFonts w:hint="eastAsia"/>
          <w:lang w:val="en-US" w:eastAsia="zh-CN"/>
        </w:rPr>
        <w:t xml:space="preserve">6 </w:t>
      </w:r>
      <w:r>
        <w:rPr>
          <w:rFonts w:hint="eastAsia"/>
        </w:rPr>
        <w:t>技术要求</w:t>
      </w:r>
      <w:bookmarkEnd w:id="22"/>
      <w:bookmarkEnd w:id="23"/>
    </w:p>
    <w:p>
      <w:pPr>
        <w:pStyle w:val="74"/>
        <w:bidi w:val="0"/>
        <w:ind w:left="1135" w:leftChars="0" w:hanging="1135" w:firstLineChars="0"/>
      </w:pPr>
      <w:bookmarkStart w:id="39" w:name="_Toc84961990"/>
      <w:bookmarkStart w:id="40" w:name="_Toc67263557"/>
      <w:bookmarkStart w:id="41" w:name="_Toc8404"/>
      <w:r>
        <w:t>设备最高电压</w:t>
      </w:r>
      <w:bookmarkEnd w:id="39"/>
      <w:bookmarkEnd w:id="40"/>
      <w:bookmarkEnd w:id="41"/>
    </w:p>
    <w:p>
      <w:pPr>
        <w:pStyle w:val="32"/>
        <w:tabs>
          <w:tab w:val="center" w:pos="4201"/>
          <w:tab w:val="right" w:leader="dot" w:pos="9298"/>
        </w:tabs>
        <w:rPr>
          <w:rFonts w:hint="eastAsia" w:ascii="Times New Roman"/>
        </w:rPr>
      </w:pPr>
      <w:r>
        <w:rPr>
          <w:rFonts w:ascii="Times New Roman"/>
        </w:rPr>
        <w:t>设备最高电压应按表</w:t>
      </w:r>
      <w:r>
        <w:rPr>
          <w:rFonts w:hint="eastAsia" w:ascii="Times New Roman"/>
          <w:lang w:val="en-US" w:eastAsia="zh-CN"/>
        </w:rPr>
        <w:t>3</w:t>
      </w:r>
      <w:r>
        <w:rPr>
          <w:rFonts w:ascii="Times New Roman"/>
        </w:rPr>
        <w:t>选取。</w:t>
      </w:r>
    </w:p>
    <w:p>
      <w:pPr>
        <w:pStyle w:val="84"/>
        <w:ind w:left="0" w:leftChars="-250" w:hanging="525" w:hangingChars="250"/>
        <w:jc w:val="center"/>
        <w:rPr>
          <w:rFonts w:ascii="Times New Roman"/>
          <w:szCs w:val="21"/>
        </w:rPr>
      </w:pPr>
      <w:r>
        <w:rPr>
          <w:rFonts w:hint="eastAsia" w:ascii="Times New Roman"/>
          <w:szCs w:val="21"/>
          <w:lang w:val="en-US" w:eastAsia="zh-CN"/>
        </w:rPr>
        <w:t xml:space="preserve">表3 </w:t>
      </w:r>
      <w:r>
        <w:rPr>
          <w:rFonts w:ascii="Times New Roman"/>
          <w:szCs w:val="21"/>
        </w:rPr>
        <w:t>电流互感器一次</w:t>
      </w:r>
      <w:r>
        <w:rPr>
          <w:rFonts w:hint="eastAsia" w:ascii="Times New Roman"/>
          <w:szCs w:val="21"/>
        </w:rPr>
        <w:t>端</w:t>
      </w:r>
      <w:r>
        <w:rPr>
          <w:rFonts w:ascii="Times New Roman"/>
          <w:szCs w:val="21"/>
        </w:rPr>
        <w:t xml:space="preserve">额定绝缘水平和耐受电压          </w:t>
      </w:r>
    </w:p>
    <w:p>
      <w:pPr>
        <w:pStyle w:val="84"/>
        <w:ind w:left="0" w:leftChars="-250" w:hanging="525" w:hangingChars="250"/>
        <w:jc w:val="right"/>
        <w:rPr>
          <w:rFonts w:hint="default" w:ascii="Times New Roman" w:eastAsia="黑体"/>
          <w:szCs w:val="21"/>
          <w:lang w:val="en-US" w:eastAsia="zh-CN"/>
        </w:rPr>
      </w:pPr>
      <w:r>
        <w:rPr>
          <w:rFonts w:hint="eastAsia" w:ascii="Times New Roman"/>
          <w:szCs w:val="21"/>
        </w:rPr>
        <w:t>单位为</w:t>
      </w:r>
      <w:r>
        <w:rPr>
          <w:rFonts w:hint="eastAsia" w:ascii="Times New Roman"/>
          <w:szCs w:val="21"/>
          <w:lang w:val="en-US" w:eastAsia="zh-CN"/>
        </w:rPr>
        <w:t>kV</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1562"/>
        <w:gridCol w:w="1560"/>
        <w:gridCol w:w="1413"/>
        <w:gridCol w:w="1562"/>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pct"/>
            <w:noWrap w:val="0"/>
            <w:vAlign w:val="top"/>
          </w:tcPr>
          <w:p>
            <w:pPr>
              <w:pStyle w:val="32"/>
              <w:tabs>
                <w:tab w:val="center" w:pos="4201"/>
                <w:tab w:val="right" w:leader="dot" w:pos="9298"/>
              </w:tabs>
              <w:ind w:leftChars="-41" w:right="-92" w:rightChars="-44" w:hanging="86" w:hangingChars="48"/>
              <w:jc w:val="center"/>
              <w:rPr>
                <w:rFonts w:hint="eastAsia" w:ascii="Times New Roman"/>
                <w:sz w:val="18"/>
                <w:szCs w:val="18"/>
              </w:rPr>
            </w:pPr>
            <w:r>
              <w:rPr>
                <w:rFonts w:hint="eastAsia" w:ascii="Times New Roman"/>
                <w:sz w:val="18"/>
                <w:szCs w:val="18"/>
              </w:rPr>
              <w:t>系统标称电压</w:t>
            </w:r>
          </w:p>
          <w:p>
            <w:pPr>
              <w:pStyle w:val="32"/>
              <w:tabs>
                <w:tab w:val="center" w:pos="4201"/>
                <w:tab w:val="right" w:leader="dot" w:pos="9298"/>
              </w:tabs>
              <w:ind w:leftChars="-41" w:right="-92" w:rightChars="-44" w:hanging="86" w:hangingChars="48"/>
              <w:jc w:val="center"/>
              <w:rPr>
                <w:rFonts w:ascii="Times New Roman"/>
                <w:sz w:val="18"/>
                <w:szCs w:val="18"/>
              </w:rPr>
            </w:pPr>
            <w:r>
              <w:rPr>
                <w:rFonts w:hint="eastAsia" w:ascii="Times New Roman"/>
                <w:sz w:val="18"/>
                <w:szCs w:val="18"/>
              </w:rPr>
              <w:t>（</w:t>
            </w:r>
            <w:r>
              <w:rPr>
                <w:rFonts w:ascii="Times New Roman"/>
                <w:sz w:val="18"/>
                <w:szCs w:val="18"/>
              </w:rPr>
              <w:t>方均根值</w:t>
            </w:r>
            <w:r>
              <w:rPr>
                <w:rFonts w:hint="eastAsia" w:ascii="Times New Roman"/>
                <w:sz w:val="18"/>
                <w:szCs w:val="18"/>
              </w:rPr>
              <w:t>）</w:t>
            </w:r>
          </w:p>
        </w:tc>
        <w:tc>
          <w:tcPr>
            <w:tcW w:w="816" w:type="pct"/>
            <w:noWrap w:val="0"/>
            <w:vAlign w:val="center"/>
          </w:tcPr>
          <w:p>
            <w:pPr>
              <w:pStyle w:val="32"/>
              <w:tabs>
                <w:tab w:val="center" w:pos="4201"/>
                <w:tab w:val="right" w:leader="dot" w:pos="9298"/>
              </w:tabs>
              <w:ind w:leftChars="-41" w:right="-92" w:rightChars="-44" w:hanging="86" w:hangingChars="48"/>
              <w:jc w:val="center"/>
              <w:rPr>
                <w:rFonts w:ascii="Times New Roman"/>
                <w:sz w:val="18"/>
                <w:szCs w:val="18"/>
                <w:vertAlign w:val="subscript"/>
              </w:rPr>
            </w:pPr>
            <w:r>
              <w:rPr>
                <w:rFonts w:ascii="Times New Roman"/>
                <w:sz w:val="18"/>
                <w:szCs w:val="18"/>
              </w:rPr>
              <w:t>设备最高电压</w:t>
            </w:r>
            <w:r>
              <w:rPr>
                <w:rFonts w:ascii="Times New Roman"/>
                <w:i/>
                <w:iCs/>
                <w:sz w:val="18"/>
                <w:szCs w:val="18"/>
              </w:rPr>
              <w:t>U</w:t>
            </w:r>
            <w:r>
              <w:rPr>
                <w:rFonts w:ascii="Times New Roman"/>
                <w:i/>
                <w:sz w:val="18"/>
                <w:szCs w:val="18"/>
                <w:vertAlign w:val="subscript"/>
              </w:rPr>
              <w:t>m</w:t>
            </w:r>
          </w:p>
          <w:p>
            <w:pPr>
              <w:pStyle w:val="32"/>
              <w:tabs>
                <w:tab w:val="center" w:pos="4201"/>
                <w:tab w:val="right" w:leader="dot" w:pos="9298"/>
              </w:tabs>
              <w:ind w:leftChars="-41" w:right="-92" w:rightChars="-44" w:hanging="86" w:hangingChars="48"/>
              <w:jc w:val="center"/>
              <w:rPr>
                <w:rFonts w:ascii="Times New Roman"/>
                <w:sz w:val="18"/>
                <w:szCs w:val="18"/>
              </w:rPr>
            </w:pPr>
            <w:r>
              <w:rPr>
                <w:rFonts w:ascii="Times New Roman"/>
                <w:sz w:val="18"/>
                <w:szCs w:val="18"/>
              </w:rPr>
              <w:t>（方均根值）</w:t>
            </w:r>
          </w:p>
        </w:tc>
        <w:tc>
          <w:tcPr>
            <w:tcW w:w="815" w:type="pct"/>
            <w:noWrap w:val="0"/>
            <w:vAlign w:val="center"/>
          </w:tcPr>
          <w:p>
            <w:pPr>
              <w:pStyle w:val="32"/>
              <w:tabs>
                <w:tab w:val="center" w:pos="4201"/>
                <w:tab w:val="right" w:leader="dot" w:pos="9298"/>
              </w:tabs>
              <w:ind w:left="1" w:leftChars="-45" w:right="-84" w:rightChars="-40" w:hanging="95" w:hangingChars="53"/>
              <w:jc w:val="center"/>
              <w:rPr>
                <w:rFonts w:ascii="Times New Roman"/>
                <w:sz w:val="18"/>
                <w:szCs w:val="18"/>
              </w:rPr>
            </w:pPr>
            <w:r>
              <w:rPr>
                <w:rFonts w:ascii="Times New Roman"/>
                <w:sz w:val="18"/>
                <w:szCs w:val="18"/>
              </w:rPr>
              <w:t>额定短时工频耐受电压（方均根值）</w:t>
            </w:r>
          </w:p>
        </w:tc>
        <w:tc>
          <w:tcPr>
            <w:tcW w:w="738" w:type="pct"/>
            <w:noWrap w:val="0"/>
            <w:vAlign w:val="center"/>
          </w:tcPr>
          <w:p>
            <w:pPr>
              <w:pStyle w:val="32"/>
              <w:tabs>
                <w:tab w:val="center" w:pos="4201"/>
                <w:tab w:val="right" w:leader="dot" w:pos="9298"/>
              </w:tabs>
              <w:ind w:left="1" w:leftChars="-44" w:right="-94" w:rightChars="-45" w:hanging="93" w:hangingChars="52"/>
              <w:jc w:val="center"/>
              <w:rPr>
                <w:rFonts w:ascii="Times New Roman"/>
                <w:sz w:val="18"/>
                <w:szCs w:val="18"/>
              </w:rPr>
            </w:pPr>
            <w:r>
              <w:rPr>
                <w:rFonts w:ascii="Times New Roman"/>
                <w:sz w:val="18"/>
                <w:szCs w:val="18"/>
              </w:rPr>
              <w:t>额定雷电冲击耐受电压（峰值）</w:t>
            </w:r>
          </w:p>
        </w:tc>
        <w:tc>
          <w:tcPr>
            <w:tcW w:w="816" w:type="pct"/>
            <w:noWrap w:val="0"/>
            <w:vAlign w:val="center"/>
          </w:tcPr>
          <w:p>
            <w:pPr>
              <w:pStyle w:val="32"/>
              <w:tabs>
                <w:tab w:val="center" w:pos="4201"/>
                <w:tab w:val="right" w:leader="dot" w:pos="9298"/>
              </w:tabs>
              <w:ind w:left="2" w:leftChars="-46" w:right="-90" w:rightChars="-43" w:hanging="99" w:hangingChars="55"/>
              <w:jc w:val="center"/>
              <w:rPr>
                <w:rFonts w:ascii="Times New Roman"/>
                <w:sz w:val="18"/>
                <w:szCs w:val="18"/>
              </w:rPr>
            </w:pPr>
            <w:r>
              <w:rPr>
                <w:rFonts w:ascii="Times New Roman"/>
                <w:sz w:val="18"/>
                <w:szCs w:val="18"/>
              </w:rPr>
              <w:t>额定操作冲击耐受电压（峰值）</w:t>
            </w:r>
          </w:p>
        </w:tc>
        <w:tc>
          <w:tcPr>
            <w:tcW w:w="1018" w:type="pct"/>
            <w:noWrap w:val="0"/>
            <w:vAlign w:val="center"/>
          </w:tcPr>
          <w:p>
            <w:pPr>
              <w:pStyle w:val="32"/>
              <w:tabs>
                <w:tab w:val="center" w:pos="4201"/>
                <w:tab w:val="right" w:leader="dot" w:pos="9298"/>
              </w:tabs>
              <w:ind w:left="2" w:leftChars="-46" w:right="-90" w:rightChars="-43" w:hanging="99" w:hangingChars="55"/>
              <w:jc w:val="center"/>
              <w:rPr>
                <w:rFonts w:ascii="Times New Roman"/>
                <w:sz w:val="18"/>
                <w:szCs w:val="18"/>
              </w:rPr>
            </w:pPr>
            <w:r>
              <w:rPr>
                <w:rFonts w:ascii="Times New Roman"/>
                <w:sz w:val="18"/>
                <w:szCs w:val="18"/>
              </w:rPr>
              <w:t>截断雷电冲击（内绝缘）耐受电压（峰值）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9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hint="eastAsia" w:ascii="Times New Roman"/>
                <w:sz w:val="18"/>
                <w:szCs w:val="18"/>
              </w:rPr>
              <w:t>10</w:t>
            </w:r>
          </w:p>
        </w:tc>
        <w:tc>
          <w:tcPr>
            <w:tcW w:w="816"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12</w:t>
            </w:r>
          </w:p>
        </w:tc>
        <w:tc>
          <w:tcPr>
            <w:tcW w:w="81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30/42</w:t>
            </w:r>
          </w:p>
        </w:tc>
        <w:tc>
          <w:tcPr>
            <w:tcW w:w="73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75</w:t>
            </w:r>
          </w:p>
        </w:tc>
        <w:tc>
          <w:tcPr>
            <w:tcW w:w="816"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w:t>
            </w:r>
          </w:p>
        </w:tc>
        <w:tc>
          <w:tcPr>
            <w:tcW w:w="101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9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hint="eastAsia" w:ascii="Times New Roman"/>
                <w:sz w:val="18"/>
                <w:szCs w:val="18"/>
              </w:rPr>
              <w:t>20</w:t>
            </w:r>
          </w:p>
        </w:tc>
        <w:tc>
          <w:tcPr>
            <w:tcW w:w="816"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24</w:t>
            </w:r>
          </w:p>
        </w:tc>
        <w:tc>
          <w:tcPr>
            <w:tcW w:w="81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50/65</w:t>
            </w:r>
          </w:p>
        </w:tc>
        <w:tc>
          <w:tcPr>
            <w:tcW w:w="73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125</w:t>
            </w:r>
          </w:p>
        </w:tc>
        <w:tc>
          <w:tcPr>
            <w:tcW w:w="816"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w:t>
            </w:r>
          </w:p>
        </w:tc>
        <w:tc>
          <w:tcPr>
            <w:tcW w:w="101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9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hint="eastAsia" w:ascii="Times New Roman"/>
                <w:sz w:val="18"/>
                <w:szCs w:val="18"/>
              </w:rPr>
              <w:t>35</w:t>
            </w:r>
          </w:p>
        </w:tc>
        <w:tc>
          <w:tcPr>
            <w:tcW w:w="816"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40.5</w:t>
            </w:r>
          </w:p>
        </w:tc>
        <w:tc>
          <w:tcPr>
            <w:tcW w:w="81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80/95</w:t>
            </w:r>
          </w:p>
        </w:tc>
        <w:tc>
          <w:tcPr>
            <w:tcW w:w="73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185/200</w:t>
            </w:r>
          </w:p>
        </w:tc>
        <w:tc>
          <w:tcPr>
            <w:tcW w:w="816"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w:t>
            </w:r>
          </w:p>
        </w:tc>
        <w:tc>
          <w:tcPr>
            <w:tcW w:w="101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95" w:type="pct"/>
            <w:vMerge w:val="restart"/>
            <w:noWrap w:val="0"/>
            <w:vAlign w:val="center"/>
          </w:tcPr>
          <w:p>
            <w:pPr>
              <w:pStyle w:val="32"/>
              <w:tabs>
                <w:tab w:val="center" w:pos="4201"/>
                <w:tab w:val="right" w:leader="dot" w:pos="9298"/>
              </w:tabs>
              <w:ind w:firstLine="0" w:firstLineChars="0"/>
              <w:jc w:val="center"/>
              <w:rPr>
                <w:rFonts w:ascii="Times New Roman"/>
                <w:sz w:val="18"/>
                <w:szCs w:val="18"/>
              </w:rPr>
            </w:pPr>
            <w:r>
              <w:rPr>
                <w:rFonts w:hint="eastAsia" w:ascii="Times New Roman"/>
                <w:sz w:val="18"/>
                <w:szCs w:val="18"/>
              </w:rPr>
              <w:t>66</w:t>
            </w:r>
          </w:p>
        </w:tc>
        <w:tc>
          <w:tcPr>
            <w:tcW w:w="816" w:type="pct"/>
            <w:vMerge w:val="restar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72.5</w:t>
            </w:r>
          </w:p>
        </w:tc>
        <w:tc>
          <w:tcPr>
            <w:tcW w:w="81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140</w:t>
            </w:r>
          </w:p>
        </w:tc>
        <w:tc>
          <w:tcPr>
            <w:tcW w:w="73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325</w:t>
            </w:r>
          </w:p>
        </w:tc>
        <w:tc>
          <w:tcPr>
            <w:tcW w:w="816"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w:t>
            </w:r>
          </w:p>
        </w:tc>
        <w:tc>
          <w:tcPr>
            <w:tcW w:w="101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95" w:type="pct"/>
            <w:vMerge w:val="continue"/>
            <w:noWrap w:val="0"/>
            <w:vAlign w:val="center"/>
          </w:tcPr>
          <w:p>
            <w:pPr>
              <w:pStyle w:val="32"/>
              <w:tabs>
                <w:tab w:val="center" w:pos="4201"/>
                <w:tab w:val="right" w:leader="dot" w:pos="9298"/>
              </w:tabs>
              <w:ind w:firstLine="0" w:firstLineChars="0"/>
              <w:jc w:val="center"/>
              <w:rPr>
                <w:rFonts w:ascii="Times New Roman"/>
                <w:sz w:val="18"/>
                <w:szCs w:val="18"/>
              </w:rPr>
            </w:pPr>
          </w:p>
        </w:tc>
        <w:tc>
          <w:tcPr>
            <w:tcW w:w="816" w:type="pct"/>
            <w:vMerge w:val="continue"/>
            <w:noWrap w:val="0"/>
            <w:vAlign w:val="center"/>
          </w:tcPr>
          <w:p>
            <w:pPr>
              <w:pStyle w:val="32"/>
              <w:tabs>
                <w:tab w:val="center" w:pos="4201"/>
                <w:tab w:val="right" w:leader="dot" w:pos="9298"/>
              </w:tabs>
              <w:ind w:firstLine="0" w:firstLineChars="0"/>
              <w:jc w:val="center"/>
              <w:rPr>
                <w:rFonts w:ascii="Times New Roman"/>
                <w:sz w:val="18"/>
                <w:szCs w:val="18"/>
              </w:rPr>
            </w:pPr>
          </w:p>
        </w:tc>
        <w:tc>
          <w:tcPr>
            <w:tcW w:w="81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160</w:t>
            </w:r>
          </w:p>
        </w:tc>
        <w:tc>
          <w:tcPr>
            <w:tcW w:w="73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350</w:t>
            </w:r>
          </w:p>
        </w:tc>
        <w:tc>
          <w:tcPr>
            <w:tcW w:w="816"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w:t>
            </w:r>
          </w:p>
        </w:tc>
        <w:tc>
          <w:tcPr>
            <w:tcW w:w="101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95" w:type="pct"/>
            <w:vMerge w:val="restart"/>
            <w:noWrap w:val="0"/>
            <w:vAlign w:val="center"/>
          </w:tcPr>
          <w:p>
            <w:pPr>
              <w:pStyle w:val="32"/>
              <w:tabs>
                <w:tab w:val="center" w:pos="4201"/>
                <w:tab w:val="right" w:leader="dot" w:pos="9298"/>
              </w:tabs>
              <w:ind w:firstLine="0" w:firstLineChars="0"/>
              <w:jc w:val="center"/>
              <w:rPr>
                <w:rFonts w:ascii="Times New Roman"/>
                <w:sz w:val="18"/>
                <w:szCs w:val="18"/>
              </w:rPr>
            </w:pPr>
            <w:r>
              <w:rPr>
                <w:rFonts w:hint="eastAsia" w:ascii="Times New Roman"/>
                <w:sz w:val="18"/>
                <w:szCs w:val="18"/>
              </w:rPr>
              <w:t>110</w:t>
            </w:r>
          </w:p>
        </w:tc>
        <w:tc>
          <w:tcPr>
            <w:tcW w:w="816" w:type="pct"/>
            <w:vMerge w:val="restar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126</w:t>
            </w:r>
          </w:p>
        </w:tc>
        <w:tc>
          <w:tcPr>
            <w:tcW w:w="81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185/200</w:t>
            </w:r>
          </w:p>
        </w:tc>
        <w:tc>
          <w:tcPr>
            <w:tcW w:w="73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450/480</w:t>
            </w:r>
          </w:p>
        </w:tc>
        <w:tc>
          <w:tcPr>
            <w:tcW w:w="816" w:type="pct"/>
            <w:vMerge w:val="restar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w:t>
            </w:r>
          </w:p>
        </w:tc>
        <w:tc>
          <w:tcPr>
            <w:tcW w:w="101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795" w:type="pct"/>
            <w:vMerge w:val="continue"/>
            <w:noWrap w:val="0"/>
            <w:vAlign w:val="center"/>
          </w:tcPr>
          <w:p>
            <w:pPr>
              <w:pStyle w:val="32"/>
              <w:tabs>
                <w:tab w:val="center" w:pos="4201"/>
                <w:tab w:val="right" w:leader="dot" w:pos="9298"/>
              </w:tabs>
              <w:ind w:firstLine="0" w:firstLineChars="0"/>
              <w:jc w:val="center"/>
              <w:rPr>
                <w:rFonts w:ascii="Times New Roman"/>
                <w:sz w:val="18"/>
                <w:szCs w:val="18"/>
              </w:rPr>
            </w:pPr>
          </w:p>
        </w:tc>
        <w:tc>
          <w:tcPr>
            <w:tcW w:w="816" w:type="pct"/>
            <w:vMerge w:val="continue"/>
            <w:noWrap w:val="0"/>
            <w:vAlign w:val="center"/>
          </w:tcPr>
          <w:p>
            <w:pPr>
              <w:pStyle w:val="32"/>
              <w:tabs>
                <w:tab w:val="center" w:pos="4201"/>
                <w:tab w:val="right" w:leader="dot" w:pos="9298"/>
              </w:tabs>
              <w:ind w:firstLine="0" w:firstLineChars="0"/>
              <w:jc w:val="center"/>
              <w:rPr>
                <w:rFonts w:ascii="Times New Roman"/>
                <w:sz w:val="18"/>
                <w:szCs w:val="18"/>
              </w:rPr>
            </w:pPr>
          </w:p>
        </w:tc>
        <w:tc>
          <w:tcPr>
            <w:tcW w:w="81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hint="eastAsia" w:ascii="Times New Roman"/>
                <w:sz w:val="18"/>
                <w:szCs w:val="18"/>
              </w:rPr>
              <w:t>200/230</w:t>
            </w:r>
          </w:p>
        </w:tc>
        <w:tc>
          <w:tcPr>
            <w:tcW w:w="73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550</w:t>
            </w:r>
          </w:p>
        </w:tc>
        <w:tc>
          <w:tcPr>
            <w:tcW w:w="816" w:type="pct"/>
            <w:vMerge w:val="continue"/>
            <w:noWrap w:val="0"/>
            <w:vAlign w:val="center"/>
          </w:tcPr>
          <w:p>
            <w:pPr>
              <w:pStyle w:val="32"/>
              <w:tabs>
                <w:tab w:val="center" w:pos="4201"/>
                <w:tab w:val="right" w:leader="dot" w:pos="9298"/>
              </w:tabs>
              <w:ind w:firstLine="0" w:firstLineChars="0"/>
              <w:jc w:val="center"/>
              <w:rPr>
                <w:rFonts w:ascii="Times New Roman"/>
                <w:sz w:val="18"/>
                <w:szCs w:val="18"/>
              </w:rPr>
            </w:pPr>
          </w:p>
        </w:tc>
        <w:tc>
          <w:tcPr>
            <w:tcW w:w="101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795" w:type="pct"/>
            <w:vMerge w:val="restart"/>
            <w:noWrap w:val="0"/>
            <w:vAlign w:val="center"/>
          </w:tcPr>
          <w:p>
            <w:pPr>
              <w:pStyle w:val="32"/>
              <w:tabs>
                <w:tab w:val="center" w:pos="4201"/>
                <w:tab w:val="right" w:leader="dot" w:pos="9298"/>
              </w:tabs>
              <w:ind w:firstLine="0" w:firstLineChars="0"/>
              <w:jc w:val="center"/>
              <w:rPr>
                <w:rFonts w:ascii="Times New Roman"/>
                <w:sz w:val="18"/>
                <w:szCs w:val="18"/>
              </w:rPr>
            </w:pPr>
            <w:r>
              <w:rPr>
                <w:rFonts w:hint="eastAsia" w:ascii="Times New Roman"/>
                <w:sz w:val="18"/>
                <w:szCs w:val="18"/>
              </w:rPr>
              <w:t>220</w:t>
            </w:r>
          </w:p>
        </w:tc>
        <w:tc>
          <w:tcPr>
            <w:tcW w:w="816" w:type="pct"/>
            <w:vMerge w:val="restar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252</w:t>
            </w:r>
          </w:p>
        </w:tc>
        <w:tc>
          <w:tcPr>
            <w:tcW w:w="81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395</w:t>
            </w:r>
          </w:p>
        </w:tc>
        <w:tc>
          <w:tcPr>
            <w:tcW w:w="73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950</w:t>
            </w:r>
          </w:p>
        </w:tc>
        <w:tc>
          <w:tcPr>
            <w:tcW w:w="816" w:type="pct"/>
            <w:vMerge w:val="restar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w:t>
            </w:r>
          </w:p>
        </w:tc>
        <w:tc>
          <w:tcPr>
            <w:tcW w:w="101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795" w:type="pct"/>
            <w:vMerge w:val="continue"/>
            <w:noWrap w:val="0"/>
            <w:vAlign w:val="center"/>
          </w:tcPr>
          <w:p>
            <w:pPr>
              <w:pStyle w:val="32"/>
              <w:tabs>
                <w:tab w:val="center" w:pos="4201"/>
                <w:tab w:val="right" w:leader="dot" w:pos="9298"/>
              </w:tabs>
              <w:ind w:firstLine="0" w:firstLineChars="0"/>
              <w:jc w:val="center"/>
              <w:rPr>
                <w:rFonts w:ascii="Times New Roman"/>
                <w:sz w:val="18"/>
                <w:szCs w:val="18"/>
              </w:rPr>
            </w:pPr>
          </w:p>
        </w:tc>
        <w:tc>
          <w:tcPr>
            <w:tcW w:w="816" w:type="pct"/>
            <w:vMerge w:val="continue"/>
            <w:noWrap w:val="0"/>
            <w:vAlign w:val="center"/>
          </w:tcPr>
          <w:p>
            <w:pPr>
              <w:pStyle w:val="32"/>
              <w:tabs>
                <w:tab w:val="center" w:pos="4201"/>
                <w:tab w:val="right" w:leader="dot" w:pos="9298"/>
              </w:tabs>
              <w:ind w:firstLine="0" w:firstLineChars="0"/>
              <w:jc w:val="center"/>
              <w:rPr>
                <w:rFonts w:ascii="Times New Roman"/>
                <w:sz w:val="18"/>
                <w:szCs w:val="18"/>
              </w:rPr>
            </w:pPr>
          </w:p>
        </w:tc>
        <w:tc>
          <w:tcPr>
            <w:tcW w:w="815"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395/460</w:t>
            </w:r>
          </w:p>
        </w:tc>
        <w:tc>
          <w:tcPr>
            <w:tcW w:w="73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1050</w:t>
            </w:r>
          </w:p>
        </w:tc>
        <w:tc>
          <w:tcPr>
            <w:tcW w:w="816" w:type="pct"/>
            <w:vMerge w:val="continue"/>
            <w:noWrap w:val="0"/>
            <w:vAlign w:val="center"/>
          </w:tcPr>
          <w:p>
            <w:pPr>
              <w:pStyle w:val="32"/>
              <w:tabs>
                <w:tab w:val="center" w:pos="4201"/>
                <w:tab w:val="right" w:leader="dot" w:pos="9298"/>
              </w:tabs>
              <w:ind w:firstLine="0" w:firstLineChars="0"/>
              <w:jc w:val="center"/>
              <w:rPr>
                <w:rFonts w:ascii="Times New Roman"/>
                <w:sz w:val="18"/>
                <w:szCs w:val="18"/>
              </w:rPr>
            </w:pPr>
          </w:p>
        </w:tc>
        <w:tc>
          <w:tcPr>
            <w:tcW w:w="1018" w:type="pct"/>
            <w:noWrap w:val="0"/>
            <w:vAlign w:val="center"/>
          </w:tcPr>
          <w:p>
            <w:pPr>
              <w:pStyle w:val="32"/>
              <w:tabs>
                <w:tab w:val="center" w:pos="4201"/>
                <w:tab w:val="right" w:leader="dot" w:pos="9298"/>
              </w:tabs>
              <w:ind w:firstLine="0" w:firstLineChars="0"/>
              <w:jc w:val="center"/>
              <w:rPr>
                <w:rFonts w:ascii="Times New Roman"/>
                <w:sz w:val="18"/>
                <w:szCs w:val="18"/>
              </w:rPr>
            </w:pPr>
            <w:r>
              <w:rPr>
                <w:rFonts w:ascii="Times New Roman"/>
                <w:sz w:val="18"/>
                <w:szCs w:val="18"/>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6"/>
            <w:noWrap w:val="0"/>
            <w:vAlign w:val="top"/>
          </w:tcPr>
          <w:p>
            <w:pPr>
              <w:pStyle w:val="92"/>
              <w:ind w:left="681"/>
              <w:rPr>
                <w:rFonts w:ascii="Times New Roman"/>
              </w:rPr>
            </w:pPr>
            <w:r>
              <w:rPr>
                <w:rFonts w:ascii="Times New Roman"/>
              </w:rPr>
              <w:t>对于斜线下的数值，额定短时</w:t>
            </w:r>
            <w:r>
              <w:rPr>
                <w:rFonts w:hint="eastAsia" w:ascii="Times New Roman"/>
                <w:lang w:val="en-US" w:eastAsia="zh-CN"/>
              </w:rPr>
              <w:t>交流</w:t>
            </w:r>
            <w:r>
              <w:rPr>
                <w:rFonts w:ascii="Times New Roman"/>
              </w:rPr>
              <w:t>耐受电压为设备外绝缘干状态下的耐受电压值，额定雷电冲击耐受电压为设备内绝缘的耐受电压值。</w:t>
            </w:r>
          </w:p>
        </w:tc>
      </w:tr>
    </w:tbl>
    <w:p>
      <w:pPr>
        <w:pStyle w:val="74"/>
        <w:bidi w:val="0"/>
        <w:ind w:left="1135" w:leftChars="0" w:hanging="1135" w:firstLineChars="0"/>
      </w:pPr>
      <w:bookmarkStart w:id="42" w:name="_Toc67263558"/>
      <w:bookmarkStart w:id="43" w:name="_Toc7555"/>
      <w:bookmarkStart w:id="44" w:name="_Toc84961991"/>
      <w:r>
        <w:t>一次</w:t>
      </w:r>
      <w:r>
        <w:rPr>
          <w:rFonts w:hint="eastAsia"/>
        </w:rPr>
        <w:t>端</w:t>
      </w:r>
      <w:r>
        <w:t>额定绝缘水平</w:t>
      </w:r>
      <w:bookmarkEnd w:id="42"/>
      <w:bookmarkEnd w:id="43"/>
      <w:bookmarkEnd w:id="44"/>
    </w:p>
    <w:p>
      <w:pPr>
        <w:pStyle w:val="32"/>
        <w:tabs>
          <w:tab w:val="center" w:pos="4201"/>
          <w:tab w:val="right" w:leader="dot" w:pos="9298"/>
        </w:tabs>
        <w:rPr>
          <w:rFonts w:hint="eastAsia" w:ascii="Times New Roman"/>
          <w:szCs w:val="21"/>
        </w:rPr>
      </w:pPr>
      <w:r>
        <w:rPr>
          <w:rFonts w:hint="eastAsia" w:ascii="Times New Roman"/>
          <w:szCs w:val="21"/>
        </w:rPr>
        <w:t>选取</w:t>
      </w:r>
      <w:r>
        <w:rPr>
          <w:rFonts w:ascii="Times New Roman"/>
          <w:szCs w:val="21"/>
        </w:rPr>
        <w:t>一次</w:t>
      </w:r>
      <w:r>
        <w:rPr>
          <w:rFonts w:hint="eastAsia" w:ascii="Times New Roman"/>
          <w:szCs w:val="21"/>
        </w:rPr>
        <w:t>端</w:t>
      </w:r>
      <w:r>
        <w:rPr>
          <w:rFonts w:ascii="Times New Roman"/>
          <w:szCs w:val="21"/>
        </w:rPr>
        <w:t>额定绝缘水平</w:t>
      </w:r>
      <w:r>
        <w:rPr>
          <w:rFonts w:hint="eastAsia" w:ascii="Times New Roman"/>
          <w:szCs w:val="21"/>
        </w:rPr>
        <w:t>应符合下列要求：</w:t>
      </w:r>
    </w:p>
    <w:p>
      <w:pPr>
        <w:pStyle w:val="32"/>
        <w:tabs>
          <w:tab w:val="center" w:pos="4201"/>
          <w:tab w:val="right" w:leader="dot" w:pos="9298"/>
        </w:tabs>
        <w:rPr>
          <w:rFonts w:hint="eastAsia" w:ascii="Times New Roman"/>
          <w:szCs w:val="21"/>
        </w:rPr>
      </w:pPr>
      <w:r>
        <w:rPr>
          <w:szCs w:val="21"/>
        </w:rPr>
        <w:t>——</w:t>
      </w:r>
      <w:r>
        <w:rPr>
          <w:rFonts w:ascii="Times New Roman"/>
          <w:szCs w:val="21"/>
        </w:rPr>
        <w:t>一次绕组的额定绝缘水平</w:t>
      </w:r>
      <w:r>
        <w:rPr>
          <w:rFonts w:hint="eastAsia" w:ascii="Times New Roman"/>
          <w:szCs w:val="21"/>
        </w:rPr>
        <w:t>应以</w:t>
      </w:r>
      <w:r>
        <w:rPr>
          <w:rFonts w:ascii="Times New Roman"/>
          <w:szCs w:val="21"/>
        </w:rPr>
        <w:t>表3</w:t>
      </w:r>
      <w:r>
        <w:rPr>
          <w:rFonts w:hint="eastAsia" w:ascii="Times New Roman"/>
          <w:szCs w:val="21"/>
        </w:rPr>
        <w:t>所列的设备最高电压</w:t>
      </w:r>
      <w:r>
        <w:rPr>
          <w:rFonts w:ascii="Times New Roman"/>
          <w:i/>
          <w:iCs/>
          <w:sz w:val="18"/>
          <w:szCs w:val="18"/>
        </w:rPr>
        <w:t>U</w:t>
      </w:r>
      <w:r>
        <w:rPr>
          <w:rFonts w:ascii="Times New Roman"/>
          <w:i/>
          <w:sz w:val="18"/>
          <w:szCs w:val="18"/>
          <w:vertAlign w:val="subscript"/>
        </w:rPr>
        <w:t>m</w:t>
      </w:r>
      <w:r>
        <w:rPr>
          <w:rFonts w:hint="eastAsia" w:ascii="Times New Roman"/>
          <w:szCs w:val="21"/>
        </w:rPr>
        <w:t>为依据；</w:t>
      </w:r>
    </w:p>
    <w:p>
      <w:pPr>
        <w:pStyle w:val="32"/>
        <w:tabs>
          <w:tab w:val="center" w:pos="4201"/>
          <w:tab w:val="right" w:leader="dot" w:pos="9298"/>
        </w:tabs>
        <w:rPr>
          <w:rFonts w:hint="eastAsia" w:ascii="Times New Roman"/>
        </w:rPr>
      </w:pPr>
      <w:r>
        <w:rPr>
          <w:szCs w:val="21"/>
        </w:rPr>
        <w:t>——</w:t>
      </w:r>
      <w:r>
        <w:rPr>
          <w:rFonts w:ascii="Times New Roman"/>
        </w:rPr>
        <w:t>对于暴露安装的产品，</w:t>
      </w:r>
      <w:r>
        <w:rPr>
          <w:rFonts w:hint="eastAsia" w:ascii="Times New Roman"/>
        </w:rPr>
        <w:t>宜</w:t>
      </w:r>
      <w:r>
        <w:rPr>
          <w:rFonts w:ascii="Times New Roman"/>
        </w:rPr>
        <w:t>选择最高的绝缘水平</w:t>
      </w:r>
      <w:r>
        <w:rPr>
          <w:rFonts w:hint="eastAsia" w:ascii="Times New Roman"/>
        </w:rPr>
        <w:t>；</w:t>
      </w:r>
    </w:p>
    <w:p>
      <w:pPr>
        <w:ind w:left="840" w:leftChars="200" w:hanging="420" w:hangingChars="200"/>
        <w:rPr>
          <w:rFonts w:hint="eastAsia"/>
          <w:szCs w:val="21"/>
        </w:rPr>
      </w:pPr>
      <w:r>
        <w:rPr>
          <w:szCs w:val="21"/>
        </w:rPr>
        <w:t>——</w:t>
      </w:r>
      <w:r>
        <w:rPr>
          <w:rFonts w:hint="eastAsia"/>
          <w:szCs w:val="21"/>
        </w:rPr>
        <w:t>对于安装在组合电器的电流互感器，其额定工频耐受电压水平应按GB/T 7674、GB/T 24836选取；</w:t>
      </w:r>
    </w:p>
    <w:p>
      <w:pPr>
        <w:ind w:left="840" w:leftChars="200" w:hanging="420" w:hangingChars="200"/>
        <w:rPr>
          <w:szCs w:val="21"/>
        </w:rPr>
      </w:pPr>
      <w:r>
        <w:rPr>
          <w:szCs w:val="21"/>
        </w:rPr>
        <w:t>——</w:t>
      </w:r>
      <w:r>
        <w:rPr>
          <w:rFonts w:hint="eastAsia" w:hAnsi="宋体" w:cs="宋体"/>
        </w:rPr>
        <w:t>设备最高电压为7.2 kV～40.5 kV的户</w:t>
      </w:r>
      <w:r>
        <w:rPr>
          <w:rFonts w:hint="eastAsia"/>
        </w:rPr>
        <w:t>内电流互感器外绝缘应能承受凝露耐受电压。凝露下的耐受电压值按表3选择。</w:t>
      </w:r>
    </w:p>
    <w:p>
      <w:pPr>
        <w:pStyle w:val="74"/>
        <w:bidi w:val="0"/>
        <w:ind w:left="1135" w:leftChars="0" w:hanging="1135" w:firstLineChars="0"/>
      </w:pPr>
      <w:bookmarkStart w:id="45" w:name="_Toc84961992"/>
      <w:bookmarkStart w:id="46" w:name="_Toc67263559"/>
      <w:bookmarkStart w:id="47" w:name="_Toc21966"/>
      <w:r>
        <w:t>段间绝缘、二次端绝缘、绕组匝间绝缘、地屏对地绝缘</w:t>
      </w:r>
      <w:bookmarkEnd w:id="45"/>
      <w:bookmarkEnd w:id="46"/>
      <w:bookmarkEnd w:id="47"/>
    </w:p>
    <w:p>
      <w:pPr>
        <w:autoSpaceDE w:val="0"/>
        <w:autoSpaceDN w:val="0"/>
        <w:ind w:firstLine="420" w:firstLineChars="200"/>
      </w:pPr>
      <w:r>
        <w:t>段间绝缘、二次端绝缘、绕组匝间绝缘、地屏对地绝缘</w:t>
      </w:r>
      <w:r>
        <w:rPr>
          <w:rFonts w:hint="eastAsia"/>
        </w:rPr>
        <w:t>的额定工频耐受电压应符合</w:t>
      </w:r>
      <w:r>
        <w:t>GB/T 20840.1、GB</w:t>
      </w:r>
      <w:r>
        <w:rPr>
          <w:rFonts w:hint="eastAsia"/>
        </w:rPr>
        <w:t>/T</w:t>
      </w:r>
      <w:r>
        <w:t xml:space="preserve"> 20840.2</w:t>
      </w:r>
      <w:r>
        <w:rPr>
          <w:rFonts w:hint="eastAsia"/>
        </w:rPr>
        <w:t>的要求</w:t>
      </w:r>
      <w:r>
        <w:t>。</w:t>
      </w:r>
    </w:p>
    <w:p>
      <w:pPr>
        <w:pStyle w:val="74"/>
        <w:bidi w:val="0"/>
        <w:ind w:left="1135" w:leftChars="0" w:hanging="1135" w:firstLineChars="0"/>
        <w:rPr>
          <w:rFonts w:hint="eastAsia"/>
        </w:rPr>
      </w:pPr>
      <w:bookmarkStart w:id="48" w:name="_Toc67263560"/>
      <w:bookmarkStart w:id="49" w:name="_Toc84961993"/>
      <w:bookmarkStart w:id="50" w:name="_Toc3800"/>
      <w:r>
        <w:t>额定输出</w:t>
      </w:r>
      <w:bookmarkEnd w:id="48"/>
      <w:bookmarkEnd w:id="49"/>
      <w:bookmarkEnd w:id="50"/>
    </w:p>
    <w:p>
      <w:pPr>
        <w:pStyle w:val="32"/>
        <w:tabs>
          <w:tab w:val="center" w:pos="4201"/>
          <w:tab w:val="right" w:leader="dot" w:pos="9298"/>
        </w:tabs>
        <w:rPr>
          <w:rFonts w:hint="eastAsia"/>
        </w:rPr>
      </w:pPr>
      <w:r>
        <w:rPr>
          <w:rFonts w:hint="eastAsia"/>
        </w:rPr>
        <w:t>不超过30VA的各测量级、P级和PR级的额定输出的标准值为∶2.5VA、5.0VA、10VA、15VA、20VA、25VA和30VA。超过30VA的数值可以按用途选择。</w:t>
      </w:r>
    </w:p>
    <w:p>
      <w:pPr>
        <w:pStyle w:val="74"/>
        <w:bidi w:val="0"/>
        <w:ind w:left="1135" w:leftChars="0" w:hanging="1135" w:firstLineChars="0"/>
        <w:rPr>
          <w:rFonts w:hint="eastAsia"/>
        </w:rPr>
      </w:pPr>
      <w:bookmarkStart w:id="51" w:name="_Toc326151926"/>
      <w:bookmarkStart w:id="52" w:name="_Toc67263561"/>
      <w:bookmarkStart w:id="53" w:name="_Toc14117"/>
      <w:bookmarkStart w:id="54" w:name="_Toc84961994"/>
      <w:bookmarkStart w:id="55" w:name="_Toc317177964"/>
      <w:r>
        <w:t>额定准确级</w:t>
      </w:r>
      <w:bookmarkEnd w:id="51"/>
      <w:bookmarkEnd w:id="52"/>
      <w:bookmarkEnd w:id="53"/>
      <w:bookmarkEnd w:id="54"/>
      <w:bookmarkEnd w:id="55"/>
    </w:p>
    <w:p>
      <w:pPr>
        <w:pStyle w:val="32"/>
        <w:tabs>
          <w:tab w:val="center" w:pos="4201"/>
          <w:tab w:val="right" w:leader="dot" w:pos="9298"/>
        </w:tabs>
      </w:pPr>
      <w:r>
        <w:rPr>
          <w:rFonts w:hint="eastAsia"/>
        </w:rPr>
        <w:t>电流互感器的额定准确级应</w:t>
      </w:r>
      <w:r>
        <w:rPr>
          <w:rFonts w:hint="eastAsia" w:ascii="Times New Roman"/>
        </w:rPr>
        <w:t>符合</w:t>
      </w:r>
      <w:r>
        <w:rPr>
          <w:rFonts w:ascii="Times New Roman"/>
        </w:rPr>
        <w:t>GB/T 20840.2</w:t>
      </w:r>
      <w:r>
        <w:rPr>
          <w:rFonts w:hint="eastAsia"/>
        </w:rPr>
        <w:t>的要求。</w:t>
      </w:r>
    </w:p>
    <w:p>
      <w:pPr>
        <w:pStyle w:val="74"/>
        <w:bidi w:val="0"/>
        <w:ind w:left="1135" w:leftChars="0" w:hanging="1135" w:firstLineChars="0"/>
      </w:pPr>
      <w:bookmarkStart w:id="56" w:name="_Toc67263562"/>
      <w:bookmarkStart w:id="57" w:name="_Toc84961995"/>
      <w:bookmarkStart w:id="58" w:name="_Toc6255"/>
      <w:r>
        <w:t>额定一次电流标准值</w:t>
      </w:r>
      <w:bookmarkEnd w:id="56"/>
      <w:bookmarkEnd w:id="57"/>
      <w:bookmarkEnd w:id="58"/>
    </w:p>
    <w:p>
      <w:pPr>
        <w:autoSpaceDE w:val="0"/>
        <w:autoSpaceDN w:val="0"/>
        <w:ind w:firstLine="420" w:firstLineChars="200"/>
      </w:pPr>
      <w:r>
        <w:t>额定一次电流标准值</w:t>
      </w:r>
      <w:r>
        <w:rPr>
          <w:rFonts w:hint="eastAsia"/>
        </w:rPr>
        <w:t>应符合</w:t>
      </w:r>
      <w:r>
        <w:rPr>
          <w:kern w:val="0"/>
          <w:szCs w:val="20"/>
        </w:rPr>
        <w:t>GB/T 20840.2</w:t>
      </w:r>
      <w:r>
        <w:rPr>
          <w:rFonts w:hint="eastAsia" w:ascii="宋体"/>
          <w:kern w:val="0"/>
          <w:szCs w:val="20"/>
        </w:rPr>
        <w:t>的要求。</w:t>
      </w:r>
    </w:p>
    <w:p>
      <w:pPr>
        <w:pStyle w:val="74"/>
        <w:bidi w:val="0"/>
        <w:ind w:left="1135" w:leftChars="0" w:hanging="1135" w:firstLineChars="0"/>
      </w:pPr>
      <w:bookmarkStart w:id="59" w:name="_Toc67263563"/>
      <w:bookmarkStart w:id="60" w:name="_Toc10415"/>
      <w:bookmarkStart w:id="61" w:name="_Toc84961996"/>
      <w:r>
        <w:t>额定二次电流标准值</w:t>
      </w:r>
      <w:bookmarkEnd w:id="59"/>
      <w:bookmarkEnd w:id="60"/>
      <w:bookmarkEnd w:id="61"/>
    </w:p>
    <w:p>
      <w:pPr>
        <w:autoSpaceDE w:val="0"/>
        <w:autoSpaceDN w:val="0"/>
        <w:ind w:firstLine="420" w:firstLineChars="200"/>
      </w:pPr>
      <w:r>
        <w:t>额定</w:t>
      </w:r>
      <w:r>
        <w:rPr>
          <w:rFonts w:hint="eastAsia"/>
        </w:rPr>
        <w:t>二</w:t>
      </w:r>
      <w:r>
        <w:t>次电流标准值</w:t>
      </w:r>
      <w:r>
        <w:rPr>
          <w:rFonts w:hint="eastAsia"/>
        </w:rPr>
        <w:t>应符合</w:t>
      </w:r>
      <w:r>
        <w:t>GB/T 20840.2</w:t>
      </w:r>
      <w:r>
        <w:rPr>
          <w:rFonts w:hint="eastAsia"/>
        </w:rPr>
        <w:t>的要求。</w:t>
      </w:r>
    </w:p>
    <w:p>
      <w:pPr>
        <w:pStyle w:val="74"/>
        <w:bidi w:val="0"/>
        <w:ind w:left="1135" w:leftChars="0" w:hanging="1135" w:firstLineChars="0"/>
      </w:pPr>
      <w:bookmarkStart w:id="62" w:name="_Toc67263564"/>
      <w:bookmarkStart w:id="63" w:name="_Toc21382"/>
      <w:bookmarkStart w:id="64" w:name="_Toc84961997"/>
      <w:r>
        <w:t>额定连续热电流标准值</w:t>
      </w:r>
      <w:bookmarkEnd w:id="62"/>
      <w:bookmarkEnd w:id="63"/>
      <w:bookmarkEnd w:id="64"/>
    </w:p>
    <w:p>
      <w:pPr>
        <w:autoSpaceDE w:val="0"/>
        <w:autoSpaceDN w:val="0"/>
        <w:ind w:firstLine="420" w:firstLineChars="200"/>
      </w:pPr>
      <w:r>
        <w:t>额定连续热电流</w:t>
      </w:r>
      <w:r>
        <w:rPr>
          <w:rFonts w:hint="eastAsia"/>
        </w:rPr>
        <w:t>应符合</w:t>
      </w:r>
      <w:r>
        <w:t>GB/T 20840.2</w:t>
      </w:r>
      <w:r>
        <w:rPr>
          <w:rFonts w:hint="eastAsia"/>
        </w:rPr>
        <w:t>的要求。</w:t>
      </w:r>
    </w:p>
    <w:p>
      <w:pPr>
        <w:pStyle w:val="74"/>
        <w:bidi w:val="0"/>
        <w:ind w:left="1135" w:leftChars="0" w:hanging="1135" w:firstLineChars="0"/>
      </w:pPr>
      <w:bookmarkStart w:id="65" w:name="_Toc67263565"/>
      <w:bookmarkStart w:id="66" w:name="_Toc6249"/>
      <w:bookmarkStart w:id="67" w:name="_Toc84961998"/>
      <w:r>
        <w:t>短时电流额定值</w:t>
      </w:r>
      <w:bookmarkEnd w:id="65"/>
      <w:bookmarkEnd w:id="66"/>
      <w:bookmarkEnd w:id="67"/>
    </w:p>
    <w:p>
      <w:pPr>
        <w:pStyle w:val="80"/>
        <w:numPr>
          <w:ilvl w:val="2"/>
          <w:numId w:val="0"/>
        </w:numPr>
        <w:bidi w:val="0"/>
        <w:ind w:left="0" w:leftChars="0" w:firstLine="0" w:firstLineChars="0"/>
      </w:pPr>
      <w:r>
        <w:rPr>
          <w:rFonts w:hint="eastAsia" w:hAnsi="Times New Roman" w:cs="Times New Roman"/>
          <w:b w:val="0"/>
          <w:i w:val="0"/>
          <w:sz w:val="21"/>
          <w:lang w:val="en-US" w:eastAsia="zh-CN" w:bidi="ar-SA"/>
        </w:rPr>
        <w:t>6</w:t>
      </w:r>
      <w:r>
        <w:rPr>
          <w:rFonts w:hint="eastAsia" w:ascii="黑体" w:hAnsi="Times New Roman" w:eastAsia="黑体" w:cs="Times New Roman"/>
          <w:b w:val="0"/>
          <w:i w:val="0"/>
          <w:sz w:val="21"/>
          <w:lang w:val="en-US" w:eastAsia="zh-CN" w:bidi="ar-SA"/>
        </w:rPr>
        <w:t>.</w:t>
      </w:r>
      <w:r>
        <w:rPr>
          <w:rFonts w:hint="eastAsia" w:hAnsi="Times New Roman" w:cs="Times New Roman"/>
          <w:b w:val="0"/>
          <w:i w:val="0"/>
          <w:sz w:val="21"/>
          <w:lang w:val="en-US" w:eastAsia="zh-CN" w:bidi="ar-SA"/>
        </w:rPr>
        <w:t>9</w:t>
      </w:r>
      <w:r>
        <w:rPr>
          <w:rFonts w:hint="eastAsia" w:ascii="黑体" w:hAnsi="Times New Roman" w:eastAsia="黑体" w:cs="Times New Roman"/>
          <w:b w:val="0"/>
          <w:i w:val="0"/>
          <w:sz w:val="21"/>
          <w:lang w:val="en-US" w:eastAsia="zh-CN" w:bidi="ar-SA"/>
        </w:rPr>
        <w:t>.1　</w:t>
      </w:r>
      <w:r>
        <w:t>额定短时热电流</w:t>
      </w:r>
    </w:p>
    <w:p>
      <w:pPr>
        <w:autoSpaceDE w:val="0"/>
        <w:autoSpaceDN w:val="0"/>
        <w:ind w:firstLine="420" w:firstLineChars="200"/>
        <w:rPr>
          <w:highlight w:val="yellow"/>
        </w:rPr>
      </w:pPr>
      <w:r>
        <w:rPr>
          <w:highlight w:val="none"/>
        </w:rPr>
        <w:t>额定短时热电流的持续时间标准值</w:t>
      </w:r>
      <w:r>
        <w:rPr>
          <w:rFonts w:hint="eastAsia"/>
          <w:highlight w:val="none"/>
        </w:rPr>
        <w:t>应</w:t>
      </w:r>
      <w:r>
        <w:rPr>
          <w:highlight w:val="none"/>
        </w:rPr>
        <w:t>为1s</w:t>
      </w:r>
      <w:r>
        <w:rPr>
          <w:rFonts w:hint="eastAsia"/>
          <w:highlight w:val="none"/>
        </w:rPr>
        <w:t>，额定短时热电流应不小于系统短路电流。</w:t>
      </w:r>
    </w:p>
    <w:p>
      <w:pPr>
        <w:pStyle w:val="80"/>
        <w:numPr>
          <w:ilvl w:val="2"/>
          <w:numId w:val="0"/>
        </w:numPr>
        <w:bidi w:val="0"/>
        <w:ind w:left="0" w:leftChars="0" w:firstLine="0" w:firstLineChars="0"/>
      </w:pPr>
      <w:r>
        <w:rPr>
          <w:rFonts w:hint="eastAsia" w:hAnsi="Times New Roman" w:cs="Times New Roman"/>
          <w:b w:val="0"/>
          <w:i w:val="0"/>
          <w:sz w:val="21"/>
          <w:lang w:val="en-US" w:eastAsia="zh-CN" w:bidi="ar-SA"/>
        </w:rPr>
        <w:t>6</w:t>
      </w:r>
      <w:r>
        <w:rPr>
          <w:rFonts w:hint="eastAsia" w:ascii="黑体" w:hAnsi="Times New Roman" w:eastAsia="黑体" w:cs="Times New Roman"/>
          <w:b w:val="0"/>
          <w:i w:val="0"/>
          <w:sz w:val="21"/>
          <w:lang w:val="en-US" w:eastAsia="zh-CN" w:bidi="ar-SA"/>
        </w:rPr>
        <w:t>.</w:t>
      </w:r>
      <w:r>
        <w:rPr>
          <w:rFonts w:hint="eastAsia" w:hAnsi="Times New Roman" w:cs="Times New Roman"/>
          <w:b w:val="0"/>
          <w:i w:val="0"/>
          <w:sz w:val="21"/>
          <w:lang w:val="en-US" w:eastAsia="zh-CN" w:bidi="ar-SA"/>
        </w:rPr>
        <w:t>9</w:t>
      </w:r>
      <w:r>
        <w:rPr>
          <w:rFonts w:hint="eastAsia" w:ascii="黑体" w:hAnsi="Times New Roman" w:eastAsia="黑体" w:cs="Times New Roman"/>
          <w:b w:val="0"/>
          <w:i w:val="0"/>
          <w:sz w:val="21"/>
          <w:lang w:val="en-US" w:eastAsia="zh-CN" w:bidi="ar-SA"/>
        </w:rPr>
        <w:t>.2　</w:t>
      </w:r>
      <w:r>
        <w:t>额定动稳定电流</w:t>
      </w:r>
    </w:p>
    <w:p>
      <w:pPr>
        <w:autoSpaceDE w:val="0"/>
        <w:autoSpaceDN w:val="0"/>
        <w:ind w:firstLine="420" w:firstLineChars="200"/>
      </w:pPr>
      <w:r>
        <w:t>额定动稳定电流的标准值</w:t>
      </w:r>
      <w:r>
        <w:rPr>
          <w:rFonts w:hint="eastAsia"/>
        </w:rPr>
        <w:t>应为</w:t>
      </w:r>
      <w:r>
        <w:t>额定短时热电流的2.5倍。</w:t>
      </w:r>
    </w:p>
    <w:p>
      <w:pPr>
        <w:pStyle w:val="74"/>
        <w:bidi w:val="0"/>
        <w:ind w:left="1135" w:leftChars="0" w:hanging="1135" w:firstLineChars="0"/>
      </w:pPr>
      <w:bookmarkStart w:id="68" w:name="_Toc12538"/>
      <w:bookmarkStart w:id="69" w:name="_Toc84961999"/>
      <w:bookmarkStart w:id="70" w:name="_Toc67263567"/>
      <w:r>
        <w:t>外绝缘要求</w:t>
      </w:r>
      <w:bookmarkEnd w:id="68"/>
      <w:bookmarkEnd w:id="69"/>
      <w:bookmarkEnd w:id="70"/>
    </w:p>
    <w:p>
      <w:pPr>
        <w:pStyle w:val="80"/>
        <w:numPr>
          <w:ilvl w:val="2"/>
          <w:numId w:val="0"/>
        </w:numPr>
        <w:bidi w:val="0"/>
        <w:ind w:left="0" w:leftChars="0" w:firstLine="0" w:firstLineChars="0"/>
      </w:pPr>
      <w:r>
        <w:rPr>
          <w:rFonts w:hint="eastAsia" w:hAnsi="Times New Roman" w:cs="Times New Roman"/>
          <w:b w:val="0"/>
          <w:i w:val="0"/>
          <w:sz w:val="21"/>
          <w:lang w:val="en-US" w:eastAsia="zh-CN" w:bidi="ar-SA"/>
        </w:rPr>
        <w:t>6</w:t>
      </w:r>
      <w:r>
        <w:rPr>
          <w:rFonts w:hint="eastAsia" w:ascii="黑体" w:hAnsi="Times New Roman" w:eastAsia="黑体" w:cs="Times New Roman"/>
          <w:b w:val="0"/>
          <w:i w:val="0"/>
          <w:sz w:val="21"/>
          <w:lang w:val="en-US" w:eastAsia="zh-CN" w:bidi="ar-SA"/>
        </w:rPr>
        <w:t>.</w:t>
      </w:r>
      <w:r>
        <w:rPr>
          <w:rFonts w:hint="eastAsia" w:hAnsi="Times New Roman" w:cs="Times New Roman"/>
          <w:b w:val="0"/>
          <w:i w:val="0"/>
          <w:sz w:val="21"/>
          <w:lang w:val="en-US" w:eastAsia="zh-CN" w:bidi="ar-SA"/>
        </w:rPr>
        <w:t>10</w:t>
      </w:r>
      <w:r>
        <w:rPr>
          <w:rFonts w:hint="eastAsia" w:ascii="黑体" w:hAnsi="Times New Roman" w:eastAsia="黑体" w:cs="Times New Roman"/>
          <w:b w:val="0"/>
          <w:i w:val="0"/>
          <w:sz w:val="21"/>
          <w:lang w:val="en-US" w:eastAsia="zh-CN" w:bidi="ar-SA"/>
        </w:rPr>
        <w:t>.</w:t>
      </w:r>
      <w:r>
        <w:rPr>
          <w:rFonts w:hint="eastAsia" w:hAnsi="Times New Roman" w:cs="Times New Roman"/>
          <w:b w:val="0"/>
          <w:i w:val="0"/>
          <w:sz w:val="21"/>
          <w:lang w:val="en-US" w:eastAsia="zh-CN" w:bidi="ar-SA"/>
        </w:rPr>
        <w:t>1</w:t>
      </w:r>
      <w:r>
        <w:rPr>
          <w:rFonts w:hint="eastAsia" w:ascii="黑体" w:hAnsi="Times New Roman" w:eastAsia="黑体" w:cs="Times New Roman"/>
          <w:b w:val="0"/>
          <w:i w:val="0"/>
          <w:sz w:val="21"/>
          <w:lang w:val="en-US" w:eastAsia="zh-CN" w:bidi="ar-SA"/>
        </w:rPr>
        <w:t>　</w:t>
      </w:r>
      <w:r>
        <w:t>一般要求</w:t>
      </w:r>
    </w:p>
    <w:p>
      <w:pPr>
        <w:pStyle w:val="32"/>
        <w:tabs>
          <w:tab w:val="center" w:pos="4201"/>
          <w:tab w:val="right" w:leader="dot" w:pos="9298"/>
        </w:tabs>
        <w:rPr>
          <w:rFonts w:hint="eastAsia" w:ascii="Times New Roman"/>
        </w:rPr>
      </w:pPr>
      <w:r>
        <w:rPr>
          <w:rFonts w:hint="eastAsia" w:ascii="Times New Roman"/>
        </w:rPr>
        <w:t>电流互感器外绝缘应符合下列要求：</w:t>
      </w:r>
    </w:p>
    <w:p>
      <w:pPr>
        <w:ind w:left="840" w:leftChars="200" w:hanging="420" w:hangingChars="200"/>
        <w:rPr>
          <w:szCs w:val="21"/>
        </w:rPr>
      </w:pPr>
      <w:r>
        <w:rPr>
          <w:szCs w:val="21"/>
        </w:rPr>
        <w:t>——电流互感器外绝缘应按照现场污秽分区图及GB/T 26218.2、GB/T 26218.3选定。对易受污秽影响的电流互感器，表</w:t>
      </w:r>
      <w:r>
        <w:rPr>
          <w:rFonts w:hint="eastAsia"/>
          <w:szCs w:val="21"/>
          <w:lang w:val="en-US" w:eastAsia="zh-CN"/>
        </w:rPr>
        <w:t>4</w:t>
      </w:r>
      <w:r>
        <w:rPr>
          <w:szCs w:val="21"/>
        </w:rPr>
        <w:t>给出了给定现场污秽度（SPS）等级下</w:t>
      </w:r>
      <w:r>
        <w:rPr>
          <w:rFonts w:hint="eastAsia"/>
          <w:szCs w:val="21"/>
        </w:rPr>
        <w:t>电流</w:t>
      </w:r>
      <w:r>
        <w:rPr>
          <w:szCs w:val="21"/>
        </w:rPr>
        <w:t>互感器外绝缘的最小参考统一爬电比距（RUSCD）；</w:t>
      </w:r>
    </w:p>
    <w:p>
      <w:pPr>
        <w:ind w:left="840" w:leftChars="200" w:hanging="420" w:hangingChars="200"/>
        <w:rPr>
          <w:szCs w:val="21"/>
        </w:rPr>
      </w:pPr>
      <w:r>
        <w:rPr>
          <w:szCs w:val="21"/>
        </w:rPr>
        <w:t>——在等级e或超出等级e的异常高的现场污秽度SPS情况下，</w:t>
      </w:r>
      <w:r>
        <w:rPr>
          <w:rFonts w:hint="eastAsia"/>
          <w:szCs w:val="21"/>
        </w:rPr>
        <w:t>表4给出的</w:t>
      </w:r>
      <w:r>
        <w:rPr>
          <w:szCs w:val="21"/>
        </w:rPr>
        <w:t>最小参考统一爬电比距RUSCD可能不够。污秽等级取决于运行经验以及/或实验室试验结果的，可以使用较高的统一爬电比距USCD</w:t>
      </w:r>
      <w:r>
        <w:rPr>
          <w:rFonts w:hint="eastAsia"/>
          <w:szCs w:val="21"/>
        </w:rPr>
        <w:t>，</w:t>
      </w:r>
      <w:r>
        <w:rPr>
          <w:szCs w:val="21"/>
        </w:rPr>
        <w:t>在某些情况下减污措施可能是有用的</w:t>
      </w:r>
      <w:r>
        <w:rPr>
          <w:rFonts w:hint="eastAsia"/>
          <w:szCs w:val="21"/>
        </w:rPr>
        <w:t>；</w:t>
      </w:r>
    </w:p>
    <w:p>
      <w:pPr>
        <w:pStyle w:val="32"/>
        <w:tabs>
          <w:tab w:val="center" w:pos="4201"/>
          <w:tab w:val="right" w:leader="dot" w:pos="9298"/>
        </w:tabs>
        <w:rPr>
          <w:rFonts w:hint="eastAsia" w:ascii="Times New Roman"/>
        </w:rPr>
      </w:pPr>
      <w:r>
        <w:rPr>
          <w:szCs w:val="21"/>
        </w:rPr>
        <w:t>——</w:t>
      </w:r>
      <w:r>
        <w:rPr>
          <w:rFonts w:ascii="Times New Roman"/>
        </w:rPr>
        <w:t>对复合外套按同等条件要求</w:t>
      </w:r>
      <w:r>
        <w:rPr>
          <w:rFonts w:hint="eastAsia" w:ascii="Times New Roman"/>
        </w:rPr>
        <w:t>。</w:t>
      </w:r>
    </w:p>
    <w:p>
      <w:pPr>
        <w:pStyle w:val="32"/>
        <w:tabs>
          <w:tab w:val="center" w:pos="4201"/>
          <w:tab w:val="right" w:leader="dot" w:pos="9298"/>
        </w:tabs>
        <w:ind w:firstLine="405" w:firstLineChars="225"/>
        <w:rPr>
          <w:rFonts w:hint="eastAsia" w:ascii="Times New Roman"/>
          <w:sz w:val="18"/>
          <w:szCs w:val="18"/>
        </w:rPr>
      </w:pPr>
      <w:r>
        <w:rPr>
          <w:rFonts w:ascii="Times New Roman" w:eastAsia="黑体"/>
          <w:sz w:val="18"/>
          <w:szCs w:val="18"/>
        </w:rPr>
        <w:t>注：</w:t>
      </w:r>
      <w:r>
        <w:rPr>
          <w:rFonts w:hint="eastAsia" w:ascii="Times New Roman"/>
          <w:sz w:val="18"/>
          <w:szCs w:val="18"/>
        </w:rPr>
        <w:t>本文件与GB/T 20840.1</w:t>
      </w:r>
      <w:r>
        <w:rPr>
          <w:rFonts w:ascii="Times New Roman"/>
          <w:sz w:val="18"/>
          <w:szCs w:val="18"/>
        </w:rPr>
        <w:t>-2010</w:t>
      </w:r>
      <w:r>
        <w:rPr>
          <w:rFonts w:hint="eastAsia" w:ascii="Times New Roman"/>
          <w:sz w:val="18"/>
          <w:szCs w:val="18"/>
        </w:rPr>
        <w:t>相比，污秽等级的划分和爬电比距、爬电因数的要求有所不同，见附录B</w:t>
      </w:r>
      <w:r>
        <w:rPr>
          <w:rFonts w:ascii="Times New Roman"/>
          <w:sz w:val="18"/>
          <w:szCs w:val="18"/>
        </w:rPr>
        <w:t>。</w:t>
      </w:r>
    </w:p>
    <w:p>
      <w:pPr>
        <w:pStyle w:val="84"/>
        <w:ind w:left="0" w:leftChars="-250" w:hanging="525" w:hangingChars="250"/>
        <w:rPr>
          <w:rFonts w:ascii="Times New Roman"/>
          <w:szCs w:val="21"/>
        </w:rPr>
      </w:pPr>
      <w:r>
        <w:rPr>
          <w:rFonts w:hint="eastAsia" w:ascii="Times New Roman"/>
          <w:szCs w:val="21"/>
          <w:lang w:val="en-US" w:eastAsia="zh-CN"/>
        </w:rPr>
        <w:t xml:space="preserve">表4 </w:t>
      </w:r>
      <w:r>
        <w:rPr>
          <w:rFonts w:ascii="Times New Roman"/>
          <w:szCs w:val="21"/>
        </w:rPr>
        <w:t>电流互感器不同污秽等级下的参考统一爬电比距</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438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autoSpaceDE w:val="0"/>
              <w:autoSpaceDN w:val="0"/>
              <w:jc w:val="center"/>
              <w:rPr>
                <w:sz w:val="18"/>
                <w:szCs w:val="18"/>
              </w:rPr>
            </w:pPr>
            <w:r>
              <w:rPr>
                <w:sz w:val="18"/>
                <w:szCs w:val="18"/>
              </w:rPr>
              <w:t>污秽</w:t>
            </w:r>
            <w:r>
              <w:rPr>
                <w:rFonts w:hint="eastAsia"/>
                <w:sz w:val="18"/>
                <w:szCs w:val="18"/>
              </w:rPr>
              <w:t>度</w:t>
            </w:r>
            <w:r>
              <w:rPr>
                <w:sz w:val="18"/>
                <w:szCs w:val="18"/>
              </w:rPr>
              <w:t>等级</w:t>
            </w:r>
          </w:p>
        </w:tc>
        <w:tc>
          <w:tcPr>
            <w:tcW w:w="4380" w:type="dxa"/>
            <w:noWrap w:val="0"/>
            <w:vAlign w:val="center"/>
          </w:tcPr>
          <w:p>
            <w:pPr>
              <w:autoSpaceDE w:val="0"/>
              <w:autoSpaceDN w:val="0"/>
              <w:jc w:val="center"/>
              <w:rPr>
                <w:rFonts w:hint="eastAsia"/>
                <w:sz w:val="18"/>
                <w:szCs w:val="18"/>
              </w:rPr>
            </w:pPr>
            <w:r>
              <w:rPr>
                <w:sz w:val="18"/>
                <w:szCs w:val="18"/>
              </w:rPr>
              <w:t>最小参考统一爬电比距</w:t>
            </w:r>
          </w:p>
          <w:p>
            <w:pPr>
              <w:autoSpaceDE w:val="0"/>
              <w:autoSpaceDN w:val="0"/>
              <w:jc w:val="center"/>
              <w:rPr>
                <w:sz w:val="18"/>
                <w:szCs w:val="18"/>
              </w:rPr>
            </w:pPr>
            <w:r>
              <w:rPr>
                <w:sz w:val="18"/>
                <w:szCs w:val="18"/>
              </w:rPr>
              <w:t>mm/kV</w:t>
            </w:r>
          </w:p>
        </w:tc>
        <w:tc>
          <w:tcPr>
            <w:tcW w:w="1995" w:type="dxa"/>
            <w:noWrap w:val="0"/>
            <w:vAlign w:val="center"/>
          </w:tcPr>
          <w:p>
            <w:pPr>
              <w:autoSpaceDE w:val="0"/>
              <w:autoSpaceDN w:val="0"/>
              <w:jc w:val="center"/>
              <w:rPr>
                <w:sz w:val="18"/>
                <w:szCs w:val="18"/>
              </w:rPr>
            </w:pPr>
            <w:r>
              <w:rPr>
                <w:rFonts w:hint="eastAsia"/>
                <w:sz w:val="18"/>
                <w:szCs w:val="18"/>
              </w:rPr>
              <w:t>爬电因数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autoSpaceDE w:val="0"/>
              <w:autoSpaceDN w:val="0"/>
              <w:jc w:val="center"/>
              <w:rPr>
                <w:sz w:val="18"/>
                <w:szCs w:val="18"/>
              </w:rPr>
            </w:pPr>
            <w:r>
              <w:rPr>
                <w:sz w:val="18"/>
                <w:szCs w:val="18"/>
              </w:rPr>
              <w:t>a（非常轻）</w:t>
            </w:r>
          </w:p>
        </w:tc>
        <w:tc>
          <w:tcPr>
            <w:tcW w:w="4380" w:type="dxa"/>
            <w:noWrap w:val="0"/>
            <w:vAlign w:val="center"/>
          </w:tcPr>
          <w:p>
            <w:pPr>
              <w:autoSpaceDE w:val="0"/>
              <w:autoSpaceDN w:val="0"/>
              <w:jc w:val="center"/>
              <w:rPr>
                <w:sz w:val="18"/>
                <w:szCs w:val="18"/>
              </w:rPr>
            </w:pPr>
            <w:r>
              <w:rPr>
                <w:sz w:val="18"/>
                <w:szCs w:val="18"/>
              </w:rPr>
              <w:t>22</w:t>
            </w:r>
          </w:p>
        </w:tc>
        <w:tc>
          <w:tcPr>
            <w:tcW w:w="1995" w:type="dxa"/>
            <w:noWrap w:val="0"/>
            <w:vAlign w:val="center"/>
          </w:tcPr>
          <w:p>
            <w:pPr>
              <w:autoSpaceDE w:val="0"/>
              <w:autoSpaceDN w:val="0"/>
              <w:jc w:val="center"/>
              <w:rPr>
                <w:sz w:val="18"/>
                <w:szCs w:val="18"/>
              </w:rPr>
            </w:pPr>
            <w:r>
              <w:rPr>
                <w:rFonts w:hint="eastAsia"/>
                <w:sz w:val="18"/>
                <w:szCs w:val="18"/>
              </w:rPr>
              <w:t>≤</w:t>
            </w: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autoSpaceDE w:val="0"/>
              <w:autoSpaceDN w:val="0"/>
              <w:jc w:val="center"/>
              <w:rPr>
                <w:sz w:val="18"/>
                <w:szCs w:val="18"/>
              </w:rPr>
            </w:pPr>
            <w:r>
              <w:rPr>
                <w:sz w:val="18"/>
                <w:szCs w:val="18"/>
              </w:rPr>
              <w:t>b（轻）</w:t>
            </w:r>
          </w:p>
        </w:tc>
        <w:tc>
          <w:tcPr>
            <w:tcW w:w="4380" w:type="dxa"/>
            <w:noWrap w:val="0"/>
            <w:vAlign w:val="center"/>
          </w:tcPr>
          <w:p>
            <w:pPr>
              <w:autoSpaceDE w:val="0"/>
              <w:autoSpaceDN w:val="0"/>
              <w:jc w:val="center"/>
              <w:rPr>
                <w:sz w:val="18"/>
                <w:szCs w:val="18"/>
              </w:rPr>
            </w:pPr>
            <w:r>
              <w:rPr>
                <w:sz w:val="18"/>
                <w:szCs w:val="18"/>
              </w:rPr>
              <w:t>27.8</w:t>
            </w:r>
          </w:p>
        </w:tc>
        <w:tc>
          <w:tcPr>
            <w:tcW w:w="1995" w:type="dxa"/>
            <w:noWrap w:val="0"/>
            <w:vAlign w:val="center"/>
          </w:tcPr>
          <w:p>
            <w:pPr>
              <w:autoSpaceDE w:val="0"/>
              <w:autoSpaceDN w:val="0"/>
              <w:jc w:val="center"/>
              <w:rPr>
                <w:sz w:val="18"/>
                <w:szCs w:val="18"/>
              </w:rPr>
            </w:pPr>
            <w:r>
              <w:rPr>
                <w:rFonts w:hint="eastAsia"/>
                <w:sz w:val="18"/>
                <w:szCs w:val="18"/>
              </w:rPr>
              <w:t>≤</w:t>
            </w:r>
            <w:r>
              <w:rPr>
                <w:sz w:val="18"/>
                <w:szCs w:val="18"/>
              </w:rPr>
              <w:t>3.625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autoSpaceDE w:val="0"/>
              <w:autoSpaceDN w:val="0"/>
              <w:jc w:val="center"/>
              <w:rPr>
                <w:sz w:val="18"/>
                <w:szCs w:val="18"/>
              </w:rPr>
            </w:pPr>
            <w:r>
              <w:rPr>
                <w:sz w:val="18"/>
                <w:szCs w:val="18"/>
              </w:rPr>
              <w:t>c（中等）</w:t>
            </w:r>
          </w:p>
        </w:tc>
        <w:tc>
          <w:tcPr>
            <w:tcW w:w="4380" w:type="dxa"/>
            <w:noWrap w:val="0"/>
            <w:vAlign w:val="center"/>
          </w:tcPr>
          <w:p>
            <w:pPr>
              <w:autoSpaceDE w:val="0"/>
              <w:autoSpaceDN w:val="0"/>
              <w:jc w:val="center"/>
              <w:rPr>
                <w:sz w:val="18"/>
                <w:szCs w:val="18"/>
              </w:rPr>
            </w:pPr>
            <w:r>
              <w:rPr>
                <w:sz w:val="18"/>
                <w:szCs w:val="18"/>
              </w:rPr>
              <w:t>34.7</w:t>
            </w:r>
          </w:p>
        </w:tc>
        <w:tc>
          <w:tcPr>
            <w:tcW w:w="1995" w:type="dxa"/>
            <w:noWrap w:val="0"/>
            <w:vAlign w:val="center"/>
          </w:tcPr>
          <w:p>
            <w:pPr>
              <w:autoSpaceDE w:val="0"/>
              <w:autoSpaceDN w:val="0"/>
              <w:jc w:val="center"/>
              <w:rPr>
                <w:sz w:val="18"/>
                <w:szCs w:val="18"/>
              </w:rPr>
            </w:pPr>
            <w:r>
              <w:rPr>
                <w:rFonts w:hint="eastAsia"/>
                <w:sz w:val="18"/>
                <w:szCs w:val="18"/>
              </w:rPr>
              <w:t>≤</w:t>
            </w:r>
            <w:r>
              <w:rPr>
                <w:sz w:val="18"/>
                <w:szCs w:val="18"/>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autoSpaceDE w:val="0"/>
              <w:autoSpaceDN w:val="0"/>
              <w:jc w:val="center"/>
              <w:rPr>
                <w:sz w:val="18"/>
                <w:szCs w:val="18"/>
              </w:rPr>
            </w:pPr>
            <w:r>
              <w:rPr>
                <w:sz w:val="18"/>
                <w:szCs w:val="18"/>
              </w:rPr>
              <w:t>d（重）</w:t>
            </w:r>
          </w:p>
        </w:tc>
        <w:tc>
          <w:tcPr>
            <w:tcW w:w="4380" w:type="dxa"/>
            <w:noWrap w:val="0"/>
            <w:vAlign w:val="center"/>
          </w:tcPr>
          <w:p>
            <w:pPr>
              <w:autoSpaceDE w:val="0"/>
              <w:autoSpaceDN w:val="0"/>
              <w:jc w:val="center"/>
              <w:rPr>
                <w:sz w:val="18"/>
                <w:szCs w:val="18"/>
              </w:rPr>
            </w:pPr>
            <w:r>
              <w:rPr>
                <w:sz w:val="18"/>
                <w:szCs w:val="18"/>
              </w:rPr>
              <w:t>43.3</w:t>
            </w:r>
          </w:p>
        </w:tc>
        <w:tc>
          <w:tcPr>
            <w:tcW w:w="1995" w:type="dxa"/>
            <w:noWrap w:val="0"/>
            <w:vAlign w:val="center"/>
          </w:tcPr>
          <w:p>
            <w:pPr>
              <w:autoSpaceDE w:val="0"/>
              <w:autoSpaceDN w:val="0"/>
              <w:jc w:val="center"/>
              <w:rPr>
                <w:sz w:val="18"/>
                <w:szCs w:val="18"/>
              </w:rPr>
            </w:pPr>
            <w:r>
              <w:rPr>
                <w:rFonts w:hint="eastAsia"/>
                <w:sz w:val="18"/>
                <w:szCs w:val="18"/>
              </w:rPr>
              <w:t>≤</w:t>
            </w:r>
            <w:r>
              <w:rPr>
                <w:sz w:val="18"/>
                <w:szCs w:val="18"/>
              </w:rPr>
              <w:t>3.875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noWrap w:val="0"/>
            <w:vAlign w:val="center"/>
          </w:tcPr>
          <w:p>
            <w:pPr>
              <w:autoSpaceDE w:val="0"/>
              <w:autoSpaceDN w:val="0"/>
              <w:jc w:val="center"/>
              <w:rPr>
                <w:sz w:val="18"/>
                <w:szCs w:val="18"/>
              </w:rPr>
            </w:pPr>
            <w:r>
              <w:rPr>
                <w:sz w:val="18"/>
                <w:szCs w:val="18"/>
              </w:rPr>
              <w:t>e（很重）</w:t>
            </w:r>
          </w:p>
        </w:tc>
        <w:tc>
          <w:tcPr>
            <w:tcW w:w="4380" w:type="dxa"/>
            <w:noWrap w:val="0"/>
            <w:vAlign w:val="center"/>
          </w:tcPr>
          <w:p>
            <w:pPr>
              <w:autoSpaceDE w:val="0"/>
              <w:autoSpaceDN w:val="0"/>
              <w:jc w:val="center"/>
              <w:rPr>
                <w:sz w:val="18"/>
                <w:szCs w:val="18"/>
              </w:rPr>
            </w:pPr>
            <w:r>
              <w:rPr>
                <w:sz w:val="18"/>
                <w:szCs w:val="18"/>
              </w:rPr>
              <w:t>53.7</w:t>
            </w:r>
          </w:p>
        </w:tc>
        <w:tc>
          <w:tcPr>
            <w:tcW w:w="1995" w:type="dxa"/>
            <w:noWrap w:val="0"/>
            <w:vAlign w:val="center"/>
          </w:tcPr>
          <w:p>
            <w:pPr>
              <w:autoSpaceDE w:val="0"/>
              <w:autoSpaceDN w:val="0"/>
              <w:jc w:val="center"/>
              <w:rPr>
                <w:sz w:val="18"/>
                <w:szCs w:val="18"/>
              </w:rPr>
            </w:pPr>
            <w:r>
              <w:rPr>
                <w:rFonts w:hint="eastAsia"/>
                <w:sz w:val="18"/>
                <w:szCs w:val="18"/>
              </w:rPr>
              <w:t>≤</w:t>
            </w:r>
            <w:r>
              <w:rPr>
                <w:sz w:val="18"/>
                <w:szCs w:val="18"/>
              </w:rPr>
              <w:t>4.0</w:t>
            </w:r>
          </w:p>
        </w:tc>
      </w:tr>
    </w:tbl>
    <w:p>
      <w:pPr>
        <w:pStyle w:val="80"/>
        <w:numPr>
          <w:ilvl w:val="2"/>
          <w:numId w:val="0"/>
        </w:numPr>
        <w:bidi w:val="0"/>
        <w:ind w:left="0" w:leftChars="0" w:firstLine="0" w:firstLineChars="0"/>
      </w:pPr>
      <w:r>
        <w:rPr>
          <w:rFonts w:hint="eastAsia" w:hAnsi="Times New Roman" w:cs="Times New Roman"/>
          <w:b w:val="0"/>
          <w:i w:val="0"/>
          <w:sz w:val="21"/>
          <w:lang w:val="en-US" w:eastAsia="zh-CN" w:bidi="ar-SA"/>
        </w:rPr>
        <w:t>6</w:t>
      </w:r>
      <w:r>
        <w:rPr>
          <w:rFonts w:hint="eastAsia" w:ascii="黑体" w:hAnsi="Times New Roman" w:eastAsia="黑体" w:cs="Times New Roman"/>
          <w:b w:val="0"/>
          <w:i w:val="0"/>
          <w:sz w:val="21"/>
          <w:lang w:val="en-US" w:eastAsia="zh-CN" w:bidi="ar-SA"/>
        </w:rPr>
        <w:t>.</w:t>
      </w:r>
      <w:r>
        <w:rPr>
          <w:rFonts w:hint="eastAsia" w:hAnsi="Times New Roman" w:cs="Times New Roman"/>
          <w:b w:val="0"/>
          <w:i w:val="0"/>
          <w:sz w:val="21"/>
          <w:lang w:val="en-US" w:eastAsia="zh-CN" w:bidi="ar-SA"/>
        </w:rPr>
        <w:t>10</w:t>
      </w:r>
      <w:r>
        <w:rPr>
          <w:rFonts w:hint="eastAsia" w:ascii="黑体" w:hAnsi="Times New Roman" w:eastAsia="黑体" w:cs="Times New Roman"/>
          <w:b w:val="0"/>
          <w:i w:val="0"/>
          <w:sz w:val="21"/>
          <w:lang w:val="en-US" w:eastAsia="zh-CN" w:bidi="ar-SA"/>
        </w:rPr>
        <w:t>.</w:t>
      </w:r>
      <w:r>
        <w:rPr>
          <w:rFonts w:hint="eastAsia" w:hAnsi="Times New Roman" w:cs="Times New Roman"/>
          <w:b w:val="0"/>
          <w:i w:val="0"/>
          <w:sz w:val="21"/>
          <w:lang w:val="en-US" w:eastAsia="zh-CN" w:bidi="ar-SA"/>
        </w:rPr>
        <w:t>2</w:t>
      </w:r>
      <w:r>
        <w:rPr>
          <w:rFonts w:hint="eastAsia" w:ascii="黑体" w:hAnsi="Times New Roman" w:eastAsia="黑体" w:cs="Times New Roman"/>
          <w:b w:val="0"/>
          <w:i w:val="0"/>
          <w:sz w:val="21"/>
          <w:lang w:val="en-US" w:eastAsia="zh-CN" w:bidi="ar-SA"/>
        </w:rPr>
        <w:t>　</w:t>
      </w:r>
      <w:r>
        <w:t>海拔对外绝缘的影响</w:t>
      </w:r>
    </w:p>
    <w:p>
      <w:pPr>
        <w:pStyle w:val="32"/>
        <w:tabs>
          <w:tab w:val="center" w:pos="4201"/>
          <w:tab w:val="right" w:leader="dot" w:pos="9298"/>
        </w:tabs>
        <w:autoSpaceDE/>
        <w:autoSpaceDN/>
        <w:rPr>
          <w:rFonts w:hint="eastAsia" w:ascii="Times New Roman"/>
        </w:rPr>
      </w:pPr>
      <w:r>
        <w:rPr>
          <w:rFonts w:ascii="Times New Roman"/>
        </w:rPr>
        <w:t>外绝缘试验电压应按额定耐受电压乘以海拔修正因数</w:t>
      </w:r>
      <w:r>
        <w:rPr>
          <w:rFonts w:hint="eastAsia" w:ascii="Times New Roman"/>
        </w:rPr>
        <w:t>确定</w:t>
      </w:r>
      <w:r>
        <w:rPr>
          <w:rFonts w:ascii="Times New Roman"/>
        </w:rPr>
        <w:t>，海拔修正因数</w:t>
      </w:r>
      <w:r>
        <w:rPr>
          <w:rFonts w:hint="eastAsia" w:ascii="Times New Roman"/>
        </w:rPr>
        <w:t>应</w:t>
      </w:r>
      <w:r>
        <w:rPr>
          <w:rFonts w:ascii="Times New Roman"/>
        </w:rPr>
        <w:t>按GB/T 20840.1</w:t>
      </w:r>
      <w:r>
        <w:rPr>
          <w:rFonts w:hint="eastAsia" w:ascii="Times New Roman"/>
        </w:rPr>
        <w:t>确定</w:t>
      </w:r>
      <w:r>
        <w:rPr>
          <w:rFonts w:ascii="Times New Roman"/>
        </w:rPr>
        <w:t>。</w:t>
      </w:r>
    </w:p>
    <w:p>
      <w:pPr>
        <w:pStyle w:val="32"/>
        <w:tabs>
          <w:tab w:val="center" w:pos="4201"/>
          <w:tab w:val="right" w:leader="dot" w:pos="9298"/>
        </w:tabs>
        <w:autoSpaceDE/>
        <w:autoSpaceDN/>
        <w:rPr>
          <w:rFonts w:hint="eastAsia" w:ascii="Times New Roman"/>
        </w:rPr>
      </w:pPr>
      <w:r>
        <w:rPr>
          <w:rFonts w:ascii="Times New Roman"/>
        </w:rPr>
        <w:t>内绝缘的电介质强度不受海拔影响，产品外绝缘进行修正时内绝缘无需进行修正。</w:t>
      </w:r>
    </w:p>
    <w:p>
      <w:pPr>
        <w:pStyle w:val="32"/>
        <w:tabs>
          <w:tab w:val="center" w:pos="4201"/>
          <w:tab w:val="right" w:leader="dot" w:pos="9298"/>
        </w:tabs>
        <w:autoSpaceDE/>
        <w:autoSpaceDN/>
        <w:rPr>
          <w:rFonts w:hint="eastAsia" w:ascii="Times New Roman"/>
        </w:rPr>
      </w:pPr>
      <w:r>
        <w:rPr>
          <w:rFonts w:ascii="Times New Roman"/>
        </w:rPr>
        <w:t>外绝缘的检查方法由制造方与用户协商确定</w:t>
      </w:r>
      <w:r>
        <w:rPr>
          <w:rFonts w:hint="eastAsia" w:ascii="Times New Roman"/>
        </w:rPr>
        <w:t>。外绝缘试验可</w:t>
      </w:r>
      <w:r>
        <w:rPr>
          <w:rFonts w:ascii="Times New Roman"/>
        </w:rPr>
        <w:t>单独进行，如无法单独进行，</w:t>
      </w:r>
      <w:r>
        <w:rPr>
          <w:rFonts w:hint="eastAsia" w:ascii="Times New Roman"/>
        </w:rPr>
        <w:t>宜测量电流互感器的干弧距离和爬电距离，若爬电距离符合GB/T 26218.2要求、干弧距离符合GB/T 311.1要求可不做外绝缘试验。</w:t>
      </w:r>
    </w:p>
    <w:p>
      <w:pPr>
        <w:pStyle w:val="80"/>
        <w:numPr>
          <w:ilvl w:val="2"/>
          <w:numId w:val="0"/>
        </w:numPr>
        <w:bidi w:val="0"/>
        <w:ind w:left="0" w:leftChars="0" w:firstLine="0" w:firstLineChars="0"/>
      </w:pPr>
      <w:r>
        <w:rPr>
          <w:rFonts w:hint="eastAsia" w:hAnsi="Times New Roman" w:cs="Times New Roman"/>
          <w:b w:val="0"/>
          <w:i w:val="0"/>
          <w:sz w:val="21"/>
          <w:lang w:val="en-US" w:eastAsia="zh-CN" w:bidi="ar-SA"/>
        </w:rPr>
        <w:t>6</w:t>
      </w:r>
      <w:r>
        <w:rPr>
          <w:rFonts w:hint="eastAsia" w:ascii="黑体" w:hAnsi="Times New Roman" w:eastAsia="黑体" w:cs="Times New Roman"/>
          <w:b w:val="0"/>
          <w:i w:val="0"/>
          <w:sz w:val="21"/>
          <w:lang w:val="en-US" w:eastAsia="zh-CN" w:bidi="ar-SA"/>
        </w:rPr>
        <w:t>.</w:t>
      </w:r>
      <w:r>
        <w:rPr>
          <w:rFonts w:hint="eastAsia" w:hAnsi="Times New Roman" w:cs="Times New Roman"/>
          <w:b w:val="0"/>
          <w:i w:val="0"/>
          <w:sz w:val="21"/>
          <w:lang w:val="en-US" w:eastAsia="zh-CN" w:bidi="ar-SA"/>
        </w:rPr>
        <w:t>10</w:t>
      </w:r>
      <w:r>
        <w:rPr>
          <w:rFonts w:hint="eastAsia" w:ascii="黑体" w:hAnsi="Times New Roman" w:eastAsia="黑体" w:cs="Times New Roman"/>
          <w:b w:val="0"/>
          <w:i w:val="0"/>
          <w:sz w:val="21"/>
          <w:lang w:val="en-US" w:eastAsia="zh-CN" w:bidi="ar-SA"/>
        </w:rPr>
        <w:t>.</w:t>
      </w:r>
      <w:r>
        <w:rPr>
          <w:rFonts w:hint="eastAsia" w:hAnsi="Times New Roman" w:cs="Times New Roman"/>
          <w:b w:val="0"/>
          <w:i w:val="0"/>
          <w:sz w:val="21"/>
          <w:lang w:val="en-US" w:eastAsia="zh-CN" w:bidi="ar-SA"/>
        </w:rPr>
        <w:t>3</w:t>
      </w:r>
      <w:r>
        <w:rPr>
          <w:rFonts w:hint="eastAsia" w:ascii="黑体" w:hAnsi="Times New Roman" w:eastAsia="黑体" w:cs="Times New Roman"/>
          <w:b w:val="0"/>
          <w:i w:val="0"/>
          <w:sz w:val="21"/>
          <w:lang w:val="en-US" w:eastAsia="zh-CN" w:bidi="ar-SA"/>
        </w:rPr>
        <w:t>　</w:t>
      </w:r>
      <w:r>
        <w:t>爬电距离的修正</w:t>
      </w:r>
    </w:p>
    <w:p>
      <w:pPr>
        <w:ind w:firstLine="420" w:firstLineChars="200"/>
      </w:pPr>
      <w:r>
        <w:rPr>
          <w:rFonts w:hint="eastAsia"/>
        </w:rPr>
        <w:t>爬电距离的修正应按GB/T 26218.2和GB/T 26218.3进行</w:t>
      </w:r>
      <w:r>
        <w:t>。</w:t>
      </w:r>
    </w:p>
    <w:bookmarkEnd w:id="24"/>
    <w:bookmarkEnd w:id="25"/>
    <w:bookmarkEnd w:id="26"/>
    <w:bookmarkEnd w:id="27"/>
    <w:bookmarkEnd w:id="28"/>
    <w:bookmarkEnd w:id="29"/>
    <w:bookmarkEnd w:id="30"/>
    <w:bookmarkEnd w:id="31"/>
    <w:bookmarkEnd w:id="32"/>
    <w:bookmarkEnd w:id="33"/>
    <w:bookmarkEnd w:id="34"/>
    <w:bookmarkEnd w:id="35"/>
    <w:bookmarkEnd w:id="36"/>
    <w:p>
      <w:pPr>
        <w:pStyle w:val="74"/>
        <w:bidi w:val="0"/>
        <w:ind w:left="1135" w:leftChars="0" w:hanging="1135" w:firstLineChars="0"/>
      </w:pPr>
      <w:bookmarkStart w:id="71" w:name="_Toc309754956"/>
      <w:bookmarkStart w:id="72" w:name="_Toc84962000"/>
      <w:bookmarkStart w:id="73" w:name="_Toc317177956"/>
      <w:bookmarkStart w:id="74" w:name="_Toc19272"/>
      <w:bookmarkStart w:id="75" w:name="_Toc326151917"/>
      <w:bookmarkStart w:id="76" w:name="_Toc296872626"/>
      <w:bookmarkStart w:id="77" w:name="_Toc309744226"/>
      <w:bookmarkStart w:id="78" w:name="_Toc67263568"/>
      <w:bookmarkStart w:id="79" w:name="_Toc309756100"/>
      <w:bookmarkStart w:id="80" w:name="_Toc262827048"/>
      <w:r>
        <w:t>电容</w:t>
      </w:r>
      <w:r>
        <w:rPr>
          <w:rFonts w:hint="eastAsia"/>
        </w:rPr>
        <w:t>量</w:t>
      </w:r>
      <w:r>
        <w:t>和介质损耗因数</w:t>
      </w:r>
      <w:bookmarkEnd w:id="71"/>
      <w:bookmarkEnd w:id="72"/>
      <w:bookmarkEnd w:id="73"/>
      <w:bookmarkEnd w:id="74"/>
      <w:bookmarkEnd w:id="75"/>
      <w:bookmarkEnd w:id="76"/>
      <w:bookmarkEnd w:id="77"/>
      <w:bookmarkEnd w:id="78"/>
      <w:bookmarkEnd w:id="79"/>
      <w:bookmarkEnd w:id="80"/>
    </w:p>
    <w:p>
      <w:pPr>
        <w:ind w:firstLine="420" w:firstLineChars="200"/>
        <w:rPr>
          <w:rFonts w:hint="eastAsia"/>
          <w:szCs w:val="21"/>
        </w:rPr>
      </w:pPr>
      <w:r>
        <w:rPr>
          <w:szCs w:val="21"/>
        </w:rPr>
        <w:t>对于设备最高电压为40.5kV及以上的电流互感器一次绕组的电容</w:t>
      </w:r>
      <w:r>
        <w:rPr>
          <w:rFonts w:hint="eastAsia"/>
          <w:szCs w:val="21"/>
        </w:rPr>
        <w:t>量</w:t>
      </w:r>
      <w:r>
        <w:rPr>
          <w:szCs w:val="21"/>
        </w:rPr>
        <w:t>和介质损耗因数取决于其绝缘设计，且和电压、温度因素有关</w:t>
      </w:r>
      <w:r>
        <w:rPr>
          <w:rFonts w:hint="eastAsia"/>
          <w:szCs w:val="21"/>
        </w:rPr>
        <w:t>。</w:t>
      </w:r>
    </w:p>
    <w:p>
      <w:pPr>
        <w:ind w:firstLine="420" w:firstLineChars="200"/>
        <w:rPr>
          <w:rFonts w:hint="eastAsia"/>
        </w:rPr>
      </w:pPr>
      <w:r>
        <w:rPr>
          <w:rFonts w:hint="eastAsia"/>
        </w:rPr>
        <w:t>电流互感器电容</w:t>
      </w:r>
      <w:r>
        <w:rPr>
          <w:rFonts w:hint="eastAsia"/>
          <w:szCs w:val="21"/>
        </w:rPr>
        <w:t>量</w:t>
      </w:r>
      <w:r>
        <w:rPr>
          <w:rFonts w:hint="eastAsia"/>
        </w:rPr>
        <w:t>和介质损耗因数要求如下：</w:t>
      </w:r>
    </w:p>
    <w:p>
      <w:pPr>
        <w:ind w:left="840" w:leftChars="200" w:hanging="420" w:hangingChars="200"/>
        <w:rPr>
          <w:rFonts w:hint="eastAsia"/>
          <w:szCs w:val="21"/>
        </w:rPr>
      </w:pPr>
      <w:r>
        <w:rPr>
          <w:szCs w:val="21"/>
        </w:rPr>
        <w:t>——</w:t>
      </w:r>
      <w:r>
        <w:rPr>
          <w:rFonts w:hint="eastAsia"/>
          <w:szCs w:val="21"/>
        </w:rPr>
        <w:t>电容量和介质损耗因数应在额定频率和</w:t>
      </w:r>
      <w:r>
        <w:rPr>
          <w:rFonts w:hint="eastAsia"/>
          <w:iCs/>
        </w:rPr>
        <w:t>10kV~</w:t>
      </w:r>
      <w:r>
        <w:rPr>
          <w:i/>
          <w:iCs/>
        </w:rPr>
        <w:t>U</w:t>
      </w:r>
      <w:r>
        <w:rPr>
          <w:vertAlign w:val="subscript"/>
        </w:rPr>
        <w:t>m</w:t>
      </w:r>
      <w:r>
        <w:t>/</w:t>
      </w:r>
      <w:r>
        <w:rPr>
          <w:position w:val="-8"/>
        </w:rPr>
        <w:object>
          <v:shape id="_x0000_i1025" o:spt="75" type="#_x0000_t75" style="height:14.3pt;width:15.4pt;" o:ole="t" filled="f" stroked="f" coordsize="21600,21600">
            <v:path/>
            <v:fill on="f" focussize="0,0"/>
            <v:stroke on="f"/>
            <v:imagedata r:id="rId15" cropleft="6372f" croptop="6372f" cropbottom="4017f" o:title=""/>
            <o:lock v:ext="edit" grouping="f" rotation="f" text="f" aspectratio="t"/>
            <w10:wrap type="none"/>
            <w10:anchorlock/>
          </v:shape>
          <o:OLEObject Type="Embed" ProgID="Equation.3" ShapeID="_x0000_i1025" DrawAspect="Content" ObjectID="_1468075725" r:id="rId14">
            <o:LockedField>false</o:LockedField>
          </o:OLEObject>
        </w:object>
      </w:r>
      <w:r>
        <w:rPr>
          <w:rFonts w:hint="eastAsia"/>
          <w:szCs w:val="21"/>
        </w:rPr>
        <w:t xml:space="preserve">范围内某一电压下测量，试验应在环境温度下进行，温度应作记录； </w:t>
      </w:r>
    </w:p>
    <w:p>
      <w:pPr>
        <w:ind w:left="840" w:leftChars="200" w:hanging="420" w:hangingChars="200"/>
        <w:rPr>
          <w:rFonts w:hint="eastAsia"/>
          <w:szCs w:val="21"/>
        </w:rPr>
      </w:pPr>
      <w:r>
        <w:rPr>
          <w:szCs w:val="21"/>
        </w:rPr>
        <w:t>——在额定频率下，各种绝缘</w:t>
      </w:r>
      <w:r>
        <w:rPr>
          <w:rFonts w:hint="eastAsia"/>
          <w:szCs w:val="21"/>
        </w:rPr>
        <w:t>介质种类</w:t>
      </w:r>
      <w:r>
        <w:rPr>
          <w:szCs w:val="21"/>
        </w:rPr>
        <w:t>（</w:t>
      </w:r>
      <w:r>
        <w:rPr>
          <w:rFonts w:hint="eastAsia"/>
          <w:szCs w:val="21"/>
        </w:rPr>
        <w:t>油纸</w:t>
      </w:r>
      <w:r>
        <w:rPr>
          <w:szCs w:val="21"/>
        </w:rPr>
        <w:t>、合成薄膜）的电流互感器的介质损耗因数不得超过表</w:t>
      </w:r>
      <w:r>
        <w:rPr>
          <w:rFonts w:hint="eastAsia"/>
          <w:szCs w:val="21"/>
          <w:lang w:val="en-US" w:eastAsia="zh-CN"/>
        </w:rPr>
        <w:t>5</w:t>
      </w:r>
      <w:r>
        <w:rPr>
          <w:szCs w:val="21"/>
        </w:rPr>
        <w:t>规定的数值</w:t>
      </w:r>
      <w:r>
        <w:rPr>
          <w:rFonts w:hint="eastAsia"/>
          <w:szCs w:val="21"/>
        </w:rPr>
        <w:t>；</w:t>
      </w:r>
    </w:p>
    <w:p>
      <w:pPr>
        <w:pStyle w:val="32"/>
        <w:tabs>
          <w:tab w:val="center" w:pos="4201"/>
          <w:tab w:val="right" w:leader="dot" w:pos="9298"/>
        </w:tabs>
        <w:rPr>
          <w:szCs w:val="21"/>
        </w:rPr>
      </w:pPr>
      <w:r>
        <w:rPr>
          <w:szCs w:val="21"/>
        </w:rPr>
        <w:t>——本试验目的在于检查产品的一致性，</w:t>
      </w:r>
      <w:r>
        <w:rPr>
          <w:rFonts w:hint="eastAsia"/>
          <w:szCs w:val="21"/>
        </w:rPr>
        <w:t>介质损耗因数</w:t>
      </w:r>
      <w:r>
        <w:rPr>
          <w:szCs w:val="21"/>
        </w:rPr>
        <w:t>允许变化限值可由制造厂和用户协商规定</w:t>
      </w:r>
      <w:r>
        <w:rPr>
          <w:rFonts w:hint="eastAsia"/>
          <w:szCs w:val="21"/>
        </w:rPr>
        <w:t>；</w:t>
      </w:r>
    </w:p>
    <w:p>
      <w:pPr>
        <w:pStyle w:val="32"/>
        <w:tabs>
          <w:tab w:val="center" w:pos="4201"/>
          <w:tab w:val="right" w:leader="dot" w:pos="9298"/>
        </w:tabs>
        <w:rPr>
          <w:szCs w:val="21"/>
        </w:rPr>
      </w:pPr>
      <w:r>
        <w:rPr>
          <w:szCs w:val="21"/>
        </w:rPr>
        <w:t>——</w:t>
      </w:r>
      <w:r>
        <w:rPr>
          <w:rFonts w:hint="eastAsia"/>
          <w:szCs w:val="21"/>
        </w:rPr>
        <w:t>对采用电容型绝缘结构的电流互感器，</w:t>
      </w:r>
      <w:r>
        <w:rPr>
          <w:szCs w:val="21"/>
        </w:rPr>
        <w:t>制造厂应提</w:t>
      </w:r>
      <w:r>
        <w:rPr>
          <w:rFonts w:ascii="Times New Roman"/>
          <w:kern w:val="2"/>
          <w:szCs w:val="21"/>
        </w:rPr>
        <w:t>供</w:t>
      </w:r>
      <w:r>
        <w:rPr>
          <w:rFonts w:hint="eastAsia" w:ascii="Times New Roman"/>
          <w:szCs w:val="21"/>
        </w:rPr>
        <w:t>10</w:t>
      </w:r>
      <w:r>
        <w:rPr>
          <w:rFonts w:ascii="Times New Roman"/>
          <w:szCs w:val="21"/>
        </w:rPr>
        <w:t>kV</w:t>
      </w:r>
      <w:r>
        <w:rPr>
          <w:szCs w:val="21"/>
        </w:rPr>
        <w:t>时的介质损耗因数测量值</w:t>
      </w:r>
      <w:r>
        <w:rPr>
          <w:rFonts w:hint="eastAsia"/>
          <w:szCs w:val="21"/>
        </w:rPr>
        <w:t>；</w:t>
      </w:r>
    </w:p>
    <w:p>
      <w:pPr>
        <w:ind w:left="840" w:leftChars="200" w:hanging="420" w:hangingChars="200"/>
        <w:rPr>
          <w:rFonts w:hint="eastAsia"/>
          <w:szCs w:val="21"/>
        </w:rPr>
      </w:pPr>
      <w:r>
        <w:rPr>
          <w:szCs w:val="21"/>
        </w:rPr>
        <w:t>——</w:t>
      </w:r>
      <w:r>
        <w:rPr>
          <w:rFonts w:hint="eastAsia"/>
          <w:szCs w:val="21"/>
        </w:rPr>
        <w:t>对于正立式电容型绝缘结构油浸式</w:t>
      </w:r>
      <w:r>
        <w:rPr>
          <w:szCs w:val="21"/>
        </w:rPr>
        <w:t>电流互感器</w:t>
      </w:r>
      <w:r>
        <w:rPr>
          <w:rFonts w:hint="eastAsia"/>
          <w:szCs w:val="21"/>
        </w:rPr>
        <w:t>的</w:t>
      </w:r>
      <w:r>
        <w:rPr>
          <w:szCs w:val="21"/>
        </w:rPr>
        <w:t>地屏，在3kV测量电压下</w:t>
      </w:r>
      <w:r>
        <w:rPr>
          <w:rFonts w:hint="eastAsia"/>
          <w:szCs w:val="21"/>
        </w:rPr>
        <w:t>介质损耗因数</w:t>
      </w:r>
      <w:r>
        <w:rPr>
          <w:szCs w:val="21"/>
        </w:rPr>
        <w:t>允许值不大于0.02</w:t>
      </w:r>
      <w:r>
        <w:rPr>
          <w:rFonts w:hint="eastAsia"/>
          <w:szCs w:val="21"/>
        </w:rPr>
        <w:t>；</w:t>
      </w:r>
    </w:p>
    <w:p>
      <w:pPr>
        <w:ind w:left="840" w:leftChars="200" w:hanging="420" w:hangingChars="200"/>
        <w:rPr>
          <w:rFonts w:hint="eastAsia"/>
          <w:szCs w:val="21"/>
        </w:rPr>
      </w:pPr>
      <w:r>
        <w:rPr>
          <w:szCs w:val="21"/>
        </w:rPr>
        <w:t>——</w:t>
      </w:r>
      <w:r>
        <w:rPr>
          <w:rFonts w:hint="eastAsia"/>
          <w:szCs w:val="21"/>
        </w:rPr>
        <w:t>对于合成薄膜绝缘电流互感器，如用户有要求，应测量地屏的介质损耗因数，具体要求可由制造厂和用户协商。</w:t>
      </w:r>
    </w:p>
    <w:p>
      <w:pPr>
        <w:pStyle w:val="84"/>
        <w:ind w:left="0" w:leftChars="-250" w:hanging="525" w:hangingChars="250"/>
        <w:rPr>
          <w:rFonts w:ascii="Times New Roman"/>
          <w:szCs w:val="21"/>
        </w:rPr>
      </w:pPr>
      <w:r>
        <w:rPr>
          <w:rFonts w:hint="eastAsia" w:ascii="Times New Roman"/>
          <w:szCs w:val="21"/>
          <w:lang w:val="en-US" w:eastAsia="zh-CN"/>
        </w:rPr>
        <w:t xml:space="preserve">表5 </w:t>
      </w:r>
      <w:r>
        <w:rPr>
          <w:rFonts w:hint="eastAsia" w:ascii="Times New Roman"/>
          <w:szCs w:val="21"/>
        </w:rPr>
        <w:t>电流互感器</w:t>
      </w:r>
      <w:r>
        <w:rPr>
          <w:rFonts w:ascii="Times New Roman"/>
          <w:szCs w:val="21"/>
        </w:rPr>
        <w:t>介质损耗因数</w:t>
      </w:r>
      <w:r>
        <w:rPr>
          <w:rFonts w:hint="eastAsia" w:ascii="Times New Roman"/>
          <w:szCs w:val="21"/>
        </w:rPr>
        <w:t>允许</w:t>
      </w:r>
      <w:r>
        <w:rPr>
          <w:rFonts w:ascii="Times New Roman"/>
          <w:szCs w:val="21"/>
        </w:rPr>
        <w:t xml:space="preserve">值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54"/>
        <w:gridCol w:w="1416"/>
        <w:gridCol w:w="993"/>
        <w:gridCol w:w="1416"/>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noWrap w:val="0"/>
            <w:vAlign w:val="center"/>
          </w:tcPr>
          <w:p>
            <w:pPr>
              <w:autoSpaceDE w:val="0"/>
              <w:autoSpaceDN w:val="0"/>
              <w:jc w:val="center"/>
              <w:rPr>
                <w:sz w:val="18"/>
                <w:szCs w:val="18"/>
              </w:rPr>
            </w:pPr>
            <w:r>
              <w:rPr>
                <w:rFonts w:hint="eastAsia"/>
                <w:sz w:val="18"/>
                <w:szCs w:val="18"/>
              </w:rPr>
              <w:t>绝缘介质种类</w:t>
            </w:r>
          </w:p>
        </w:tc>
        <w:tc>
          <w:tcPr>
            <w:tcW w:w="498" w:type="pct"/>
            <w:noWrap w:val="0"/>
            <w:vAlign w:val="center"/>
          </w:tcPr>
          <w:p>
            <w:pPr>
              <w:autoSpaceDE w:val="0"/>
              <w:autoSpaceDN w:val="0"/>
              <w:jc w:val="center"/>
              <w:rPr>
                <w:sz w:val="18"/>
                <w:szCs w:val="18"/>
              </w:rPr>
            </w:pPr>
            <w:r>
              <w:rPr>
                <w:rFonts w:hint="eastAsia"/>
                <w:sz w:val="18"/>
                <w:szCs w:val="18"/>
              </w:rPr>
              <w:t>绝缘结构</w:t>
            </w:r>
          </w:p>
        </w:tc>
        <w:tc>
          <w:tcPr>
            <w:tcW w:w="739" w:type="pct"/>
            <w:noWrap w:val="0"/>
            <w:vAlign w:val="center"/>
          </w:tcPr>
          <w:p>
            <w:pPr>
              <w:autoSpaceDE w:val="0"/>
              <w:autoSpaceDN w:val="0"/>
              <w:jc w:val="center"/>
              <w:rPr>
                <w:rFonts w:hint="eastAsia"/>
                <w:sz w:val="18"/>
                <w:szCs w:val="18"/>
              </w:rPr>
            </w:pPr>
            <w:r>
              <w:rPr>
                <w:sz w:val="18"/>
                <w:szCs w:val="18"/>
              </w:rPr>
              <w:t>设备最高电压</w:t>
            </w:r>
          </w:p>
          <w:p>
            <w:pPr>
              <w:autoSpaceDE w:val="0"/>
              <w:autoSpaceDN w:val="0"/>
              <w:jc w:val="center"/>
              <w:rPr>
                <w:sz w:val="18"/>
                <w:szCs w:val="18"/>
              </w:rPr>
            </w:pPr>
            <w:r>
              <w:rPr>
                <w:sz w:val="18"/>
                <w:szCs w:val="18"/>
              </w:rPr>
              <w:t>kV</w:t>
            </w:r>
          </w:p>
        </w:tc>
        <w:tc>
          <w:tcPr>
            <w:tcW w:w="518" w:type="pct"/>
            <w:noWrap w:val="0"/>
            <w:vAlign w:val="center"/>
          </w:tcPr>
          <w:p>
            <w:pPr>
              <w:autoSpaceDE w:val="0"/>
              <w:autoSpaceDN w:val="0"/>
              <w:jc w:val="center"/>
              <w:rPr>
                <w:sz w:val="18"/>
                <w:szCs w:val="18"/>
              </w:rPr>
            </w:pPr>
            <w:r>
              <w:rPr>
                <w:sz w:val="18"/>
                <w:szCs w:val="18"/>
              </w:rPr>
              <w:t>测量电压</w:t>
            </w:r>
          </w:p>
          <w:p>
            <w:pPr>
              <w:autoSpaceDE w:val="0"/>
              <w:autoSpaceDN w:val="0"/>
              <w:jc w:val="center"/>
              <w:rPr>
                <w:sz w:val="18"/>
                <w:szCs w:val="18"/>
              </w:rPr>
            </w:pPr>
            <w:r>
              <w:rPr>
                <w:sz w:val="18"/>
                <w:szCs w:val="18"/>
              </w:rPr>
              <w:t>kV</w:t>
            </w:r>
          </w:p>
        </w:tc>
        <w:tc>
          <w:tcPr>
            <w:tcW w:w="739" w:type="pct"/>
            <w:noWrap w:val="0"/>
            <w:vAlign w:val="center"/>
          </w:tcPr>
          <w:p>
            <w:pPr>
              <w:autoSpaceDE w:val="0"/>
              <w:autoSpaceDN w:val="0"/>
              <w:jc w:val="center"/>
              <w:rPr>
                <w:sz w:val="18"/>
                <w:szCs w:val="18"/>
              </w:rPr>
            </w:pPr>
            <w:r>
              <w:rPr>
                <w:sz w:val="18"/>
                <w:szCs w:val="18"/>
              </w:rPr>
              <w:t>介质损耗因数</w:t>
            </w:r>
          </w:p>
          <w:p>
            <w:pPr>
              <w:autoSpaceDE w:val="0"/>
              <w:autoSpaceDN w:val="0"/>
              <w:jc w:val="center"/>
              <w:rPr>
                <w:sz w:val="18"/>
                <w:szCs w:val="18"/>
              </w:rPr>
            </w:pPr>
            <w:r>
              <w:rPr>
                <w:rFonts w:hint="eastAsia"/>
              </w:rPr>
              <w:t>tan</w:t>
            </w:r>
            <w:r>
              <w:t>δ</w:t>
            </w:r>
          </w:p>
        </w:tc>
        <w:tc>
          <w:tcPr>
            <w:tcW w:w="2054" w:type="pct"/>
            <w:noWrap w:val="0"/>
            <w:vAlign w:val="center"/>
          </w:tcPr>
          <w:p>
            <w:pPr>
              <w:autoSpaceDE w:val="0"/>
              <w:autoSpaceDN w:val="0"/>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restart"/>
            <w:noWrap w:val="0"/>
            <w:vAlign w:val="center"/>
          </w:tcPr>
          <w:p>
            <w:pPr>
              <w:autoSpaceDE w:val="0"/>
              <w:autoSpaceDN w:val="0"/>
              <w:jc w:val="center"/>
              <w:rPr>
                <w:sz w:val="18"/>
                <w:szCs w:val="18"/>
              </w:rPr>
            </w:pPr>
            <w:r>
              <w:rPr>
                <w:rFonts w:hint="eastAsia"/>
                <w:sz w:val="18"/>
                <w:szCs w:val="18"/>
              </w:rPr>
              <w:t>油纸</w:t>
            </w:r>
          </w:p>
        </w:tc>
        <w:tc>
          <w:tcPr>
            <w:tcW w:w="498" w:type="pct"/>
            <w:noWrap w:val="0"/>
            <w:vAlign w:val="center"/>
          </w:tcPr>
          <w:p>
            <w:pPr>
              <w:autoSpaceDE w:val="0"/>
              <w:autoSpaceDN w:val="0"/>
              <w:jc w:val="center"/>
              <w:rPr>
                <w:sz w:val="18"/>
                <w:szCs w:val="18"/>
              </w:rPr>
            </w:pPr>
            <w:r>
              <w:rPr>
                <w:rFonts w:hint="eastAsia"/>
                <w:sz w:val="18"/>
                <w:szCs w:val="18"/>
              </w:rPr>
              <w:t>电容型</w:t>
            </w:r>
          </w:p>
        </w:tc>
        <w:tc>
          <w:tcPr>
            <w:tcW w:w="739" w:type="pct"/>
            <w:noWrap w:val="0"/>
            <w:vAlign w:val="center"/>
          </w:tcPr>
          <w:p>
            <w:pPr>
              <w:autoSpaceDE w:val="0"/>
              <w:autoSpaceDN w:val="0"/>
              <w:jc w:val="center"/>
              <w:rPr>
                <w:rFonts w:hint="default" w:eastAsia="宋体"/>
                <w:sz w:val="18"/>
                <w:szCs w:val="18"/>
                <w:lang w:val="en-US" w:eastAsia="zh-CN"/>
              </w:rPr>
            </w:pPr>
            <w:r>
              <w:rPr>
                <w:rFonts w:hint="eastAsia" w:ascii="宋体" w:hAnsi="宋体"/>
                <w:sz w:val="18"/>
                <w:szCs w:val="18"/>
              </w:rPr>
              <w:t>≤</w:t>
            </w:r>
            <w:r>
              <w:rPr>
                <w:rFonts w:hint="eastAsia"/>
                <w:sz w:val="18"/>
                <w:szCs w:val="18"/>
                <w:lang w:val="en-US" w:eastAsia="zh-CN"/>
              </w:rPr>
              <w:t>252</w:t>
            </w:r>
          </w:p>
        </w:tc>
        <w:tc>
          <w:tcPr>
            <w:tcW w:w="518" w:type="pct"/>
            <w:noWrap w:val="0"/>
            <w:vAlign w:val="center"/>
          </w:tcPr>
          <w:p>
            <w:pPr>
              <w:jc w:val="center"/>
            </w:pPr>
            <w:r>
              <w:rPr>
                <w:position w:val="-10"/>
              </w:rPr>
              <w:object>
                <v:shape id="_x0000_i1026" o:spt="75" type="#_x0000_t75" style="height:14.4pt;width:28.05pt;" o:ole="t" filled="f" stroked="f" coordsize="21600,21600">
                  <v:path/>
                  <v:fill on="f" focussize="0,0"/>
                  <v:stroke on="f"/>
                  <v:imagedata r:id="rId17" o:title=""/>
                  <o:lock v:ext="edit" grouping="f" rotation="f" text="f" aspectratio="t"/>
                  <w10:wrap type="none"/>
                  <w10:anchorlock/>
                </v:shape>
                <o:OLEObject Type="Embed" ProgID="Equation.KSEE3" ShapeID="_x0000_i1026" DrawAspect="Content" ObjectID="_1468075726" r:id="rId16">
                  <o:LockedField>false</o:LockedField>
                </o:OLEObject>
              </w:object>
            </w:r>
          </w:p>
        </w:tc>
        <w:tc>
          <w:tcPr>
            <w:tcW w:w="739" w:type="pct"/>
            <w:noWrap w:val="0"/>
            <w:vAlign w:val="center"/>
          </w:tcPr>
          <w:p>
            <w:pPr>
              <w:autoSpaceDE w:val="0"/>
              <w:autoSpaceDN w:val="0"/>
              <w:jc w:val="center"/>
              <w:rPr>
                <w:sz w:val="18"/>
                <w:szCs w:val="18"/>
              </w:rPr>
            </w:pPr>
            <w:r>
              <w:rPr>
                <w:rFonts w:hint="eastAsia" w:ascii="宋体" w:hAnsi="宋体"/>
                <w:sz w:val="18"/>
                <w:szCs w:val="18"/>
              </w:rPr>
              <w:t>≤</w:t>
            </w:r>
            <w:r>
              <w:rPr>
                <w:sz w:val="18"/>
                <w:szCs w:val="18"/>
              </w:rPr>
              <w:t>0.005</w:t>
            </w:r>
          </w:p>
        </w:tc>
        <w:tc>
          <w:tcPr>
            <w:tcW w:w="2054" w:type="pct"/>
            <w:vMerge w:val="restart"/>
            <w:noWrap w:val="0"/>
            <w:vAlign w:val="center"/>
          </w:tcPr>
          <w:p>
            <w:pPr>
              <w:autoSpaceDE w:val="0"/>
              <w:autoSpaceDN w:val="0"/>
              <w:jc w:val="center"/>
              <w:rPr>
                <w:sz w:val="18"/>
                <w:szCs w:val="18"/>
              </w:rPr>
            </w:pPr>
            <w:r>
              <w:rPr>
                <w:rFonts w:hint="eastAsia"/>
                <w:position w:val="-10"/>
                <w:sz w:val="18"/>
                <w:szCs w:val="18"/>
              </w:rPr>
              <w:t>对于</w:t>
            </w:r>
            <w:r>
              <w:rPr>
                <w:i/>
                <w:position w:val="-10"/>
                <w:sz w:val="18"/>
                <w:szCs w:val="18"/>
              </w:rPr>
              <w:t>U</w:t>
            </w:r>
            <w:r>
              <w:rPr>
                <w:rFonts w:hint="eastAsia"/>
                <w:position w:val="-10"/>
                <w:sz w:val="18"/>
                <w:szCs w:val="18"/>
                <w:vertAlign w:val="subscript"/>
              </w:rPr>
              <w:t>m</w:t>
            </w:r>
            <w:r>
              <w:rPr>
                <w:rFonts w:hint="eastAsia"/>
                <w:position w:val="-10"/>
                <w:sz w:val="18"/>
                <w:szCs w:val="18"/>
                <w:lang w:val="en-US" w:eastAsia="zh-CN"/>
              </w:rPr>
              <w:t>为</w:t>
            </w:r>
            <w:r>
              <w:rPr>
                <w:rFonts w:hint="eastAsia"/>
                <w:position w:val="-10"/>
                <w:sz w:val="18"/>
                <w:szCs w:val="18"/>
              </w:rPr>
              <w:t>252</w:t>
            </w:r>
            <w:r>
              <w:rPr>
                <w:position w:val="-10"/>
                <w:sz w:val="18"/>
                <w:szCs w:val="18"/>
              </w:rPr>
              <w:t>kV</w:t>
            </w:r>
            <w:r>
              <w:rPr>
                <w:rFonts w:hint="eastAsia"/>
                <w:position w:val="-10"/>
                <w:sz w:val="18"/>
                <w:szCs w:val="18"/>
              </w:rPr>
              <w:t>的电流互感器，</w:t>
            </w:r>
            <w:r>
              <w:rPr>
                <w:position w:val="-10"/>
                <w:sz w:val="18"/>
                <w:szCs w:val="18"/>
              </w:rPr>
              <w:t>在0.5</w:t>
            </w:r>
            <w:r>
              <w:rPr>
                <w:position w:val="-10"/>
                <w:sz w:val="18"/>
                <w:szCs w:val="18"/>
              </w:rPr>
              <w:object>
                <v:shape id="_x0000_i1027" o:spt="75" type="#_x0000_t75" style="height:14.4pt;width:28.05pt;" o:ole="t" filled="f" stroked="f" coordsize="21600,21600">
                  <v:path/>
                  <v:fill on="f" focussize="0,0"/>
                  <v:stroke on="f"/>
                  <v:imagedata r:id="rId17" o:title=""/>
                  <o:lock v:ext="edit" grouping="f" rotation="f" text="f" aspectratio="t"/>
                  <w10:wrap type="none"/>
                  <w10:anchorlock/>
                </v:shape>
                <o:OLEObject Type="Embed" ProgID="Equation.KSEE3" ShapeID="_x0000_i1027" DrawAspect="Content" ObjectID="_1468075727" r:id="rId18">
                  <o:LockedField>false</o:LockedField>
                </o:OLEObject>
              </w:object>
            </w:r>
            <w:r>
              <w:rPr>
                <w:position w:val="-10"/>
                <w:sz w:val="18"/>
                <w:szCs w:val="18"/>
              </w:rPr>
              <w:t>～</w:t>
            </w:r>
            <w:r>
              <w:rPr>
                <w:position w:val="-10"/>
                <w:sz w:val="18"/>
                <w:szCs w:val="18"/>
              </w:rPr>
              <w:object>
                <v:shape id="_x0000_i1028" o:spt="75" type="#_x0000_t75" style="height:14.4pt;width:28.05pt;" o:ole="t" filled="f" stroked="f" coordsize="21600,21600">
                  <v:path/>
                  <v:fill on="f" focussize="0,0"/>
                  <v:stroke on="f"/>
                  <v:imagedata r:id="rId17" o:title=""/>
                  <o:lock v:ext="edit" grouping="f" rotation="f" text="f" aspectratio="t"/>
                  <w10:wrap type="none"/>
                  <w10:anchorlock/>
                </v:shape>
                <o:OLEObject Type="Embed" ProgID="Equation.KSEE3" ShapeID="_x0000_i1028" DrawAspect="Content" ObjectID="_1468075728" r:id="rId19">
                  <o:LockedField>false</o:LockedField>
                </o:OLEObject>
              </w:object>
            </w:r>
            <w:r>
              <w:rPr>
                <w:position w:val="-10"/>
                <w:sz w:val="18"/>
                <w:szCs w:val="18"/>
              </w:rPr>
              <w:t>的测量电压下，介质损耗因数测量值的增值不应大于0.001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48" w:type="pct"/>
            <w:vMerge w:val="continue"/>
            <w:noWrap w:val="0"/>
            <w:vAlign w:val="center"/>
          </w:tcPr>
          <w:p>
            <w:pPr>
              <w:autoSpaceDE w:val="0"/>
              <w:autoSpaceDN w:val="0"/>
              <w:jc w:val="center"/>
              <w:rPr>
                <w:sz w:val="18"/>
                <w:szCs w:val="18"/>
              </w:rPr>
            </w:pPr>
          </w:p>
        </w:tc>
        <w:tc>
          <w:tcPr>
            <w:tcW w:w="498" w:type="pct"/>
            <w:noWrap w:val="0"/>
            <w:vAlign w:val="center"/>
          </w:tcPr>
          <w:p>
            <w:pPr>
              <w:autoSpaceDE w:val="0"/>
              <w:autoSpaceDN w:val="0"/>
              <w:jc w:val="center"/>
              <w:rPr>
                <w:rFonts w:hint="eastAsia"/>
                <w:sz w:val="18"/>
                <w:szCs w:val="18"/>
              </w:rPr>
            </w:pPr>
            <w:r>
              <w:rPr>
                <w:rFonts w:hint="eastAsia"/>
                <w:sz w:val="18"/>
                <w:szCs w:val="18"/>
              </w:rPr>
              <w:t>非电容型</w:t>
            </w:r>
          </w:p>
        </w:tc>
        <w:tc>
          <w:tcPr>
            <w:tcW w:w="739" w:type="pct"/>
            <w:noWrap w:val="0"/>
            <w:vAlign w:val="center"/>
          </w:tcPr>
          <w:p>
            <w:pPr>
              <w:autoSpaceDE w:val="0"/>
              <w:autoSpaceDN w:val="0"/>
              <w:jc w:val="center"/>
              <w:rPr>
                <w:strike/>
                <w:color w:val="FF0000"/>
                <w:sz w:val="18"/>
                <w:szCs w:val="18"/>
              </w:rPr>
            </w:pPr>
            <w:r>
              <w:rPr>
                <w:rFonts w:hint="eastAsia"/>
                <w:sz w:val="18"/>
                <w:szCs w:val="18"/>
              </w:rPr>
              <w:t>40.5</w:t>
            </w:r>
          </w:p>
        </w:tc>
        <w:tc>
          <w:tcPr>
            <w:tcW w:w="518" w:type="pct"/>
            <w:noWrap w:val="0"/>
            <w:vAlign w:val="center"/>
          </w:tcPr>
          <w:p>
            <w:pPr>
              <w:autoSpaceDE w:val="0"/>
              <w:autoSpaceDN w:val="0"/>
              <w:jc w:val="center"/>
              <w:rPr>
                <w:strike/>
                <w:color w:val="FF0000"/>
                <w:sz w:val="18"/>
                <w:szCs w:val="18"/>
              </w:rPr>
            </w:pPr>
            <w:r>
              <w:rPr>
                <w:rFonts w:hint="eastAsia"/>
                <w:sz w:val="18"/>
                <w:szCs w:val="18"/>
              </w:rPr>
              <w:t>10</w:t>
            </w:r>
          </w:p>
        </w:tc>
        <w:tc>
          <w:tcPr>
            <w:tcW w:w="739" w:type="pct"/>
            <w:noWrap w:val="0"/>
            <w:vAlign w:val="center"/>
          </w:tcPr>
          <w:p>
            <w:pPr>
              <w:autoSpaceDE w:val="0"/>
              <w:autoSpaceDN w:val="0"/>
              <w:jc w:val="center"/>
              <w:rPr>
                <w:strike/>
                <w:color w:val="FF0000"/>
                <w:sz w:val="18"/>
                <w:szCs w:val="18"/>
              </w:rPr>
            </w:pPr>
            <w:r>
              <w:rPr>
                <w:rFonts w:hint="eastAsia" w:ascii="宋体" w:hAnsi="宋体"/>
                <w:sz w:val="18"/>
                <w:szCs w:val="18"/>
              </w:rPr>
              <w:t>≤</w:t>
            </w:r>
            <w:r>
              <w:rPr>
                <w:sz w:val="18"/>
                <w:szCs w:val="18"/>
              </w:rPr>
              <w:t>0.0</w:t>
            </w:r>
            <w:r>
              <w:rPr>
                <w:rFonts w:hint="eastAsia"/>
                <w:sz w:val="18"/>
                <w:szCs w:val="18"/>
              </w:rPr>
              <w:t>2</w:t>
            </w:r>
          </w:p>
        </w:tc>
        <w:tc>
          <w:tcPr>
            <w:tcW w:w="2054" w:type="pct"/>
            <w:vMerge w:val="continue"/>
            <w:noWrap w:val="0"/>
            <w:vAlign w:val="center"/>
          </w:tcPr>
          <w:p>
            <w:pPr>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noWrap w:val="0"/>
            <w:vAlign w:val="center"/>
          </w:tcPr>
          <w:p>
            <w:pPr>
              <w:autoSpaceDE w:val="0"/>
              <w:autoSpaceDN w:val="0"/>
              <w:jc w:val="center"/>
              <w:rPr>
                <w:sz w:val="18"/>
                <w:szCs w:val="18"/>
              </w:rPr>
            </w:pPr>
            <w:r>
              <w:rPr>
                <w:sz w:val="18"/>
                <w:szCs w:val="18"/>
              </w:rPr>
              <w:t>合成薄膜</w:t>
            </w:r>
          </w:p>
        </w:tc>
        <w:tc>
          <w:tcPr>
            <w:tcW w:w="498" w:type="pct"/>
            <w:noWrap w:val="0"/>
            <w:vAlign w:val="center"/>
          </w:tcPr>
          <w:p>
            <w:pPr>
              <w:autoSpaceDE w:val="0"/>
              <w:autoSpaceDN w:val="0"/>
              <w:jc w:val="center"/>
              <w:rPr>
                <w:sz w:val="18"/>
                <w:szCs w:val="18"/>
              </w:rPr>
            </w:pPr>
            <w:r>
              <w:rPr>
                <w:rFonts w:hint="eastAsia"/>
                <w:sz w:val="18"/>
                <w:szCs w:val="18"/>
              </w:rPr>
              <w:t>/</w:t>
            </w:r>
          </w:p>
        </w:tc>
        <w:tc>
          <w:tcPr>
            <w:tcW w:w="739" w:type="pct"/>
            <w:noWrap w:val="0"/>
            <w:vAlign w:val="center"/>
          </w:tcPr>
          <w:p>
            <w:pPr>
              <w:autoSpaceDE w:val="0"/>
              <w:autoSpaceDN w:val="0"/>
              <w:jc w:val="center"/>
              <w:rPr>
                <w:sz w:val="18"/>
                <w:szCs w:val="18"/>
              </w:rPr>
            </w:pPr>
            <w:r>
              <w:rPr>
                <w:rFonts w:hint="eastAsia" w:ascii="宋体" w:hAnsi="宋体"/>
                <w:sz w:val="18"/>
                <w:szCs w:val="18"/>
              </w:rPr>
              <w:t>≥</w:t>
            </w:r>
            <w:r>
              <w:rPr>
                <w:sz w:val="18"/>
                <w:szCs w:val="18"/>
              </w:rPr>
              <w:t>40.5</w:t>
            </w:r>
          </w:p>
        </w:tc>
        <w:tc>
          <w:tcPr>
            <w:tcW w:w="518" w:type="pct"/>
            <w:noWrap w:val="0"/>
            <w:vAlign w:val="center"/>
          </w:tcPr>
          <w:p>
            <w:pPr>
              <w:autoSpaceDE w:val="0"/>
              <w:autoSpaceDN w:val="0"/>
              <w:jc w:val="center"/>
              <w:rPr>
                <w:sz w:val="18"/>
                <w:szCs w:val="18"/>
              </w:rPr>
            </w:pPr>
            <w:r>
              <w:rPr>
                <w:position w:val="-10"/>
                <w:sz w:val="18"/>
                <w:szCs w:val="18"/>
              </w:rPr>
              <w:object>
                <v:shape id="_x0000_i1029" o:spt="75" type="#_x0000_t75" style="height:14.4pt;width:28.05pt;" o:ole="t" filled="f" stroked="f" coordsize="21600,21600">
                  <v:path/>
                  <v:fill on="f" focussize="0,0"/>
                  <v:stroke on="f"/>
                  <v:imagedata r:id="rId17" o:title=""/>
                  <o:lock v:ext="edit" grouping="f" rotation="f" text="f" aspectratio="t"/>
                  <w10:wrap type="none"/>
                  <w10:anchorlock/>
                </v:shape>
                <o:OLEObject Type="Embed" ProgID="Equation.KSEE3" ShapeID="_x0000_i1029" DrawAspect="Content" ObjectID="_1468075729" r:id="rId20">
                  <o:LockedField>false</o:LockedField>
                </o:OLEObject>
              </w:object>
            </w:r>
          </w:p>
        </w:tc>
        <w:tc>
          <w:tcPr>
            <w:tcW w:w="739" w:type="pct"/>
            <w:noWrap w:val="0"/>
            <w:vAlign w:val="center"/>
          </w:tcPr>
          <w:p>
            <w:pPr>
              <w:autoSpaceDE w:val="0"/>
              <w:autoSpaceDN w:val="0"/>
              <w:jc w:val="center"/>
              <w:rPr>
                <w:sz w:val="18"/>
                <w:szCs w:val="18"/>
              </w:rPr>
            </w:pPr>
            <w:r>
              <w:rPr>
                <w:rFonts w:hint="eastAsia" w:ascii="宋体" w:hAnsi="宋体"/>
                <w:sz w:val="18"/>
                <w:szCs w:val="18"/>
              </w:rPr>
              <w:t>≤</w:t>
            </w:r>
            <w:r>
              <w:rPr>
                <w:sz w:val="18"/>
                <w:szCs w:val="18"/>
              </w:rPr>
              <w:t>0.0025</w:t>
            </w:r>
          </w:p>
        </w:tc>
        <w:tc>
          <w:tcPr>
            <w:tcW w:w="2054" w:type="pct"/>
            <w:noWrap w:val="0"/>
            <w:vAlign w:val="center"/>
          </w:tcPr>
          <w:p>
            <w:pPr>
              <w:autoSpaceDE w:val="0"/>
              <w:autoSpaceDN w:val="0"/>
              <w:jc w:val="center"/>
              <w:textAlignment w:val="center"/>
              <w:rPr>
                <w:color w:val="FF0000"/>
                <w:sz w:val="18"/>
                <w:szCs w:val="18"/>
              </w:rPr>
            </w:pPr>
            <w:r>
              <w:rPr>
                <w:position w:val="-10"/>
                <w:sz w:val="18"/>
                <w:szCs w:val="18"/>
              </w:rPr>
              <w:t>在0.5</w:t>
            </w:r>
            <w:r>
              <w:rPr>
                <w:position w:val="-10"/>
                <w:sz w:val="18"/>
                <w:szCs w:val="18"/>
              </w:rPr>
              <w:object>
                <v:shape id="_x0000_i1030" o:spt="75" type="#_x0000_t75" style="height:14.4pt;width:28.05pt;" o:ole="t" filled="f" stroked="f" coordsize="21600,21600">
                  <v:path/>
                  <v:fill on="f" focussize="0,0"/>
                  <v:stroke on="f"/>
                  <v:imagedata r:id="rId17" o:title=""/>
                  <o:lock v:ext="edit" grouping="f" rotation="f" text="f" aspectratio="t"/>
                  <w10:wrap type="none"/>
                  <w10:anchorlock/>
                </v:shape>
                <o:OLEObject Type="Embed" ProgID="Equation.KSEE3" ShapeID="_x0000_i1030" DrawAspect="Content" ObjectID="_1468075730" r:id="rId21">
                  <o:LockedField>false</o:LockedField>
                </o:OLEObject>
              </w:object>
            </w:r>
            <w:r>
              <w:rPr>
                <w:position w:val="-10"/>
                <w:sz w:val="18"/>
                <w:szCs w:val="18"/>
              </w:rPr>
              <w:t>～</w:t>
            </w:r>
            <w:r>
              <w:rPr>
                <w:position w:val="-10"/>
                <w:sz w:val="18"/>
                <w:szCs w:val="18"/>
              </w:rPr>
              <w:object>
                <v:shape id="_x0000_i1031" o:spt="75" type="#_x0000_t75" style="height:14.4pt;width:28.05pt;" o:ole="t" filled="f" stroked="f" coordsize="21600,21600">
                  <v:path/>
                  <v:fill on="f" focussize="0,0"/>
                  <v:stroke on="f"/>
                  <v:imagedata r:id="rId17" o:title=""/>
                  <o:lock v:ext="edit" grouping="f" rotation="f" text="f" aspectratio="t"/>
                  <w10:wrap type="none"/>
                  <w10:anchorlock/>
                </v:shape>
                <o:OLEObject Type="Embed" ProgID="Equation.KSEE3" ShapeID="_x0000_i1031" DrawAspect="Content" ObjectID="_1468075731" r:id="rId22">
                  <o:LockedField>false</o:LockedField>
                </o:OLEObject>
              </w:object>
            </w:r>
            <w:r>
              <w:rPr>
                <w:position w:val="-10"/>
                <w:sz w:val="18"/>
                <w:szCs w:val="18"/>
              </w:rPr>
              <w:t>的测量电压下，介质损耗因数测量值的增值不应大于0.001</w:t>
            </w:r>
          </w:p>
        </w:tc>
      </w:tr>
    </w:tbl>
    <w:p>
      <w:pPr>
        <w:pStyle w:val="74"/>
        <w:bidi w:val="0"/>
        <w:ind w:left="1135" w:leftChars="0" w:hanging="1135" w:firstLineChars="0"/>
      </w:pPr>
      <w:bookmarkStart w:id="81" w:name="_Toc317177957"/>
      <w:bookmarkStart w:id="82" w:name="_Toc262827049"/>
      <w:bookmarkStart w:id="83" w:name="_Toc84962001"/>
      <w:bookmarkStart w:id="84" w:name="_Toc67263569"/>
      <w:bookmarkStart w:id="85" w:name="_Toc326151918"/>
      <w:bookmarkStart w:id="86" w:name="_Toc309756101"/>
      <w:bookmarkStart w:id="87" w:name="_Toc309744227"/>
      <w:bookmarkStart w:id="88" w:name="_Toc309754957"/>
      <w:bookmarkStart w:id="89" w:name="_Toc17230"/>
      <w:bookmarkStart w:id="90" w:name="_Toc296872627"/>
      <w:r>
        <w:t>局部放电水平</w:t>
      </w:r>
      <w:bookmarkEnd w:id="81"/>
      <w:bookmarkEnd w:id="82"/>
      <w:bookmarkEnd w:id="83"/>
      <w:bookmarkEnd w:id="84"/>
      <w:bookmarkEnd w:id="85"/>
      <w:bookmarkEnd w:id="86"/>
      <w:bookmarkEnd w:id="87"/>
      <w:bookmarkEnd w:id="88"/>
      <w:bookmarkEnd w:id="89"/>
      <w:bookmarkEnd w:id="90"/>
    </w:p>
    <w:p>
      <w:pPr>
        <w:autoSpaceDE w:val="0"/>
        <w:autoSpaceDN w:val="0"/>
        <w:ind w:firstLine="420" w:firstLineChars="200"/>
        <w:rPr>
          <w:rFonts w:hint="eastAsia"/>
          <w:szCs w:val="21"/>
        </w:rPr>
      </w:pPr>
      <w:r>
        <w:rPr>
          <w:rFonts w:hint="eastAsia"/>
          <w:szCs w:val="21"/>
        </w:rPr>
        <w:t>电流互感器的局部放电水平应符合下列要求：</w:t>
      </w:r>
    </w:p>
    <w:p>
      <w:pPr>
        <w:autoSpaceDE w:val="0"/>
        <w:autoSpaceDN w:val="0"/>
        <w:ind w:firstLine="420" w:firstLineChars="200"/>
        <w:rPr>
          <w:rFonts w:hint="eastAsia"/>
          <w:szCs w:val="21"/>
        </w:rPr>
      </w:pPr>
      <w:r>
        <w:rPr>
          <w:szCs w:val="21"/>
        </w:rPr>
        <w:t>——对于设备最高电压为</w:t>
      </w:r>
      <w:r>
        <w:rPr>
          <w:rFonts w:hint="eastAsia"/>
          <w:szCs w:val="21"/>
          <w:lang w:val="en-US" w:eastAsia="zh-CN"/>
        </w:rPr>
        <w:t>12</w:t>
      </w:r>
      <w:r>
        <w:rPr>
          <w:szCs w:val="21"/>
        </w:rPr>
        <w:t>kV及以上的电流互感器，其局部放电水平应不超过表</w:t>
      </w:r>
      <w:r>
        <w:rPr>
          <w:rFonts w:hint="eastAsia"/>
          <w:szCs w:val="21"/>
          <w:lang w:val="en-US" w:eastAsia="zh-CN"/>
        </w:rPr>
        <w:t>6</w:t>
      </w:r>
      <w:r>
        <w:rPr>
          <w:szCs w:val="21"/>
        </w:rPr>
        <w:t>的规定数值</w:t>
      </w:r>
      <w:r>
        <w:rPr>
          <w:rFonts w:hint="eastAsia"/>
          <w:szCs w:val="21"/>
        </w:rPr>
        <w:t>；</w:t>
      </w:r>
    </w:p>
    <w:p>
      <w:pPr>
        <w:ind w:left="840" w:leftChars="200" w:hanging="420" w:hangingChars="200"/>
        <w:rPr>
          <w:rFonts w:hint="eastAsia"/>
          <w:szCs w:val="21"/>
        </w:rPr>
      </w:pPr>
      <w:r>
        <w:rPr>
          <w:szCs w:val="21"/>
        </w:rPr>
        <w:t>——若中性点接地方式没有明确，局部放电水平可按中性点</w:t>
      </w:r>
      <w:r>
        <w:rPr>
          <w:rFonts w:hint="eastAsia"/>
          <w:szCs w:val="21"/>
        </w:rPr>
        <w:t>绝缘系统或</w:t>
      </w:r>
      <w:r>
        <w:rPr>
          <w:szCs w:val="21"/>
        </w:rPr>
        <w:t>非有效接地系统考虑</w:t>
      </w:r>
      <w:r>
        <w:rPr>
          <w:rFonts w:hint="eastAsia"/>
          <w:szCs w:val="21"/>
        </w:rPr>
        <w:t>；</w:t>
      </w:r>
    </w:p>
    <w:p>
      <w:pPr>
        <w:ind w:left="840" w:leftChars="200" w:hanging="420" w:hangingChars="200"/>
        <w:rPr>
          <w:rFonts w:hint="eastAsia"/>
          <w:szCs w:val="21"/>
        </w:rPr>
      </w:pPr>
      <w:r>
        <w:rPr>
          <w:szCs w:val="21"/>
        </w:rPr>
        <w:t>——局部放电的最大允许值对于非额定频率也是适用的</w:t>
      </w:r>
      <w:r>
        <w:rPr>
          <w:rFonts w:hint="eastAsia"/>
          <w:szCs w:val="21"/>
        </w:rPr>
        <w:t>。</w:t>
      </w:r>
    </w:p>
    <w:p>
      <w:pPr>
        <w:pStyle w:val="84"/>
        <w:ind w:left="0" w:leftChars="-250" w:hanging="525" w:hangingChars="250"/>
        <w:rPr>
          <w:rFonts w:ascii="Times New Roman"/>
          <w:szCs w:val="21"/>
        </w:rPr>
      </w:pPr>
      <w:r>
        <w:rPr>
          <w:rFonts w:hint="eastAsia" w:ascii="Times New Roman"/>
          <w:szCs w:val="21"/>
          <w:lang w:val="en-US" w:eastAsia="zh-CN"/>
        </w:rPr>
        <w:t xml:space="preserve">表6 </w:t>
      </w:r>
      <w:r>
        <w:rPr>
          <w:rFonts w:ascii="Times New Roman"/>
          <w:szCs w:val="21"/>
        </w:rPr>
        <w:t>允许的局部放电水平</w:t>
      </w:r>
    </w:p>
    <w:tbl>
      <w:tblPr>
        <w:tblStyle w:val="42"/>
        <w:tblW w:w="98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759"/>
        <w:gridCol w:w="1985"/>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4" w:type="dxa"/>
            <w:vMerge w:val="restart"/>
            <w:noWrap w:val="0"/>
            <w:vAlign w:val="center"/>
          </w:tcPr>
          <w:p>
            <w:pPr>
              <w:jc w:val="center"/>
              <w:rPr>
                <w:sz w:val="18"/>
              </w:rPr>
            </w:pPr>
            <w:r>
              <w:rPr>
                <w:sz w:val="18"/>
                <w:szCs w:val="18"/>
              </w:rPr>
              <w:t>系统中性点接地方式</w:t>
            </w:r>
          </w:p>
        </w:tc>
        <w:tc>
          <w:tcPr>
            <w:tcW w:w="1759" w:type="dxa"/>
            <w:vMerge w:val="restart"/>
            <w:noWrap w:val="0"/>
            <w:vAlign w:val="center"/>
          </w:tcPr>
          <w:p>
            <w:pPr>
              <w:jc w:val="center"/>
              <w:rPr>
                <w:sz w:val="18"/>
                <w:szCs w:val="18"/>
              </w:rPr>
            </w:pPr>
            <w:r>
              <w:rPr>
                <w:sz w:val="18"/>
                <w:szCs w:val="18"/>
              </w:rPr>
              <w:t>局部放电测量电压</w:t>
            </w:r>
          </w:p>
          <w:p>
            <w:pPr>
              <w:jc w:val="center"/>
              <w:rPr>
                <w:sz w:val="18"/>
                <w:szCs w:val="18"/>
              </w:rPr>
            </w:pPr>
            <w:r>
              <w:rPr>
                <w:sz w:val="18"/>
                <w:szCs w:val="18"/>
              </w:rPr>
              <w:t>（方均根值）</w:t>
            </w:r>
          </w:p>
          <w:p>
            <w:pPr>
              <w:jc w:val="center"/>
              <w:rPr>
                <w:sz w:val="18"/>
              </w:rPr>
            </w:pPr>
            <w:r>
              <w:rPr>
                <w:sz w:val="18"/>
                <w:szCs w:val="18"/>
              </w:rPr>
              <w:t>kV</w:t>
            </w:r>
          </w:p>
        </w:tc>
        <w:tc>
          <w:tcPr>
            <w:tcW w:w="5813" w:type="dxa"/>
            <w:gridSpan w:val="3"/>
            <w:noWrap w:val="0"/>
            <w:vAlign w:val="center"/>
          </w:tcPr>
          <w:p>
            <w:pPr>
              <w:jc w:val="center"/>
              <w:rPr>
                <w:sz w:val="18"/>
                <w:szCs w:val="18"/>
              </w:rPr>
            </w:pPr>
            <w:r>
              <w:rPr>
                <w:sz w:val="18"/>
                <w:szCs w:val="18"/>
              </w:rPr>
              <w:t>局部放电允许水平(视在放电量)</w:t>
            </w:r>
          </w:p>
          <w:p>
            <w:pPr>
              <w:jc w:val="center"/>
              <w:rPr>
                <w:sz w:val="18"/>
              </w:rPr>
            </w:pPr>
            <w:r>
              <w:rPr>
                <w:sz w:val="18"/>
                <w:szCs w:val="18"/>
              </w:rPr>
              <w:t>pC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4" w:type="dxa"/>
            <w:vMerge w:val="continue"/>
            <w:noWrap w:val="0"/>
            <w:vAlign w:val="center"/>
          </w:tcPr>
          <w:p>
            <w:pPr>
              <w:jc w:val="center"/>
              <w:rPr>
                <w:sz w:val="18"/>
              </w:rPr>
            </w:pPr>
          </w:p>
        </w:tc>
        <w:tc>
          <w:tcPr>
            <w:tcW w:w="1759" w:type="dxa"/>
            <w:vMerge w:val="continue"/>
            <w:noWrap w:val="0"/>
            <w:vAlign w:val="center"/>
          </w:tcPr>
          <w:p>
            <w:pPr>
              <w:jc w:val="center"/>
              <w:rPr>
                <w:sz w:val="18"/>
              </w:rPr>
            </w:pPr>
          </w:p>
        </w:tc>
        <w:tc>
          <w:tcPr>
            <w:tcW w:w="5813" w:type="dxa"/>
            <w:gridSpan w:val="3"/>
            <w:noWrap w:val="0"/>
            <w:vAlign w:val="center"/>
          </w:tcPr>
          <w:p>
            <w:pPr>
              <w:jc w:val="center"/>
              <w:rPr>
                <w:sz w:val="18"/>
              </w:rPr>
            </w:pPr>
            <w:r>
              <w:rPr>
                <w:sz w:val="18"/>
                <w:szCs w:val="18"/>
              </w:rPr>
              <w:t>绝缘</w:t>
            </w:r>
            <w:r>
              <w:rPr>
                <w:rFonts w:hint="eastAsia"/>
                <w:sz w:val="18"/>
                <w:szCs w:val="18"/>
              </w:rPr>
              <w:t>介质种类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4" w:type="dxa"/>
            <w:vMerge w:val="continue"/>
            <w:noWrap w:val="0"/>
            <w:vAlign w:val="center"/>
          </w:tcPr>
          <w:p>
            <w:pPr>
              <w:jc w:val="center"/>
              <w:rPr>
                <w:sz w:val="18"/>
              </w:rPr>
            </w:pPr>
          </w:p>
        </w:tc>
        <w:tc>
          <w:tcPr>
            <w:tcW w:w="1759" w:type="dxa"/>
            <w:vMerge w:val="continue"/>
            <w:noWrap w:val="0"/>
            <w:vAlign w:val="center"/>
          </w:tcPr>
          <w:p>
            <w:pPr>
              <w:jc w:val="center"/>
              <w:rPr>
                <w:sz w:val="18"/>
              </w:rPr>
            </w:pPr>
          </w:p>
        </w:tc>
        <w:tc>
          <w:tcPr>
            <w:tcW w:w="1985" w:type="dxa"/>
            <w:noWrap w:val="0"/>
            <w:vAlign w:val="center"/>
          </w:tcPr>
          <w:p>
            <w:pPr>
              <w:jc w:val="center"/>
              <w:rPr>
                <w:rFonts w:hint="eastAsia"/>
                <w:sz w:val="18"/>
                <w:szCs w:val="18"/>
              </w:rPr>
            </w:pPr>
            <w:r>
              <w:rPr>
                <w:rFonts w:hint="eastAsia"/>
                <w:sz w:val="18"/>
                <w:szCs w:val="18"/>
              </w:rPr>
              <w:t>油纸</w:t>
            </w:r>
            <w:r>
              <w:rPr>
                <w:sz w:val="18"/>
                <w:szCs w:val="18"/>
              </w:rPr>
              <w:t>（气体）</w:t>
            </w:r>
          </w:p>
        </w:tc>
        <w:tc>
          <w:tcPr>
            <w:tcW w:w="1914" w:type="dxa"/>
            <w:noWrap w:val="0"/>
            <w:vAlign w:val="center"/>
          </w:tcPr>
          <w:p>
            <w:pPr>
              <w:jc w:val="center"/>
              <w:rPr>
                <w:rFonts w:hint="eastAsia"/>
                <w:sz w:val="18"/>
                <w:szCs w:val="18"/>
              </w:rPr>
            </w:pPr>
            <w:r>
              <w:rPr>
                <w:rFonts w:hint="eastAsia"/>
                <w:sz w:val="18"/>
                <w:szCs w:val="18"/>
              </w:rPr>
              <w:t>树脂</w:t>
            </w:r>
          </w:p>
        </w:tc>
        <w:tc>
          <w:tcPr>
            <w:tcW w:w="1914" w:type="dxa"/>
            <w:noWrap w:val="0"/>
            <w:vAlign w:val="center"/>
          </w:tcPr>
          <w:p>
            <w:pPr>
              <w:jc w:val="center"/>
              <w:rPr>
                <w:sz w:val="18"/>
              </w:rPr>
            </w:pPr>
            <w:r>
              <w:rPr>
                <w:sz w:val="18"/>
              </w:rPr>
              <w:t>合成薄膜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4" w:type="dxa"/>
            <w:vMerge w:val="restart"/>
            <w:noWrap w:val="0"/>
            <w:vAlign w:val="center"/>
          </w:tcPr>
          <w:p>
            <w:pPr>
              <w:jc w:val="center"/>
              <w:rPr>
                <w:sz w:val="18"/>
                <w:szCs w:val="18"/>
              </w:rPr>
            </w:pPr>
            <w:r>
              <w:rPr>
                <w:sz w:val="18"/>
                <w:szCs w:val="18"/>
              </w:rPr>
              <w:t>中性点有效接地系统</w:t>
            </w:r>
          </w:p>
          <w:p>
            <w:pPr>
              <w:jc w:val="center"/>
              <w:rPr>
                <w:sz w:val="18"/>
              </w:rPr>
            </w:pPr>
            <w:r>
              <w:rPr>
                <w:sz w:val="18"/>
                <w:szCs w:val="18"/>
              </w:rPr>
              <w:t>（接地故障因数≤1.4）</w:t>
            </w:r>
          </w:p>
        </w:tc>
        <w:tc>
          <w:tcPr>
            <w:tcW w:w="1759" w:type="dxa"/>
            <w:noWrap w:val="0"/>
            <w:vAlign w:val="center"/>
          </w:tcPr>
          <w:p>
            <w:pPr>
              <w:jc w:val="center"/>
              <w:rPr>
                <w:sz w:val="18"/>
              </w:rPr>
            </w:pPr>
            <w:r>
              <w:rPr>
                <w:rFonts w:eastAsia="仿宋_GB2312"/>
                <w:i/>
                <w:iCs/>
                <w:sz w:val="18"/>
              </w:rPr>
              <w:t>U</w:t>
            </w:r>
            <w:r>
              <w:rPr>
                <w:rFonts w:eastAsia="仿宋_GB2312"/>
                <w:sz w:val="18"/>
                <w:vertAlign w:val="subscript"/>
              </w:rPr>
              <w:t>m</w:t>
            </w:r>
          </w:p>
        </w:tc>
        <w:tc>
          <w:tcPr>
            <w:tcW w:w="1985" w:type="dxa"/>
            <w:noWrap w:val="0"/>
            <w:vAlign w:val="center"/>
          </w:tcPr>
          <w:p>
            <w:pPr>
              <w:jc w:val="center"/>
              <w:rPr>
                <w:sz w:val="18"/>
              </w:rPr>
            </w:pPr>
            <w:r>
              <w:rPr>
                <w:sz w:val="18"/>
              </w:rPr>
              <w:t>10</w:t>
            </w:r>
          </w:p>
        </w:tc>
        <w:tc>
          <w:tcPr>
            <w:tcW w:w="1914" w:type="dxa"/>
            <w:noWrap w:val="0"/>
            <w:vAlign w:val="center"/>
          </w:tcPr>
          <w:p>
            <w:pPr>
              <w:jc w:val="center"/>
              <w:rPr>
                <w:sz w:val="18"/>
              </w:rPr>
            </w:pPr>
            <w:r>
              <w:rPr>
                <w:sz w:val="18"/>
              </w:rPr>
              <w:t>50</w:t>
            </w:r>
          </w:p>
        </w:tc>
        <w:tc>
          <w:tcPr>
            <w:tcW w:w="1914" w:type="dxa"/>
            <w:noWrap w:val="0"/>
            <w:vAlign w:val="center"/>
          </w:tcPr>
          <w:p>
            <w:pPr>
              <w:jc w:val="center"/>
              <w:rPr>
                <w:sz w:val="18"/>
              </w:rPr>
            </w:pPr>
            <w:r>
              <w:rPr>
                <w:sz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4" w:type="dxa"/>
            <w:vMerge w:val="continue"/>
            <w:tcBorders>
              <w:bottom w:val="single" w:color="auto" w:sz="4" w:space="0"/>
            </w:tcBorders>
            <w:noWrap w:val="0"/>
            <w:vAlign w:val="center"/>
          </w:tcPr>
          <w:p>
            <w:pPr>
              <w:jc w:val="center"/>
              <w:rPr>
                <w:sz w:val="18"/>
              </w:rPr>
            </w:pPr>
          </w:p>
        </w:tc>
        <w:tc>
          <w:tcPr>
            <w:tcW w:w="1759" w:type="dxa"/>
            <w:tcBorders>
              <w:bottom w:val="single" w:color="auto" w:sz="4" w:space="0"/>
            </w:tcBorders>
            <w:noWrap w:val="0"/>
            <w:vAlign w:val="center"/>
          </w:tcPr>
          <w:p>
            <w:pPr>
              <w:jc w:val="center"/>
              <w:rPr>
                <w:sz w:val="18"/>
              </w:rPr>
            </w:pPr>
            <w:r>
              <w:rPr>
                <w:rFonts w:eastAsia="仿宋_GB2312"/>
                <w:sz w:val="18"/>
              </w:rPr>
              <w:t>1.2</w:t>
            </w:r>
            <w:r>
              <w:rPr>
                <w:rFonts w:eastAsia="仿宋_GB2312"/>
                <w:i/>
                <w:iCs/>
                <w:sz w:val="18"/>
              </w:rPr>
              <w:t>U</w:t>
            </w:r>
            <w:r>
              <w:rPr>
                <w:rFonts w:eastAsia="仿宋_GB2312"/>
                <w:sz w:val="18"/>
                <w:vertAlign w:val="subscript"/>
              </w:rPr>
              <w:t>m</w:t>
            </w:r>
            <w:r>
              <w:rPr>
                <w:rFonts w:eastAsia="仿宋_GB2312"/>
                <w:spacing w:val="-20"/>
                <w:sz w:val="18"/>
              </w:rPr>
              <w:t>／</w:t>
            </w:r>
            <w:r>
              <w:rPr>
                <w:rFonts w:eastAsia="仿宋_GB2312"/>
                <w:position w:val="-8"/>
                <w:sz w:val="18"/>
              </w:rPr>
              <w:object>
                <v:shape id="_x0000_i1032" o:spt="75" type="#_x0000_t75" style="height:10.7pt;width:16.05pt;" o:ole="t" fillcolor="#6D6D6D" filled="f" stroked="f" coordsize="21600,21600">
                  <v:path/>
                  <v:fill on="f" focussize="0,0"/>
                  <v:stroke on="f"/>
                  <v:imagedata r:id="rId24" cropleft="6099f" croptop="8422f" cropright="3926f" cropbottom="5687f" o:title=""/>
                  <o:lock v:ext="edit" grouping="f" rotation="f" text="f" aspectratio="t"/>
                  <w10:wrap type="none"/>
                  <w10:anchorlock/>
                </v:shape>
                <o:OLEObject Type="Embed" ProgID="Equation.3" ShapeID="_x0000_i1032" DrawAspect="Content" ObjectID="_1468075732" r:id="rId23">
                  <o:LockedField>false</o:LockedField>
                </o:OLEObject>
              </w:object>
            </w:r>
          </w:p>
        </w:tc>
        <w:tc>
          <w:tcPr>
            <w:tcW w:w="1985" w:type="dxa"/>
            <w:tcBorders>
              <w:bottom w:val="single" w:color="auto" w:sz="4" w:space="0"/>
            </w:tcBorders>
            <w:noWrap w:val="0"/>
            <w:vAlign w:val="center"/>
          </w:tcPr>
          <w:p>
            <w:pPr>
              <w:jc w:val="center"/>
              <w:rPr>
                <w:sz w:val="18"/>
              </w:rPr>
            </w:pPr>
            <w:r>
              <w:rPr>
                <w:sz w:val="18"/>
              </w:rPr>
              <w:t>5</w:t>
            </w:r>
          </w:p>
        </w:tc>
        <w:tc>
          <w:tcPr>
            <w:tcW w:w="1914" w:type="dxa"/>
            <w:tcBorders>
              <w:bottom w:val="single" w:color="auto" w:sz="4" w:space="0"/>
            </w:tcBorders>
            <w:noWrap w:val="0"/>
            <w:vAlign w:val="center"/>
          </w:tcPr>
          <w:p>
            <w:pPr>
              <w:jc w:val="center"/>
              <w:rPr>
                <w:sz w:val="18"/>
              </w:rPr>
            </w:pPr>
            <w:r>
              <w:rPr>
                <w:sz w:val="18"/>
              </w:rPr>
              <w:t>20</w:t>
            </w:r>
          </w:p>
        </w:tc>
        <w:tc>
          <w:tcPr>
            <w:tcW w:w="1914" w:type="dxa"/>
            <w:tcBorders>
              <w:bottom w:val="single" w:color="auto" w:sz="4" w:space="0"/>
            </w:tcBorders>
            <w:noWrap w:val="0"/>
            <w:vAlign w:val="center"/>
          </w:tcPr>
          <w:p>
            <w:pPr>
              <w:jc w:val="center"/>
              <w:rPr>
                <w:sz w:val="18"/>
              </w:rPr>
            </w:pPr>
            <w:r>
              <w:rPr>
                <w:sz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4" w:type="dxa"/>
            <w:vMerge w:val="restart"/>
            <w:tcBorders>
              <w:top w:val="single" w:color="auto" w:sz="4" w:space="0"/>
            </w:tcBorders>
            <w:noWrap w:val="0"/>
            <w:vAlign w:val="center"/>
          </w:tcPr>
          <w:p>
            <w:pPr>
              <w:jc w:val="center"/>
              <w:rPr>
                <w:sz w:val="18"/>
                <w:szCs w:val="18"/>
              </w:rPr>
            </w:pPr>
            <w:r>
              <w:rPr>
                <w:sz w:val="18"/>
                <w:szCs w:val="18"/>
              </w:rPr>
              <w:t>中性点</w:t>
            </w:r>
            <w:r>
              <w:rPr>
                <w:rFonts w:hint="eastAsia"/>
                <w:sz w:val="18"/>
                <w:szCs w:val="18"/>
              </w:rPr>
              <w:t>绝缘系统或</w:t>
            </w:r>
            <w:r>
              <w:rPr>
                <w:sz w:val="18"/>
                <w:szCs w:val="18"/>
              </w:rPr>
              <w:t>非有效接地系统</w:t>
            </w:r>
          </w:p>
          <w:p>
            <w:pPr>
              <w:jc w:val="center"/>
              <w:rPr>
                <w:sz w:val="18"/>
              </w:rPr>
            </w:pPr>
            <w:r>
              <w:rPr>
                <w:sz w:val="18"/>
                <w:szCs w:val="18"/>
              </w:rPr>
              <w:t>（接地故障因数＞1.4）</w:t>
            </w:r>
          </w:p>
        </w:tc>
        <w:tc>
          <w:tcPr>
            <w:tcW w:w="1759" w:type="dxa"/>
            <w:tcBorders>
              <w:top w:val="single" w:color="auto" w:sz="4" w:space="0"/>
              <w:bottom w:val="single" w:color="auto" w:sz="8" w:space="0"/>
            </w:tcBorders>
            <w:noWrap w:val="0"/>
            <w:vAlign w:val="center"/>
          </w:tcPr>
          <w:p>
            <w:pPr>
              <w:jc w:val="center"/>
              <w:rPr>
                <w:sz w:val="18"/>
              </w:rPr>
            </w:pPr>
            <w:r>
              <w:rPr>
                <w:sz w:val="18"/>
                <w:szCs w:val="18"/>
              </w:rPr>
              <w:t>1.2</w:t>
            </w:r>
            <w:r>
              <w:rPr>
                <w:rFonts w:eastAsia="仿宋_GB2312"/>
                <w:iCs/>
                <w:sz w:val="18"/>
              </w:rPr>
              <w:t xml:space="preserve"> </w:t>
            </w:r>
            <w:r>
              <w:rPr>
                <w:rFonts w:eastAsia="仿宋_GB2312"/>
                <w:i/>
                <w:iCs/>
                <w:sz w:val="18"/>
              </w:rPr>
              <w:t>U</w:t>
            </w:r>
            <w:r>
              <w:rPr>
                <w:rFonts w:eastAsia="仿宋_GB2312"/>
                <w:sz w:val="18"/>
                <w:vertAlign w:val="subscript"/>
              </w:rPr>
              <w:t>m</w:t>
            </w:r>
          </w:p>
        </w:tc>
        <w:tc>
          <w:tcPr>
            <w:tcW w:w="1985" w:type="dxa"/>
            <w:tcBorders>
              <w:top w:val="single" w:color="auto" w:sz="4" w:space="0"/>
              <w:bottom w:val="single" w:color="auto" w:sz="8" w:space="0"/>
            </w:tcBorders>
            <w:noWrap w:val="0"/>
            <w:vAlign w:val="center"/>
          </w:tcPr>
          <w:p>
            <w:pPr>
              <w:jc w:val="center"/>
              <w:rPr>
                <w:sz w:val="18"/>
              </w:rPr>
            </w:pPr>
            <w:r>
              <w:rPr>
                <w:sz w:val="18"/>
              </w:rPr>
              <w:t>10</w:t>
            </w:r>
          </w:p>
        </w:tc>
        <w:tc>
          <w:tcPr>
            <w:tcW w:w="1914" w:type="dxa"/>
            <w:tcBorders>
              <w:top w:val="single" w:color="auto" w:sz="4" w:space="0"/>
              <w:bottom w:val="single" w:color="auto" w:sz="8" w:space="0"/>
            </w:tcBorders>
            <w:noWrap w:val="0"/>
            <w:vAlign w:val="center"/>
          </w:tcPr>
          <w:p>
            <w:pPr>
              <w:jc w:val="center"/>
              <w:rPr>
                <w:sz w:val="18"/>
              </w:rPr>
            </w:pPr>
            <w:r>
              <w:rPr>
                <w:sz w:val="18"/>
              </w:rPr>
              <w:t>50</w:t>
            </w:r>
          </w:p>
        </w:tc>
        <w:tc>
          <w:tcPr>
            <w:tcW w:w="1914" w:type="dxa"/>
            <w:tcBorders>
              <w:top w:val="single" w:color="auto" w:sz="4" w:space="0"/>
              <w:bottom w:val="single" w:color="auto" w:sz="8" w:space="0"/>
            </w:tcBorders>
            <w:noWrap w:val="0"/>
            <w:vAlign w:val="center"/>
          </w:tcPr>
          <w:p>
            <w:pPr>
              <w:jc w:val="center"/>
              <w:rPr>
                <w:sz w:val="18"/>
              </w:rPr>
            </w:pPr>
            <w:r>
              <w:rPr>
                <w:sz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34" w:type="dxa"/>
            <w:vMerge w:val="continue"/>
            <w:tcBorders>
              <w:bottom w:val="single" w:color="auto" w:sz="8" w:space="0"/>
            </w:tcBorders>
            <w:noWrap w:val="0"/>
            <w:vAlign w:val="center"/>
          </w:tcPr>
          <w:p>
            <w:pPr>
              <w:jc w:val="center"/>
              <w:rPr>
                <w:sz w:val="18"/>
              </w:rPr>
            </w:pPr>
          </w:p>
        </w:tc>
        <w:tc>
          <w:tcPr>
            <w:tcW w:w="1759" w:type="dxa"/>
            <w:tcBorders>
              <w:top w:val="single" w:color="auto" w:sz="4" w:space="0"/>
              <w:bottom w:val="single" w:color="auto" w:sz="8" w:space="0"/>
            </w:tcBorders>
            <w:noWrap w:val="0"/>
            <w:vAlign w:val="center"/>
          </w:tcPr>
          <w:p>
            <w:pPr>
              <w:jc w:val="center"/>
              <w:rPr>
                <w:sz w:val="18"/>
              </w:rPr>
            </w:pPr>
            <w:r>
              <w:rPr>
                <w:rFonts w:eastAsia="仿宋_GB2312"/>
                <w:sz w:val="18"/>
              </w:rPr>
              <w:t>1.2</w:t>
            </w:r>
            <w:r>
              <w:rPr>
                <w:rFonts w:eastAsia="仿宋_GB2312"/>
                <w:i/>
                <w:iCs/>
                <w:sz w:val="18"/>
              </w:rPr>
              <w:t xml:space="preserve"> U</w:t>
            </w:r>
            <w:r>
              <w:rPr>
                <w:rFonts w:eastAsia="仿宋_GB2312"/>
                <w:sz w:val="18"/>
                <w:vertAlign w:val="subscript"/>
              </w:rPr>
              <w:t>m</w:t>
            </w:r>
            <w:r>
              <w:rPr>
                <w:rFonts w:eastAsia="仿宋_GB2312"/>
                <w:spacing w:val="-20"/>
                <w:sz w:val="18"/>
              </w:rPr>
              <w:t>／</w:t>
            </w:r>
            <w:r>
              <w:rPr>
                <w:rFonts w:eastAsia="仿宋_GB2312"/>
                <w:position w:val="-8"/>
                <w:sz w:val="18"/>
              </w:rPr>
              <w:object>
                <v:shape id="_x0000_i1033" o:spt="75" type="#_x0000_t75" style="height:10.7pt;width:16.05pt;" o:ole="t" fillcolor="#6D6D6D" filled="f" stroked="f" coordsize="21600,21600">
                  <v:path/>
                  <v:fill on="f" focussize="0,0"/>
                  <v:stroke on="f"/>
                  <v:imagedata r:id="rId24" cropleft="6099f" croptop="8422f" cropright="3926f" cropbottom="5687f" o:title=""/>
                  <o:lock v:ext="edit" grouping="f" rotation="f" text="f" aspectratio="t"/>
                  <w10:wrap type="none"/>
                  <w10:anchorlock/>
                </v:shape>
                <o:OLEObject Type="Embed" ProgID="Equation.3" ShapeID="_x0000_i1033" DrawAspect="Content" ObjectID="_1468075733" r:id="rId25">
                  <o:LockedField>false</o:LockedField>
                </o:OLEObject>
              </w:object>
            </w:r>
          </w:p>
        </w:tc>
        <w:tc>
          <w:tcPr>
            <w:tcW w:w="1985" w:type="dxa"/>
            <w:tcBorders>
              <w:top w:val="single" w:color="auto" w:sz="4" w:space="0"/>
              <w:bottom w:val="single" w:color="auto" w:sz="8" w:space="0"/>
            </w:tcBorders>
            <w:noWrap w:val="0"/>
            <w:vAlign w:val="center"/>
          </w:tcPr>
          <w:p>
            <w:pPr>
              <w:jc w:val="center"/>
              <w:rPr>
                <w:sz w:val="18"/>
              </w:rPr>
            </w:pPr>
            <w:r>
              <w:rPr>
                <w:sz w:val="18"/>
              </w:rPr>
              <w:t>5</w:t>
            </w:r>
          </w:p>
        </w:tc>
        <w:tc>
          <w:tcPr>
            <w:tcW w:w="1914" w:type="dxa"/>
            <w:tcBorders>
              <w:top w:val="single" w:color="auto" w:sz="4" w:space="0"/>
              <w:bottom w:val="single" w:color="auto" w:sz="8" w:space="0"/>
            </w:tcBorders>
            <w:noWrap w:val="0"/>
            <w:vAlign w:val="center"/>
          </w:tcPr>
          <w:p>
            <w:pPr>
              <w:jc w:val="center"/>
              <w:rPr>
                <w:sz w:val="18"/>
              </w:rPr>
            </w:pPr>
            <w:r>
              <w:rPr>
                <w:sz w:val="18"/>
              </w:rPr>
              <w:t>20</w:t>
            </w:r>
          </w:p>
        </w:tc>
        <w:tc>
          <w:tcPr>
            <w:tcW w:w="1914" w:type="dxa"/>
            <w:tcBorders>
              <w:top w:val="single" w:color="auto" w:sz="4" w:space="0"/>
              <w:bottom w:val="single" w:color="auto" w:sz="8" w:space="0"/>
            </w:tcBorders>
            <w:noWrap w:val="0"/>
            <w:vAlign w:val="center"/>
          </w:tcPr>
          <w:p>
            <w:pPr>
              <w:jc w:val="center"/>
              <w:rPr>
                <w:sz w:val="18"/>
              </w:rPr>
            </w:pPr>
            <w:r>
              <w:rPr>
                <w:sz w:val="18"/>
              </w:rPr>
              <w:t>10</w:t>
            </w:r>
          </w:p>
        </w:tc>
      </w:tr>
    </w:tbl>
    <w:p>
      <w:pPr>
        <w:pStyle w:val="74"/>
        <w:bidi w:val="0"/>
        <w:ind w:left="1135" w:leftChars="0" w:hanging="1135" w:firstLineChars="0"/>
      </w:pPr>
      <w:bookmarkStart w:id="91" w:name="_Toc326151922"/>
      <w:bookmarkStart w:id="92" w:name="_Toc296872628"/>
      <w:bookmarkStart w:id="93" w:name="_Toc309744228"/>
      <w:bookmarkStart w:id="94" w:name="_Toc317177960"/>
      <w:bookmarkStart w:id="95" w:name="_Toc262827050"/>
      <w:bookmarkStart w:id="96" w:name="_Toc309756102"/>
      <w:bookmarkStart w:id="97" w:name="_Toc84962002"/>
      <w:bookmarkStart w:id="98" w:name="_Toc309754958"/>
      <w:bookmarkStart w:id="99" w:name="_Toc67263572"/>
      <w:bookmarkStart w:id="100" w:name="_Toc28060"/>
      <w:r>
        <w:t>绝缘油介质主要性能要求</w:t>
      </w:r>
      <w:bookmarkEnd w:id="91"/>
      <w:bookmarkEnd w:id="92"/>
      <w:bookmarkEnd w:id="93"/>
      <w:bookmarkEnd w:id="94"/>
      <w:bookmarkEnd w:id="95"/>
      <w:bookmarkEnd w:id="96"/>
      <w:bookmarkEnd w:id="97"/>
      <w:bookmarkEnd w:id="98"/>
      <w:bookmarkEnd w:id="99"/>
      <w:bookmarkEnd w:id="100"/>
    </w:p>
    <w:p>
      <w:pPr>
        <w:pStyle w:val="32"/>
        <w:tabs>
          <w:tab w:val="center" w:pos="4201"/>
          <w:tab w:val="right" w:leader="dot" w:pos="9298"/>
        </w:tabs>
        <w:rPr>
          <w:rFonts w:ascii="Times New Roman"/>
        </w:rPr>
      </w:pPr>
      <w:r>
        <w:rPr>
          <w:rFonts w:ascii="Times New Roman"/>
        </w:rPr>
        <w:t>油浸式</w:t>
      </w:r>
      <w:r>
        <w:rPr>
          <w:rFonts w:hint="eastAsia" w:ascii="Times New Roman"/>
        </w:rPr>
        <w:t>电流</w:t>
      </w:r>
      <w:r>
        <w:rPr>
          <w:rFonts w:ascii="Times New Roman"/>
        </w:rPr>
        <w:t>互感器所用绝缘油应符合GB/T 7595和DL/T 722的要求。</w:t>
      </w:r>
    </w:p>
    <w:p>
      <w:pPr>
        <w:pStyle w:val="32"/>
        <w:tabs>
          <w:tab w:val="center" w:pos="4201"/>
          <w:tab w:val="right" w:leader="dot" w:pos="9298"/>
        </w:tabs>
        <w:rPr>
          <w:rFonts w:hint="eastAsia" w:ascii="Times New Roman"/>
        </w:rPr>
      </w:pPr>
      <w:r>
        <w:rPr>
          <w:rFonts w:ascii="Times New Roman"/>
        </w:rPr>
        <w:t>当电流互感器的绝缘介质采用变压器油时，其主要性能</w:t>
      </w:r>
      <w:r>
        <w:rPr>
          <w:rFonts w:hint="eastAsia" w:ascii="Times New Roman"/>
        </w:rPr>
        <w:t>应满足</w:t>
      </w:r>
      <w:r>
        <w:rPr>
          <w:rFonts w:ascii="Times New Roman"/>
        </w:rPr>
        <w:t>表</w:t>
      </w:r>
      <w:r>
        <w:rPr>
          <w:rFonts w:hint="eastAsia" w:ascii="Times New Roman"/>
        </w:rPr>
        <w:t>7的要求</w:t>
      </w:r>
      <w:r>
        <w:rPr>
          <w:rFonts w:ascii="Times New Roman"/>
        </w:rPr>
        <w:t>。</w:t>
      </w:r>
    </w:p>
    <w:p>
      <w:pPr>
        <w:pStyle w:val="84"/>
        <w:ind w:left="0" w:leftChars="-250" w:hanging="525" w:hangingChars="250"/>
        <w:rPr>
          <w:rFonts w:ascii="Times New Roman"/>
          <w:szCs w:val="21"/>
        </w:rPr>
      </w:pPr>
      <w:r>
        <w:rPr>
          <w:rFonts w:hint="eastAsia" w:ascii="Times New Roman"/>
          <w:szCs w:val="21"/>
          <w:lang w:val="en-US" w:eastAsia="zh-CN"/>
        </w:rPr>
        <w:t xml:space="preserve">表7 </w:t>
      </w:r>
      <w:r>
        <w:rPr>
          <w:rFonts w:ascii="Times New Roman"/>
          <w:szCs w:val="21"/>
        </w:rPr>
        <w:t>绝缘油主要性能要求</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677"/>
        <w:gridCol w:w="1105"/>
        <w:gridCol w:w="1225"/>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vMerge w:val="restart"/>
            <w:noWrap w:val="0"/>
            <w:vAlign w:val="center"/>
          </w:tcPr>
          <w:p>
            <w:pPr>
              <w:autoSpaceDE w:val="0"/>
              <w:autoSpaceDN w:val="0"/>
              <w:jc w:val="center"/>
              <w:rPr>
                <w:sz w:val="18"/>
                <w:szCs w:val="18"/>
              </w:rPr>
            </w:pPr>
            <w:r>
              <w:rPr>
                <w:sz w:val="18"/>
                <w:szCs w:val="18"/>
              </w:rPr>
              <w:t>项     目</w:t>
            </w:r>
          </w:p>
        </w:tc>
        <w:tc>
          <w:tcPr>
            <w:tcW w:w="876" w:type="pct"/>
            <w:vMerge w:val="restart"/>
            <w:noWrap w:val="0"/>
            <w:vAlign w:val="center"/>
          </w:tcPr>
          <w:p>
            <w:pPr>
              <w:autoSpaceDE w:val="0"/>
              <w:autoSpaceDN w:val="0"/>
              <w:jc w:val="center"/>
              <w:rPr>
                <w:rFonts w:hint="eastAsia"/>
                <w:sz w:val="18"/>
                <w:szCs w:val="18"/>
              </w:rPr>
            </w:pPr>
            <w:r>
              <w:rPr>
                <w:sz w:val="18"/>
                <w:szCs w:val="18"/>
              </w:rPr>
              <w:t>额定电压等级</w:t>
            </w:r>
          </w:p>
          <w:p>
            <w:pPr>
              <w:autoSpaceDE w:val="0"/>
              <w:autoSpaceDN w:val="0"/>
              <w:jc w:val="center"/>
              <w:rPr>
                <w:sz w:val="18"/>
                <w:szCs w:val="18"/>
              </w:rPr>
            </w:pPr>
            <w:r>
              <w:rPr>
                <w:sz w:val="18"/>
                <w:szCs w:val="18"/>
              </w:rPr>
              <w:t>kV</w:t>
            </w:r>
          </w:p>
        </w:tc>
        <w:tc>
          <w:tcPr>
            <w:tcW w:w="1217" w:type="pct"/>
            <w:gridSpan w:val="2"/>
            <w:noWrap w:val="0"/>
            <w:vAlign w:val="center"/>
          </w:tcPr>
          <w:p>
            <w:pPr>
              <w:autoSpaceDE w:val="0"/>
              <w:autoSpaceDN w:val="0"/>
              <w:jc w:val="center"/>
              <w:rPr>
                <w:sz w:val="18"/>
                <w:szCs w:val="18"/>
              </w:rPr>
            </w:pPr>
            <w:r>
              <w:rPr>
                <w:sz w:val="18"/>
                <w:szCs w:val="18"/>
              </w:rPr>
              <w:t>质量指标</w:t>
            </w:r>
          </w:p>
        </w:tc>
        <w:tc>
          <w:tcPr>
            <w:tcW w:w="1422" w:type="pct"/>
            <w:vMerge w:val="restart"/>
            <w:noWrap w:val="0"/>
            <w:vAlign w:val="center"/>
          </w:tcPr>
          <w:p>
            <w:pPr>
              <w:autoSpaceDE w:val="0"/>
              <w:autoSpaceDN w:val="0"/>
              <w:jc w:val="center"/>
              <w:rPr>
                <w:sz w:val="18"/>
                <w:szCs w:val="18"/>
              </w:rPr>
            </w:pPr>
            <w:r>
              <w:rPr>
                <w:rFonts w:hint="eastAsia"/>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vMerge w:val="continue"/>
            <w:noWrap w:val="0"/>
            <w:vAlign w:val="center"/>
          </w:tcPr>
          <w:p>
            <w:pPr>
              <w:autoSpaceDE w:val="0"/>
              <w:autoSpaceDN w:val="0"/>
              <w:jc w:val="center"/>
              <w:rPr>
                <w:sz w:val="18"/>
                <w:szCs w:val="18"/>
              </w:rPr>
            </w:pPr>
          </w:p>
        </w:tc>
        <w:tc>
          <w:tcPr>
            <w:tcW w:w="876" w:type="pct"/>
            <w:vMerge w:val="continue"/>
            <w:noWrap w:val="0"/>
            <w:vAlign w:val="center"/>
          </w:tcPr>
          <w:p>
            <w:pPr>
              <w:autoSpaceDE w:val="0"/>
              <w:autoSpaceDN w:val="0"/>
              <w:jc w:val="center"/>
              <w:rPr>
                <w:sz w:val="18"/>
                <w:szCs w:val="18"/>
              </w:rPr>
            </w:pPr>
          </w:p>
        </w:tc>
        <w:tc>
          <w:tcPr>
            <w:tcW w:w="577" w:type="pct"/>
            <w:noWrap w:val="0"/>
            <w:vAlign w:val="center"/>
          </w:tcPr>
          <w:p>
            <w:pPr>
              <w:autoSpaceDE w:val="0"/>
              <w:autoSpaceDN w:val="0"/>
              <w:jc w:val="center"/>
              <w:rPr>
                <w:sz w:val="18"/>
                <w:szCs w:val="18"/>
              </w:rPr>
            </w:pPr>
            <w:r>
              <w:rPr>
                <w:rFonts w:hint="eastAsia"/>
                <w:sz w:val="18"/>
                <w:szCs w:val="18"/>
              </w:rPr>
              <w:t>新投运前</w:t>
            </w:r>
          </w:p>
        </w:tc>
        <w:tc>
          <w:tcPr>
            <w:tcW w:w="640" w:type="pct"/>
            <w:noWrap w:val="0"/>
            <w:vAlign w:val="center"/>
          </w:tcPr>
          <w:p>
            <w:pPr>
              <w:autoSpaceDE w:val="0"/>
              <w:autoSpaceDN w:val="0"/>
              <w:jc w:val="center"/>
              <w:rPr>
                <w:sz w:val="18"/>
                <w:szCs w:val="18"/>
              </w:rPr>
            </w:pPr>
            <w:r>
              <w:rPr>
                <w:rFonts w:hint="eastAsia"/>
                <w:sz w:val="18"/>
                <w:szCs w:val="18"/>
              </w:rPr>
              <w:t>运行中</w:t>
            </w:r>
          </w:p>
        </w:tc>
        <w:tc>
          <w:tcPr>
            <w:tcW w:w="1422" w:type="pct"/>
            <w:vMerge w:val="continue"/>
            <w:noWrap w:val="0"/>
            <w:vAlign w:val="center"/>
          </w:tcPr>
          <w:p>
            <w:pPr>
              <w:autoSpaceDE w:val="0"/>
              <w:autoSpaceDN w:val="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83" w:type="pct"/>
            <w:vMerge w:val="restart"/>
            <w:noWrap w:val="0"/>
            <w:vAlign w:val="center"/>
          </w:tcPr>
          <w:p>
            <w:pPr>
              <w:autoSpaceDE w:val="0"/>
              <w:autoSpaceDN w:val="0"/>
              <w:adjustRightInd w:val="0"/>
              <w:snapToGrid w:val="0"/>
              <w:spacing w:line="240" w:lineRule="atLeast"/>
              <w:jc w:val="center"/>
              <w:rPr>
                <w:sz w:val="18"/>
                <w:szCs w:val="18"/>
              </w:rPr>
            </w:pPr>
            <w:r>
              <w:rPr>
                <w:sz w:val="18"/>
                <w:szCs w:val="18"/>
              </w:rPr>
              <w:t>击穿电压</w:t>
            </w:r>
          </w:p>
          <w:p>
            <w:pPr>
              <w:autoSpaceDE w:val="0"/>
              <w:autoSpaceDN w:val="0"/>
              <w:adjustRightInd w:val="0"/>
              <w:snapToGrid w:val="0"/>
              <w:spacing w:line="240" w:lineRule="atLeast"/>
              <w:jc w:val="center"/>
              <w:rPr>
                <w:sz w:val="18"/>
                <w:szCs w:val="18"/>
              </w:rPr>
            </w:pPr>
            <w:r>
              <w:rPr>
                <w:sz w:val="18"/>
                <w:szCs w:val="18"/>
              </w:rPr>
              <w:t>kV</w:t>
            </w:r>
          </w:p>
        </w:tc>
        <w:tc>
          <w:tcPr>
            <w:tcW w:w="876" w:type="pct"/>
            <w:noWrap w:val="0"/>
            <w:vAlign w:val="center"/>
          </w:tcPr>
          <w:p>
            <w:pPr>
              <w:jc w:val="center"/>
              <w:rPr>
                <w:sz w:val="18"/>
                <w:szCs w:val="18"/>
              </w:rPr>
            </w:pPr>
            <w:r>
              <w:rPr>
                <w:rFonts w:hint="eastAsia" w:ascii="宋体" w:hAnsi="宋体"/>
                <w:sz w:val="18"/>
                <w:szCs w:val="18"/>
              </w:rPr>
              <w:t>≤</w:t>
            </w:r>
            <w:r>
              <w:rPr>
                <w:sz w:val="18"/>
                <w:szCs w:val="18"/>
              </w:rPr>
              <w:t>35</w:t>
            </w:r>
          </w:p>
        </w:tc>
        <w:tc>
          <w:tcPr>
            <w:tcW w:w="577" w:type="pct"/>
            <w:noWrap w:val="0"/>
            <w:vAlign w:val="center"/>
          </w:tcPr>
          <w:p>
            <w:pPr>
              <w:jc w:val="center"/>
              <w:rPr>
                <w:sz w:val="18"/>
                <w:szCs w:val="18"/>
              </w:rPr>
            </w:pPr>
            <w:r>
              <w:rPr>
                <w:rFonts w:hint="eastAsia" w:ascii="宋体" w:hAnsi="宋体"/>
                <w:sz w:val="18"/>
                <w:szCs w:val="18"/>
              </w:rPr>
              <w:t>≥</w:t>
            </w:r>
            <w:r>
              <w:rPr>
                <w:rFonts w:hint="eastAsia"/>
                <w:sz w:val="18"/>
                <w:szCs w:val="18"/>
              </w:rPr>
              <w:t>40</w:t>
            </w:r>
          </w:p>
        </w:tc>
        <w:tc>
          <w:tcPr>
            <w:tcW w:w="640" w:type="pct"/>
            <w:noWrap w:val="0"/>
            <w:vAlign w:val="center"/>
          </w:tcPr>
          <w:p>
            <w:pPr>
              <w:jc w:val="center"/>
              <w:rPr>
                <w:sz w:val="18"/>
                <w:szCs w:val="18"/>
              </w:rPr>
            </w:pPr>
            <w:r>
              <w:rPr>
                <w:rFonts w:hint="eastAsia" w:ascii="宋体" w:hAnsi="宋体"/>
                <w:sz w:val="18"/>
                <w:szCs w:val="18"/>
              </w:rPr>
              <w:t>≥</w:t>
            </w:r>
            <w:r>
              <w:rPr>
                <w:rFonts w:hint="eastAsia"/>
                <w:sz w:val="18"/>
                <w:szCs w:val="18"/>
              </w:rPr>
              <w:t>35</w:t>
            </w:r>
          </w:p>
        </w:tc>
        <w:tc>
          <w:tcPr>
            <w:tcW w:w="1422" w:type="pct"/>
            <w:vMerge w:val="restart"/>
            <w:noWrap w:val="0"/>
            <w:vAlign w:val="center"/>
          </w:tcPr>
          <w:p>
            <w:pPr>
              <w:jc w:val="center"/>
              <w:rPr>
                <w:sz w:val="18"/>
                <w:szCs w:val="18"/>
              </w:rPr>
            </w:pPr>
            <w:r>
              <w:rPr>
                <w:rFonts w:hAnsi="宋体"/>
                <w:sz w:val="18"/>
                <w:szCs w:val="18"/>
              </w:rPr>
              <w:t>按</w:t>
            </w:r>
            <w:r>
              <w:rPr>
                <w:sz w:val="18"/>
                <w:szCs w:val="18"/>
              </w:rPr>
              <w:t>GB/T 507</w:t>
            </w:r>
            <w:r>
              <w:rPr>
                <w:rFonts w:hAnsi="宋体"/>
                <w:sz w:val="18"/>
                <w:szCs w:val="18"/>
              </w:rPr>
              <w:t>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83" w:type="pct"/>
            <w:vMerge w:val="continue"/>
            <w:noWrap w:val="0"/>
            <w:vAlign w:val="center"/>
          </w:tcPr>
          <w:p>
            <w:pPr>
              <w:autoSpaceDE w:val="0"/>
              <w:autoSpaceDN w:val="0"/>
              <w:adjustRightInd w:val="0"/>
              <w:snapToGrid w:val="0"/>
              <w:spacing w:line="240" w:lineRule="atLeast"/>
              <w:jc w:val="center"/>
              <w:rPr>
                <w:sz w:val="18"/>
                <w:szCs w:val="18"/>
              </w:rPr>
            </w:pPr>
          </w:p>
        </w:tc>
        <w:tc>
          <w:tcPr>
            <w:tcW w:w="876" w:type="pct"/>
            <w:noWrap w:val="0"/>
            <w:vAlign w:val="center"/>
          </w:tcPr>
          <w:p>
            <w:pPr>
              <w:jc w:val="center"/>
              <w:rPr>
                <w:sz w:val="18"/>
                <w:szCs w:val="18"/>
              </w:rPr>
            </w:pPr>
            <w:r>
              <w:rPr>
                <w:sz w:val="18"/>
                <w:szCs w:val="18"/>
              </w:rPr>
              <w:t>66~220</w:t>
            </w:r>
          </w:p>
        </w:tc>
        <w:tc>
          <w:tcPr>
            <w:tcW w:w="577" w:type="pct"/>
            <w:noWrap w:val="0"/>
            <w:vAlign w:val="center"/>
          </w:tcPr>
          <w:p>
            <w:pPr>
              <w:jc w:val="center"/>
              <w:rPr>
                <w:sz w:val="18"/>
                <w:szCs w:val="18"/>
              </w:rPr>
            </w:pPr>
            <w:r>
              <w:rPr>
                <w:rFonts w:hint="eastAsia" w:ascii="宋体" w:hAnsi="宋体"/>
                <w:sz w:val="18"/>
                <w:szCs w:val="18"/>
              </w:rPr>
              <w:t>≥</w:t>
            </w:r>
            <w:r>
              <w:rPr>
                <w:sz w:val="18"/>
                <w:szCs w:val="18"/>
              </w:rPr>
              <w:t>4</w:t>
            </w:r>
            <w:r>
              <w:rPr>
                <w:rFonts w:hint="eastAsia"/>
                <w:sz w:val="18"/>
                <w:szCs w:val="18"/>
              </w:rPr>
              <w:t>5</w:t>
            </w:r>
          </w:p>
        </w:tc>
        <w:tc>
          <w:tcPr>
            <w:tcW w:w="640" w:type="pct"/>
            <w:noWrap w:val="0"/>
            <w:vAlign w:val="center"/>
          </w:tcPr>
          <w:p>
            <w:pPr>
              <w:jc w:val="center"/>
              <w:rPr>
                <w:sz w:val="18"/>
                <w:szCs w:val="18"/>
              </w:rPr>
            </w:pPr>
            <w:r>
              <w:rPr>
                <w:rFonts w:hint="eastAsia" w:ascii="宋体" w:hAnsi="宋体"/>
                <w:sz w:val="18"/>
                <w:szCs w:val="18"/>
              </w:rPr>
              <w:t>≥</w:t>
            </w:r>
            <w:r>
              <w:rPr>
                <w:sz w:val="18"/>
                <w:szCs w:val="18"/>
              </w:rPr>
              <w:t>4</w:t>
            </w:r>
            <w:r>
              <w:rPr>
                <w:rFonts w:hint="eastAsia"/>
                <w:sz w:val="18"/>
                <w:szCs w:val="18"/>
              </w:rPr>
              <w:t>0</w:t>
            </w:r>
          </w:p>
        </w:tc>
        <w:tc>
          <w:tcPr>
            <w:tcW w:w="1422" w:type="pct"/>
            <w:vMerge w:val="continue"/>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3" w:type="pct"/>
            <w:vMerge w:val="restart"/>
            <w:noWrap w:val="0"/>
            <w:vAlign w:val="center"/>
          </w:tcPr>
          <w:p>
            <w:pPr>
              <w:autoSpaceDE w:val="0"/>
              <w:autoSpaceDN w:val="0"/>
              <w:jc w:val="center"/>
              <w:rPr>
                <w:sz w:val="18"/>
                <w:szCs w:val="18"/>
              </w:rPr>
            </w:pPr>
            <w:r>
              <w:rPr>
                <w:sz w:val="18"/>
                <w:szCs w:val="18"/>
              </w:rPr>
              <w:t>介质损耗因数（90℃）%</w:t>
            </w:r>
          </w:p>
        </w:tc>
        <w:tc>
          <w:tcPr>
            <w:tcW w:w="876" w:type="pct"/>
            <w:shd w:val="clear" w:color="auto" w:fill="auto"/>
            <w:noWrap w:val="0"/>
            <w:vAlign w:val="center"/>
          </w:tcPr>
          <w:p>
            <w:pPr>
              <w:jc w:val="center"/>
              <w:rPr>
                <w:rFonts w:ascii="Times New Roman" w:hAnsi="Times New Roman" w:eastAsia="宋体" w:cs="Times New Roman"/>
                <w:kern w:val="2"/>
                <w:sz w:val="18"/>
                <w:szCs w:val="18"/>
                <w:lang w:val="en-US" w:eastAsia="zh-CN" w:bidi="ar-SA"/>
              </w:rPr>
            </w:pPr>
            <w:r>
              <w:rPr>
                <w:rFonts w:hint="eastAsia" w:ascii="宋体" w:hAnsi="宋体"/>
                <w:sz w:val="18"/>
                <w:szCs w:val="18"/>
              </w:rPr>
              <w:t>≤</w:t>
            </w:r>
            <w:r>
              <w:rPr>
                <w:rFonts w:hint="eastAsia"/>
                <w:sz w:val="18"/>
                <w:szCs w:val="18"/>
                <w:lang w:val="en-US" w:eastAsia="zh-CN"/>
              </w:rPr>
              <w:t>22</w:t>
            </w:r>
            <w:r>
              <w:rPr>
                <w:sz w:val="18"/>
                <w:szCs w:val="18"/>
              </w:rPr>
              <w:t>0</w:t>
            </w:r>
          </w:p>
        </w:tc>
        <w:tc>
          <w:tcPr>
            <w:tcW w:w="577" w:type="pct"/>
            <w:shd w:val="clear" w:color="auto" w:fill="auto"/>
            <w:noWrap w:val="0"/>
            <w:vAlign w:val="center"/>
          </w:tcPr>
          <w:p>
            <w:pPr>
              <w:autoSpaceDE w:val="0"/>
              <w:autoSpaceDN w:val="0"/>
              <w:jc w:val="center"/>
              <w:rPr>
                <w:rFonts w:ascii="Times New Roman" w:hAnsi="Times New Roman" w:eastAsia="宋体" w:cs="Times New Roman"/>
                <w:kern w:val="2"/>
                <w:sz w:val="18"/>
                <w:szCs w:val="18"/>
                <w:lang w:val="en-US" w:eastAsia="zh-CN" w:bidi="ar-SA"/>
              </w:rPr>
            </w:pPr>
            <w:r>
              <w:rPr>
                <w:rFonts w:hint="eastAsia" w:ascii="宋体" w:hAnsi="宋体"/>
                <w:sz w:val="18"/>
                <w:szCs w:val="18"/>
              </w:rPr>
              <w:t>≤</w:t>
            </w:r>
            <w:r>
              <w:rPr>
                <w:sz w:val="18"/>
                <w:szCs w:val="18"/>
              </w:rPr>
              <w:t>1.0</w:t>
            </w:r>
          </w:p>
        </w:tc>
        <w:tc>
          <w:tcPr>
            <w:tcW w:w="640" w:type="pct"/>
            <w:shd w:val="clear" w:color="auto" w:fill="auto"/>
            <w:noWrap w:val="0"/>
            <w:vAlign w:val="center"/>
          </w:tcPr>
          <w:p>
            <w:pPr>
              <w:autoSpaceDE w:val="0"/>
              <w:autoSpaceDN w:val="0"/>
              <w:jc w:val="center"/>
              <w:rPr>
                <w:rFonts w:ascii="Times New Roman" w:hAnsi="Times New Roman" w:eastAsia="宋体" w:cs="Times New Roman"/>
                <w:kern w:val="2"/>
                <w:sz w:val="18"/>
                <w:szCs w:val="18"/>
                <w:lang w:val="en-US" w:eastAsia="zh-CN" w:bidi="ar-SA"/>
              </w:rPr>
            </w:pPr>
            <w:r>
              <w:rPr>
                <w:rFonts w:hint="eastAsia" w:ascii="宋体" w:hAnsi="宋体"/>
                <w:sz w:val="18"/>
                <w:szCs w:val="18"/>
              </w:rPr>
              <w:t>≤</w:t>
            </w:r>
            <w:r>
              <w:rPr>
                <w:rFonts w:hint="eastAsia"/>
                <w:sz w:val="18"/>
                <w:szCs w:val="18"/>
              </w:rPr>
              <w:t>4</w:t>
            </w:r>
            <w:r>
              <w:rPr>
                <w:sz w:val="18"/>
                <w:szCs w:val="18"/>
              </w:rPr>
              <w:t>.0</w:t>
            </w:r>
          </w:p>
        </w:tc>
        <w:tc>
          <w:tcPr>
            <w:tcW w:w="1422" w:type="pct"/>
            <w:vMerge w:val="restart"/>
            <w:shd w:val="clear" w:color="auto" w:fill="auto"/>
            <w:noWrap w:val="0"/>
            <w:vAlign w:val="center"/>
          </w:tcPr>
          <w:p>
            <w:pPr>
              <w:autoSpaceDE w:val="0"/>
              <w:autoSpaceDN w:val="0"/>
              <w:jc w:val="center"/>
              <w:rPr>
                <w:rFonts w:ascii="Times New Roman" w:hAnsi="Times New Roman" w:eastAsia="宋体" w:cs="Times New Roman"/>
                <w:kern w:val="2"/>
                <w:sz w:val="18"/>
                <w:szCs w:val="18"/>
                <w:lang w:val="en-US" w:eastAsia="zh-CN" w:bidi="ar-SA"/>
              </w:rPr>
            </w:pPr>
            <w:r>
              <w:rPr>
                <w:rFonts w:hAnsi="宋体"/>
                <w:sz w:val="18"/>
                <w:szCs w:val="18"/>
              </w:rPr>
              <w:t>按</w:t>
            </w:r>
            <w:r>
              <w:rPr>
                <w:sz w:val="18"/>
                <w:szCs w:val="18"/>
              </w:rPr>
              <w:t>GB/T 5654</w:t>
            </w:r>
            <w:r>
              <w:rPr>
                <w:rFonts w:hAnsi="宋体"/>
                <w:sz w:val="18"/>
                <w:szCs w:val="18"/>
              </w:rPr>
              <w:t>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83" w:type="pct"/>
            <w:vMerge w:val="restart"/>
            <w:noWrap w:val="0"/>
            <w:vAlign w:val="center"/>
          </w:tcPr>
          <w:p>
            <w:pPr>
              <w:autoSpaceDE w:val="0"/>
              <w:autoSpaceDN w:val="0"/>
              <w:adjustRightInd w:val="0"/>
              <w:snapToGrid w:val="0"/>
              <w:spacing w:line="240" w:lineRule="atLeast"/>
              <w:jc w:val="center"/>
              <w:rPr>
                <w:sz w:val="18"/>
                <w:szCs w:val="18"/>
              </w:rPr>
            </w:pPr>
            <w:r>
              <w:rPr>
                <w:sz w:val="18"/>
                <w:szCs w:val="18"/>
              </w:rPr>
              <w:t>含水量</w:t>
            </w:r>
          </w:p>
          <w:p>
            <w:pPr>
              <w:autoSpaceDE w:val="0"/>
              <w:autoSpaceDN w:val="0"/>
              <w:adjustRightInd w:val="0"/>
              <w:snapToGrid w:val="0"/>
              <w:spacing w:line="240" w:lineRule="atLeast"/>
              <w:jc w:val="center"/>
              <w:rPr>
                <w:sz w:val="18"/>
                <w:szCs w:val="18"/>
              </w:rPr>
            </w:pPr>
            <w:r>
              <w:rPr>
                <w:sz w:val="18"/>
                <w:szCs w:val="18"/>
              </w:rPr>
              <w:t>mg/L</w:t>
            </w:r>
          </w:p>
        </w:tc>
        <w:tc>
          <w:tcPr>
            <w:tcW w:w="876" w:type="pct"/>
            <w:noWrap w:val="0"/>
            <w:vAlign w:val="center"/>
          </w:tcPr>
          <w:p>
            <w:pPr>
              <w:jc w:val="center"/>
              <w:rPr>
                <w:sz w:val="18"/>
                <w:szCs w:val="18"/>
              </w:rPr>
            </w:pPr>
            <w:r>
              <w:rPr>
                <w:rFonts w:hint="eastAsia" w:ascii="宋体" w:hAnsi="宋体"/>
                <w:sz w:val="18"/>
                <w:szCs w:val="18"/>
              </w:rPr>
              <w:t>≤</w:t>
            </w:r>
            <w:r>
              <w:rPr>
                <w:sz w:val="18"/>
                <w:szCs w:val="18"/>
              </w:rPr>
              <w:t>110</w:t>
            </w:r>
          </w:p>
        </w:tc>
        <w:tc>
          <w:tcPr>
            <w:tcW w:w="577" w:type="pct"/>
            <w:noWrap w:val="0"/>
            <w:vAlign w:val="center"/>
          </w:tcPr>
          <w:p>
            <w:pPr>
              <w:autoSpaceDE w:val="0"/>
              <w:autoSpaceDN w:val="0"/>
              <w:jc w:val="center"/>
              <w:rPr>
                <w:sz w:val="18"/>
                <w:szCs w:val="18"/>
              </w:rPr>
            </w:pPr>
            <w:r>
              <w:rPr>
                <w:rFonts w:hint="eastAsia" w:ascii="宋体" w:hAnsi="宋体"/>
                <w:sz w:val="18"/>
                <w:szCs w:val="18"/>
              </w:rPr>
              <w:t>≤</w:t>
            </w:r>
            <w:r>
              <w:rPr>
                <w:sz w:val="18"/>
                <w:szCs w:val="18"/>
              </w:rPr>
              <w:t>20</w:t>
            </w:r>
          </w:p>
        </w:tc>
        <w:tc>
          <w:tcPr>
            <w:tcW w:w="640" w:type="pct"/>
            <w:noWrap w:val="0"/>
            <w:vAlign w:val="center"/>
          </w:tcPr>
          <w:p>
            <w:pPr>
              <w:autoSpaceDE w:val="0"/>
              <w:autoSpaceDN w:val="0"/>
              <w:jc w:val="center"/>
              <w:rPr>
                <w:sz w:val="18"/>
                <w:szCs w:val="18"/>
              </w:rPr>
            </w:pPr>
            <w:r>
              <w:rPr>
                <w:rFonts w:hint="eastAsia" w:ascii="宋体" w:hAnsi="宋体"/>
                <w:sz w:val="18"/>
                <w:szCs w:val="18"/>
              </w:rPr>
              <w:t>≤</w:t>
            </w:r>
            <w:r>
              <w:rPr>
                <w:rFonts w:hint="eastAsia"/>
                <w:sz w:val="18"/>
                <w:szCs w:val="18"/>
              </w:rPr>
              <w:t>35</w:t>
            </w:r>
          </w:p>
        </w:tc>
        <w:tc>
          <w:tcPr>
            <w:tcW w:w="1422" w:type="pct"/>
            <w:vMerge w:val="restart"/>
            <w:noWrap w:val="0"/>
            <w:vAlign w:val="center"/>
          </w:tcPr>
          <w:p>
            <w:pPr>
              <w:autoSpaceDE w:val="0"/>
              <w:autoSpaceDN w:val="0"/>
              <w:jc w:val="center"/>
              <w:rPr>
                <w:sz w:val="18"/>
                <w:szCs w:val="18"/>
              </w:rPr>
            </w:pPr>
            <w:r>
              <w:rPr>
                <w:rFonts w:hAnsi="宋体"/>
                <w:sz w:val="18"/>
                <w:szCs w:val="18"/>
              </w:rPr>
              <w:t>按</w:t>
            </w:r>
            <w:r>
              <w:rPr>
                <w:sz w:val="18"/>
                <w:szCs w:val="18"/>
              </w:rPr>
              <w:t>GB/T 7600</w:t>
            </w:r>
            <w:r>
              <w:rPr>
                <w:rFonts w:hAnsi="宋体"/>
                <w:sz w:val="18"/>
                <w:szCs w:val="18"/>
              </w:rPr>
              <w:t>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83" w:type="pct"/>
            <w:vMerge w:val="continue"/>
            <w:noWrap w:val="0"/>
            <w:vAlign w:val="center"/>
          </w:tcPr>
          <w:p>
            <w:pPr>
              <w:autoSpaceDE w:val="0"/>
              <w:autoSpaceDN w:val="0"/>
              <w:adjustRightInd w:val="0"/>
              <w:snapToGrid w:val="0"/>
              <w:spacing w:line="240" w:lineRule="atLeast"/>
              <w:jc w:val="center"/>
              <w:rPr>
                <w:sz w:val="18"/>
                <w:szCs w:val="18"/>
              </w:rPr>
            </w:pPr>
          </w:p>
        </w:tc>
        <w:tc>
          <w:tcPr>
            <w:tcW w:w="876" w:type="pct"/>
            <w:noWrap w:val="0"/>
            <w:vAlign w:val="center"/>
          </w:tcPr>
          <w:p>
            <w:pPr>
              <w:jc w:val="center"/>
              <w:rPr>
                <w:sz w:val="18"/>
                <w:szCs w:val="18"/>
              </w:rPr>
            </w:pPr>
            <w:r>
              <w:rPr>
                <w:sz w:val="18"/>
                <w:szCs w:val="18"/>
              </w:rPr>
              <w:t>220</w:t>
            </w:r>
          </w:p>
        </w:tc>
        <w:tc>
          <w:tcPr>
            <w:tcW w:w="577" w:type="pct"/>
            <w:noWrap w:val="0"/>
            <w:vAlign w:val="center"/>
          </w:tcPr>
          <w:p>
            <w:pPr>
              <w:autoSpaceDE w:val="0"/>
              <w:autoSpaceDN w:val="0"/>
              <w:jc w:val="center"/>
              <w:rPr>
                <w:sz w:val="18"/>
                <w:szCs w:val="18"/>
              </w:rPr>
            </w:pPr>
            <w:r>
              <w:rPr>
                <w:rFonts w:hint="eastAsia" w:ascii="宋体" w:hAnsi="宋体"/>
                <w:sz w:val="18"/>
                <w:szCs w:val="18"/>
              </w:rPr>
              <w:t>≤</w:t>
            </w:r>
            <w:r>
              <w:rPr>
                <w:sz w:val="18"/>
                <w:szCs w:val="18"/>
              </w:rPr>
              <w:t>15</w:t>
            </w:r>
          </w:p>
        </w:tc>
        <w:tc>
          <w:tcPr>
            <w:tcW w:w="640" w:type="pct"/>
            <w:noWrap w:val="0"/>
            <w:vAlign w:val="center"/>
          </w:tcPr>
          <w:p>
            <w:pPr>
              <w:autoSpaceDE w:val="0"/>
              <w:autoSpaceDN w:val="0"/>
              <w:jc w:val="center"/>
              <w:rPr>
                <w:sz w:val="18"/>
                <w:szCs w:val="18"/>
              </w:rPr>
            </w:pPr>
            <w:r>
              <w:rPr>
                <w:rFonts w:hint="eastAsia" w:ascii="宋体" w:hAnsi="宋体"/>
                <w:sz w:val="18"/>
                <w:szCs w:val="18"/>
              </w:rPr>
              <w:t>≤</w:t>
            </w:r>
            <w:r>
              <w:rPr>
                <w:rFonts w:hint="eastAsia"/>
                <w:sz w:val="18"/>
                <w:szCs w:val="18"/>
              </w:rPr>
              <w:t>2</w:t>
            </w:r>
            <w:r>
              <w:rPr>
                <w:sz w:val="18"/>
                <w:szCs w:val="18"/>
              </w:rPr>
              <w:t>5</w:t>
            </w:r>
          </w:p>
        </w:tc>
        <w:tc>
          <w:tcPr>
            <w:tcW w:w="1422" w:type="pct"/>
            <w:vMerge w:val="continue"/>
            <w:noWrap w:val="0"/>
            <w:vAlign w:val="center"/>
          </w:tcPr>
          <w:p>
            <w:pPr>
              <w:autoSpaceDE w:val="0"/>
              <w:autoSpaceDN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noWrap w:val="0"/>
            <w:vAlign w:val="center"/>
          </w:tcPr>
          <w:p>
            <w:pPr>
              <w:adjustRightInd w:val="0"/>
              <w:snapToGrid w:val="0"/>
              <w:spacing w:line="240" w:lineRule="atLeast"/>
              <w:jc w:val="center"/>
              <w:rPr>
                <w:sz w:val="18"/>
                <w:szCs w:val="18"/>
              </w:rPr>
            </w:pPr>
            <w:r>
              <w:rPr>
                <w:sz w:val="18"/>
                <w:szCs w:val="18"/>
              </w:rPr>
              <w:t>油中溶解气体色谱分析</w:t>
            </w:r>
          </w:p>
          <w:p>
            <w:pPr>
              <w:adjustRightInd w:val="0"/>
              <w:snapToGrid w:val="0"/>
              <w:spacing w:line="240" w:lineRule="atLeast"/>
              <w:jc w:val="center"/>
              <w:rPr>
                <w:sz w:val="18"/>
                <w:szCs w:val="18"/>
              </w:rPr>
            </w:pPr>
            <w:r>
              <w:rPr>
                <w:rFonts w:ascii="Calibri" w:hAnsi="Calibri" w:cs="Calibri"/>
                <w:sz w:val="18"/>
                <w:szCs w:val="18"/>
              </w:rPr>
              <w:t>μ</w:t>
            </w:r>
            <w:r>
              <w:rPr>
                <w:sz w:val="18"/>
                <w:szCs w:val="18"/>
              </w:rPr>
              <w:t>L/L</w:t>
            </w:r>
          </w:p>
        </w:tc>
        <w:tc>
          <w:tcPr>
            <w:tcW w:w="876" w:type="pct"/>
            <w:noWrap w:val="0"/>
            <w:vAlign w:val="center"/>
          </w:tcPr>
          <w:p>
            <w:pPr>
              <w:autoSpaceDE w:val="0"/>
              <w:autoSpaceDN w:val="0"/>
              <w:jc w:val="center"/>
              <w:rPr>
                <w:sz w:val="18"/>
                <w:szCs w:val="18"/>
              </w:rPr>
            </w:pPr>
            <w:r>
              <w:rPr>
                <w:rFonts w:hint="eastAsia" w:ascii="宋体" w:hAnsi="宋体"/>
                <w:sz w:val="18"/>
                <w:szCs w:val="18"/>
              </w:rPr>
              <w:t>≤</w:t>
            </w:r>
            <w:r>
              <w:rPr>
                <w:sz w:val="18"/>
                <w:szCs w:val="18"/>
              </w:rPr>
              <w:t>220</w:t>
            </w:r>
          </w:p>
        </w:tc>
        <w:tc>
          <w:tcPr>
            <w:tcW w:w="577" w:type="pct"/>
            <w:noWrap w:val="0"/>
            <w:vAlign w:val="center"/>
          </w:tcPr>
          <w:p>
            <w:pPr>
              <w:jc w:val="center"/>
              <w:rPr>
                <w:sz w:val="18"/>
                <w:szCs w:val="18"/>
              </w:rPr>
            </w:pPr>
            <w:r>
              <w:rPr>
                <w:sz w:val="18"/>
                <w:szCs w:val="18"/>
              </w:rPr>
              <w:t>H</w:t>
            </w:r>
            <w:r>
              <w:rPr>
                <w:sz w:val="18"/>
                <w:szCs w:val="18"/>
                <w:vertAlign w:val="subscript"/>
              </w:rPr>
              <w:t>2</w:t>
            </w:r>
            <w:r>
              <w:rPr>
                <w:rFonts w:hint="eastAsia" w:ascii="宋体" w:hAnsi="宋体"/>
                <w:sz w:val="18"/>
                <w:szCs w:val="18"/>
              </w:rPr>
              <w:t>≤</w:t>
            </w:r>
            <w:r>
              <w:rPr>
                <w:sz w:val="18"/>
                <w:szCs w:val="18"/>
              </w:rPr>
              <w:t>50</w:t>
            </w:r>
          </w:p>
          <w:p>
            <w:pPr>
              <w:jc w:val="center"/>
              <w:rPr>
                <w:sz w:val="18"/>
                <w:szCs w:val="18"/>
              </w:rPr>
            </w:pPr>
            <w:r>
              <w:rPr>
                <w:sz w:val="18"/>
                <w:szCs w:val="18"/>
              </w:rPr>
              <w:t>C</w:t>
            </w:r>
            <w:r>
              <w:rPr>
                <w:sz w:val="18"/>
                <w:szCs w:val="18"/>
                <w:vertAlign w:val="subscript"/>
              </w:rPr>
              <w:t>2</w:t>
            </w:r>
            <w:r>
              <w:rPr>
                <w:sz w:val="18"/>
                <w:szCs w:val="18"/>
              </w:rPr>
              <w:t>H</w:t>
            </w:r>
            <w:r>
              <w:rPr>
                <w:sz w:val="18"/>
                <w:szCs w:val="18"/>
                <w:vertAlign w:val="subscript"/>
              </w:rPr>
              <w:t>2</w:t>
            </w:r>
            <w:r>
              <w:rPr>
                <w:rFonts w:hint="eastAsia"/>
                <w:sz w:val="18"/>
                <w:szCs w:val="18"/>
              </w:rPr>
              <w:t>=</w:t>
            </w:r>
            <w:r>
              <w:rPr>
                <w:sz w:val="18"/>
                <w:szCs w:val="18"/>
              </w:rPr>
              <w:t>0</w:t>
            </w:r>
          </w:p>
          <w:p>
            <w:pPr>
              <w:jc w:val="center"/>
              <w:rPr>
                <w:sz w:val="18"/>
                <w:szCs w:val="18"/>
              </w:rPr>
            </w:pPr>
            <w:r>
              <w:rPr>
                <w:sz w:val="18"/>
                <w:szCs w:val="18"/>
              </w:rPr>
              <w:t>总烃</w:t>
            </w:r>
            <w:r>
              <w:rPr>
                <w:rFonts w:hint="eastAsia" w:ascii="宋体" w:hAnsi="宋体"/>
                <w:sz w:val="18"/>
                <w:szCs w:val="18"/>
              </w:rPr>
              <w:t>≤</w:t>
            </w:r>
            <w:r>
              <w:rPr>
                <w:sz w:val="18"/>
                <w:szCs w:val="18"/>
              </w:rPr>
              <w:t>10</w:t>
            </w:r>
          </w:p>
        </w:tc>
        <w:tc>
          <w:tcPr>
            <w:tcW w:w="640" w:type="pct"/>
            <w:noWrap w:val="0"/>
            <w:vAlign w:val="center"/>
          </w:tcPr>
          <w:p>
            <w:pPr>
              <w:jc w:val="center"/>
              <w:rPr>
                <w:rFonts w:hint="eastAsia"/>
                <w:sz w:val="18"/>
                <w:szCs w:val="18"/>
              </w:rPr>
            </w:pPr>
            <w:r>
              <w:rPr>
                <w:rFonts w:hint="eastAsia"/>
                <w:sz w:val="18"/>
                <w:szCs w:val="18"/>
              </w:rPr>
              <w:t>注意值：</w:t>
            </w:r>
          </w:p>
          <w:p>
            <w:pPr>
              <w:jc w:val="center"/>
              <w:rPr>
                <w:sz w:val="18"/>
                <w:szCs w:val="18"/>
              </w:rPr>
            </w:pPr>
            <w:r>
              <w:rPr>
                <w:sz w:val="18"/>
                <w:szCs w:val="18"/>
              </w:rPr>
              <w:t>H</w:t>
            </w:r>
            <w:r>
              <w:rPr>
                <w:sz w:val="18"/>
                <w:szCs w:val="18"/>
                <w:vertAlign w:val="subscript"/>
              </w:rPr>
              <w:t>2</w:t>
            </w:r>
            <w:r>
              <w:rPr>
                <w:rFonts w:hint="eastAsia" w:ascii="宋体" w:hAnsi="宋体"/>
                <w:sz w:val="18"/>
                <w:szCs w:val="18"/>
              </w:rPr>
              <w:t>：</w:t>
            </w:r>
            <w:r>
              <w:rPr>
                <w:rFonts w:hint="eastAsia"/>
                <w:sz w:val="18"/>
                <w:szCs w:val="18"/>
              </w:rPr>
              <w:t>30</w:t>
            </w:r>
            <w:r>
              <w:rPr>
                <w:sz w:val="18"/>
                <w:szCs w:val="18"/>
              </w:rPr>
              <w:t>0</w:t>
            </w:r>
          </w:p>
          <w:p>
            <w:pPr>
              <w:jc w:val="center"/>
              <w:rPr>
                <w:sz w:val="18"/>
                <w:szCs w:val="18"/>
              </w:rPr>
            </w:pPr>
            <w:r>
              <w:rPr>
                <w:sz w:val="18"/>
                <w:szCs w:val="18"/>
              </w:rPr>
              <w:t>C</w:t>
            </w:r>
            <w:r>
              <w:rPr>
                <w:sz w:val="18"/>
                <w:szCs w:val="18"/>
                <w:vertAlign w:val="subscript"/>
              </w:rPr>
              <w:t>2</w:t>
            </w:r>
            <w:r>
              <w:rPr>
                <w:sz w:val="18"/>
                <w:szCs w:val="18"/>
              </w:rPr>
              <w:t>H</w:t>
            </w:r>
            <w:r>
              <w:rPr>
                <w:sz w:val="18"/>
                <w:szCs w:val="18"/>
                <w:vertAlign w:val="subscript"/>
              </w:rPr>
              <w:t>2</w:t>
            </w:r>
            <w:r>
              <w:rPr>
                <w:rFonts w:hint="eastAsia" w:ascii="宋体" w:hAnsi="宋体"/>
                <w:sz w:val="18"/>
                <w:szCs w:val="18"/>
              </w:rPr>
              <w:t>：</w:t>
            </w:r>
            <w:r>
              <w:rPr>
                <w:rFonts w:hint="eastAsia"/>
                <w:sz w:val="18"/>
                <w:szCs w:val="18"/>
              </w:rPr>
              <w:t>2</w:t>
            </w:r>
          </w:p>
          <w:p>
            <w:pPr>
              <w:autoSpaceDE w:val="0"/>
              <w:autoSpaceDN w:val="0"/>
              <w:jc w:val="center"/>
              <w:rPr>
                <w:sz w:val="18"/>
                <w:szCs w:val="18"/>
              </w:rPr>
            </w:pPr>
            <w:r>
              <w:rPr>
                <w:sz w:val="18"/>
                <w:szCs w:val="18"/>
              </w:rPr>
              <w:t>总烃</w:t>
            </w:r>
            <w:r>
              <w:rPr>
                <w:rFonts w:hint="eastAsia" w:ascii="宋体" w:hAnsi="宋体"/>
                <w:sz w:val="18"/>
                <w:szCs w:val="18"/>
              </w:rPr>
              <w:t>：</w:t>
            </w:r>
            <w:r>
              <w:rPr>
                <w:sz w:val="18"/>
                <w:szCs w:val="18"/>
              </w:rPr>
              <w:t>10</w:t>
            </w:r>
            <w:r>
              <w:rPr>
                <w:rFonts w:hint="eastAsia"/>
                <w:sz w:val="18"/>
                <w:szCs w:val="18"/>
              </w:rPr>
              <w:t>0</w:t>
            </w:r>
          </w:p>
        </w:tc>
        <w:tc>
          <w:tcPr>
            <w:tcW w:w="1422" w:type="pct"/>
            <w:noWrap w:val="0"/>
            <w:vAlign w:val="center"/>
          </w:tcPr>
          <w:p>
            <w:pPr>
              <w:jc w:val="center"/>
              <w:rPr>
                <w:sz w:val="18"/>
                <w:szCs w:val="18"/>
              </w:rPr>
            </w:pPr>
            <w:r>
              <w:rPr>
                <w:rFonts w:hAnsi="宋体"/>
                <w:sz w:val="18"/>
                <w:szCs w:val="18"/>
              </w:rPr>
              <w:t>按</w:t>
            </w:r>
            <w:r>
              <w:rPr>
                <w:sz w:val="18"/>
                <w:szCs w:val="18"/>
              </w:rPr>
              <w:t>GB/T 17623</w:t>
            </w:r>
            <w:r>
              <w:rPr>
                <w:rFonts w:hAnsi="宋体"/>
                <w:sz w:val="18"/>
                <w:szCs w:val="18"/>
              </w:rPr>
              <w:t>进行试验</w:t>
            </w:r>
          </w:p>
        </w:tc>
      </w:tr>
    </w:tbl>
    <w:p>
      <w:pPr>
        <w:pStyle w:val="74"/>
        <w:bidi w:val="0"/>
        <w:ind w:left="1135" w:leftChars="0" w:hanging="1135" w:firstLineChars="0"/>
      </w:pPr>
      <w:bookmarkStart w:id="101" w:name="_Toc262827051"/>
      <w:bookmarkStart w:id="102" w:name="_Toc309754959"/>
      <w:bookmarkStart w:id="103" w:name="_Toc84962003"/>
      <w:bookmarkStart w:id="104" w:name="_Toc296872629"/>
      <w:bookmarkStart w:id="105" w:name="_Toc309756103"/>
      <w:bookmarkStart w:id="106" w:name="_Toc326151923"/>
      <w:bookmarkStart w:id="107" w:name="_Toc16899"/>
      <w:bookmarkStart w:id="108" w:name="_Toc67263573"/>
      <w:bookmarkStart w:id="109" w:name="_Toc309744229"/>
      <w:bookmarkStart w:id="110" w:name="_Toc317177961"/>
      <w:r>
        <w:t>气体介质主要性能要求</w:t>
      </w:r>
      <w:bookmarkEnd w:id="101"/>
      <w:bookmarkEnd w:id="102"/>
      <w:bookmarkEnd w:id="103"/>
      <w:bookmarkEnd w:id="104"/>
      <w:bookmarkEnd w:id="105"/>
      <w:bookmarkEnd w:id="106"/>
      <w:bookmarkEnd w:id="107"/>
      <w:bookmarkEnd w:id="108"/>
      <w:bookmarkEnd w:id="109"/>
      <w:bookmarkEnd w:id="110"/>
    </w:p>
    <w:p>
      <w:pPr>
        <w:pStyle w:val="80"/>
        <w:numPr>
          <w:ilvl w:val="2"/>
          <w:numId w:val="0"/>
        </w:numPr>
        <w:bidi w:val="0"/>
        <w:ind w:left="0" w:leftChars="0" w:firstLine="0" w:firstLineChars="0"/>
      </w:pPr>
      <w:r>
        <w:rPr>
          <w:rFonts w:hint="eastAsia" w:hAnsi="Times New Roman" w:cs="Times New Roman"/>
          <w:b w:val="0"/>
          <w:i w:val="0"/>
          <w:sz w:val="21"/>
          <w:lang w:val="en-US" w:eastAsia="zh-CN" w:bidi="ar-SA"/>
        </w:rPr>
        <w:t xml:space="preserve">6.14.1 </w:t>
      </w:r>
      <w:r>
        <w:rPr>
          <w:rFonts w:hint="eastAsia"/>
        </w:rPr>
        <w:t>SF6气体主要性能要求</w:t>
      </w:r>
    </w:p>
    <w:p>
      <w:pPr>
        <w:autoSpaceDE w:val="0"/>
        <w:autoSpaceDN w:val="0"/>
        <w:ind w:firstLine="420" w:firstLineChars="200"/>
        <w:rPr>
          <w:szCs w:val="21"/>
        </w:rPr>
      </w:pPr>
      <w:r>
        <w:rPr>
          <w:szCs w:val="21"/>
        </w:rPr>
        <w:t>当电流互感器的绝缘介质采用SF</w:t>
      </w:r>
      <w:r>
        <w:rPr>
          <w:szCs w:val="21"/>
          <w:vertAlign w:val="subscript"/>
        </w:rPr>
        <w:t>6</w:t>
      </w:r>
      <w:r>
        <w:rPr>
          <w:szCs w:val="21"/>
        </w:rPr>
        <w:t>气体时，其</w:t>
      </w:r>
      <w:r>
        <w:rPr>
          <w:rFonts w:hint="eastAsia"/>
          <w:szCs w:val="21"/>
        </w:rPr>
        <w:t>主要</w:t>
      </w:r>
      <w:r>
        <w:rPr>
          <w:szCs w:val="21"/>
        </w:rPr>
        <w:t>性能</w:t>
      </w:r>
      <w:r>
        <w:rPr>
          <w:rFonts w:hint="eastAsia"/>
          <w:szCs w:val="21"/>
        </w:rPr>
        <w:t>应符合下列</w:t>
      </w:r>
      <w:r>
        <w:rPr>
          <w:szCs w:val="21"/>
        </w:rPr>
        <w:t>要求：</w:t>
      </w:r>
    </w:p>
    <w:p>
      <w:pPr>
        <w:numPr>
          <w:ilvl w:val="1"/>
          <w:numId w:val="14"/>
        </w:numPr>
      </w:pPr>
      <w:r>
        <w:t>充入电气设备前的新气</w:t>
      </w:r>
      <w:r>
        <w:rPr>
          <w:rFonts w:hint="eastAsia"/>
        </w:rPr>
        <w:t>应符合</w:t>
      </w:r>
      <w:r>
        <w:t>GB/T 12022</w:t>
      </w:r>
      <w:r>
        <w:rPr>
          <w:rFonts w:hint="eastAsia"/>
        </w:rPr>
        <w:t>的要求，使用过的SF</w:t>
      </w:r>
      <w:r>
        <w:rPr>
          <w:rFonts w:hint="eastAsia"/>
          <w:vertAlign w:val="subscript"/>
        </w:rPr>
        <w:t>6</w:t>
      </w:r>
      <w:r>
        <w:rPr>
          <w:rFonts w:hint="eastAsia"/>
        </w:rPr>
        <w:t>应符合GB/T 8905的要求；</w:t>
      </w:r>
    </w:p>
    <w:p>
      <w:pPr>
        <w:numPr>
          <w:ilvl w:val="1"/>
          <w:numId w:val="14"/>
        </w:numPr>
        <w:autoSpaceDE w:val="0"/>
        <w:autoSpaceDN w:val="0"/>
        <w:rPr>
          <w:rFonts w:hint="eastAsia"/>
          <w:szCs w:val="21"/>
        </w:rPr>
      </w:pPr>
      <w:r>
        <w:rPr>
          <w:szCs w:val="21"/>
        </w:rPr>
        <w:t>充入电气设备24h后取样试验</w:t>
      </w:r>
      <w:r>
        <w:rPr>
          <w:rFonts w:hint="eastAsia"/>
          <w:szCs w:val="21"/>
        </w:rPr>
        <w:t>，额定充气密度达到要求的电流互感器，其内部最大允许含水量应对应于20℃测量的露点不高于</w:t>
      </w:r>
      <w:r>
        <w:rPr>
          <w:szCs w:val="21"/>
        </w:rPr>
        <w:t>−</w:t>
      </w:r>
      <w:r>
        <w:rPr>
          <w:rFonts w:hint="eastAsia"/>
          <w:szCs w:val="21"/>
        </w:rPr>
        <w:t>33.9℃，其他温度测量应作适当校正，校正方法应符合DL/T 506的</w:t>
      </w:r>
      <w:r>
        <w:rPr>
          <w:szCs w:val="21"/>
        </w:rPr>
        <w:t>要求</w:t>
      </w:r>
      <w:r>
        <w:rPr>
          <w:rFonts w:hint="eastAsia"/>
          <w:szCs w:val="21"/>
        </w:rPr>
        <w:t>。</w:t>
      </w:r>
    </w:p>
    <w:p>
      <w:pPr>
        <w:pStyle w:val="80"/>
        <w:numPr>
          <w:ilvl w:val="2"/>
          <w:numId w:val="0"/>
        </w:numPr>
        <w:bidi w:val="0"/>
        <w:ind w:left="0" w:leftChars="0" w:firstLine="0" w:firstLineChars="0"/>
      </w:pPr>
      <w:r>
        <w:rPr>
          <w:rFonts w:hint="eastAsia"/>
          <w:lang w:val="en-US" w:eastAsia="zh-CN"/>
        </w:rPr>
        <w:t xml:space="preserve">6.14.2 </w:t>
      </w:r>
      <w:r>
        <w:rPr>
          <w:rFonts w:hint="eastAsia"/>
        </w:rPr>
        <w:t>混合气体主要性能要求</w:t>
      </w:r>
    </w:p>
    <w:p>
      <w:pPr>
        <w:autoSpaceDE w:val="0"/>
        <w:autoSpaceDN w:val="0"/>
        <w:ind w:left="420"/>
        <w:rPr>
          <w:szCs w:val="21"/>
        </w:rPr>
      </w:pPr>
      <w:r>
        <w:rPr>
          <w:szCs w:val="21"/>
        </w:rPr>
        <w:t>当</w:t>
      </w:r>
      <w:r>
        <w:rPr>
          <w:rFonts w:hint="eastAsia"/>
          <w:szCs w:val="21"/>
        </w:rPr>
        <w:t>电流互感器的绝缘介质</w:t>
      </w:r>
      <w:r>
        <w:rPr>
          <w:szCs w:val="21"/>
        </w:rPr>
        <w:t>采用混合气体时，</w:t>
      </w:r>
      <w:r>
        <w:rPr>
          <w:rFonts w:hint="eastAsia"/>
          <w:szCs w:val="21"/>
        </w:rPr>
        <w:t>其主要性能</w:t>
      </w:r>
      <w:r>
        <w:rPr>
          <w:szCs w:val="21"/>
        </w:rPr>
        <w:t xml:space="preserve">应参考制造厂提供的说明书进行检测。 </w:t>
      </w:r>
    </w:p>
    <w:p>
      <w:pPr>
        <w:pStyle w:val="74"/>
        <w:bidi w:val="0"/>
        <w:ind w:left="1135" w:leftChars="0" w:hanging="1135" w:firstLineChars="0"/>
      </w:pPr>
      <w:bookmarkStart w:id="111" w:name="_Toc309744230"/>
      <w:bookmarkStart w:id="112" w:name="_Toc326151924"/>
      <w:bookmarkStart w:id="113" w:name="_Toc287623618"/>
      <w:bookmarkStart w:id="114" w:name="_Toc309754960"/>
      <w:bookmarkStart w:id="115" w:name="_Toc262827072"/>
      <w:bookmarkStart w:id="116" w:name="_Toc317177962"/>
      <w:bookmarkStart w:id="117" w:name="_Toc296872634"/>
      <w:bookmarkStart w:id="118" w:name="_Toc67263574"/>
      <w:bookmarkStart w:id="119" w:name="_Toc309756104"/>
      <w:bookmarkStart w:id="120" w:name="_Toc84962004"/>
      <w:bookmarkStart w:id="121" w:name="_Toc27533"/>
      <w:r>
        <w:rPr>
          <w:rFonts w:hint="eastAsia"/>
        </w:rPr>
        <w:t>对零件和部件的</w:t>
      </w:r>
      <w:r>
        <w:t>温升</w:t>
      </w:r>
      <w:bookmarkEnd w:id="111"/>
      <w:bookmarkEnd w:id="112"/>
      <w:bookmarkEnd w:id="113"/>
      <w:bookmarkEnd w:id="114"/>
      <w:bookmarkEnd w:id="115"/>
      <w:bookmarkEnd w:id="116"/>
      <w:bookmarkEnd w:id="117"/>
      <w:bookmarkEnd w:id="118"/>
      <w:bookmarkEnd w:id="119"/>
      <w:r>
        <w:rPr>
          <w:rFonts w:hint="eastAsia"/>
        </w:rPr>
        <w:t>要求</w:t>
      </w:r>
      <w:bookmarkEnd w:id="120"/>
      <w:bookmarkEnd w:id="121"/>
    </w:p>
    <w:p>
      <w:pPr>
        <w:autoSpaceDE w:val="0"/>
        <w:autoSpaceDN w:val="0"/>
        <w:ind w:firstLine="420" w:firstLineChars="200"/>
        <w:rPr>
          <w:szCs w:val="21"/>
        </w:rPr>
      </w:pPr>
      <w:r>
        <w:rPr>
          <w:rFonts w:hint="eastAsia"/>
          <w:szCs w:val="21"/>
        </w:rPr>
        <w:t>电流互感器零件和部件的温升应符合GB/T 20840.1和GB/T 31238的要求。</w:t>
      </w:r>
    </w:p>
    <w:p>
      <w:pPr>
        <w:pStyle w:val="74"/>
        <w:bidi w:val="0"/>
        <w:ind w:left="1135" w:leftChars="0" w:hanging="1135" w:firstLineChars="0"/>
      </w:pPr>
      <w:bookmarkStart w:id="122" w:name="_Toc22690"/>
      <w:bookmarkStart w:id="123" w:name="_Toc84962005"/>
      <w:bookmarkStart w:id="124" w:name="_Toc317177963"/>
      <w:bookmarkStart w:id="125" w:name="_Toc326151925"/>
      <w:bookmarkStart w:id="126" w:name="_Toc67263575"/>
      <w:r>
        <w:t>机械强度要求</w:t>
      </w:r>
      <w:bookmarkEnd w:id="122"/>
      <w:bookmarkEnd w:id="123"/>
      <w:bookmarkEnd w:id="124"/>
      <w:bookmarkEnd w:id="125"/>
      <w:bookmarkEnd w:id="126"/>
    </w:p>
    <w:p>
      <w:pPr>
        <w:autoSpaceDE w:val="0"/>
        <w:autoSpaceDN w:val="0"/>
        <w:ind w:firstLine="420" w:firstLineChars="200"/>
        <w:rPr>
          <w:rFonts w:hint="eastAsia"/>
          <w:szCs w:val="21"/>
        </w:rPr>
      </w:pPr>
      <w:r>
        <w:rPr>
          <w:rFonts w:hint="eastAsia"/>
          <w:szCs w:val="21"/>
        </w:rPr>
        <w:t>电流互感器的机械强度应符合GB/T 20840.1的要求。</w:t>
      </w:r>
    </w:p>
    <w:p>
      <w:pPr>
        <w:pStyle w:val="74"/>
        <w:bidi w:val="0"/>
        <w:ind w:left="1135" w:leftChars="0" w:hanging="1135" w:firstLineChars="0"/>
      </w:pPr>
      <w:bookmarkStart w:id="127" w:name="_Toc84962006"/>
      <w:bookmarkStart w:id="128" w:name="_Toc31352"/>
      <w:r>
        <w:rPr>
          <w:rFonts w:hint="eastAsia"/>
        </w:rPr>
        <w:t>一次端多次截断冲击</w:t>
      </w:r>
      <w:bookmarkEnd w:id="127"/>
      <w:bookmarkEnd w:id="128"/>
    </w:p>
    <w:p>
      <w:pPr>
        <w:autoSpaceDE w:val="0"/>
        <w:autoSpaceDN w:val="0"/>
        <w:ind w:firstLine="420" w:firstLineChars="200"/>
        <w:rPr>
          <w:rFonts w:hint="eastAsia"/>
          <w:szCs w:val="21"/>
        </w:rPr>
      </w:pPr>
      <w:r>
        <w:rPr>
          <w:rFonts w:hint="eastAsia"/>
          <w:szCs w:val="21"/>
        </w:rPr>
        <w:t>电流互感器一次端多次截断冲击应符合GB/T 20840.1的要求。</w:t>
      </w:r>
    </w:p>
    <w:p>
      <w:pPr>
        <w:pStyle w:val="74"/>
        <w:bidi w:val="0"/>
        <w:ind w:left="1135" w:leftChars="0" w:hanging="1135" w:firstLineChars="0"/>
      </w:pPr>
      <w:bookmarkStart w:id="129" w:name="_Toc10022"/>
      <w:bookmarkStart w:id="130" w:name="_Toc84962007"/>
      <w:r>
        <w:rPr>
          <w:rFonts w:hint="eastAsia"/>
        </w:rPr>
        <w:t>内部电弧故障防护</w:t>
      </w:r>
      <w:r>
        <w:t>要求</w:t>
      </w:r>
      <w:bookmarkEnd w:id="129"/>
      <w:bookmarkEnd w:id="130"/>
    </w:p>
    <w:p>
      <w:pPr>
        <w:autoSpaceDE w:val="0"/>
        <w:autoSpaceDN w:val="0"/>
        <w:ind w:firstLine="420" w:firstLineChars="200"/>
        <w:rPr>
          <w:rFonts w:hint="eastAsia"/>
          <w:szCs w:val="21"/>
        </w:rPr>
      </w:pPr>
      <w:r>
        <w:rPr>
          <w:rFonts w:hint="eastAsia"/>
          <w:szCs w:val="21"/>
        </w:rPr>
        <w:t>电流互感器的内部电弧故障防护应符合GB/T 20840.1的要求。</w:t>
      </w:r>
    </w:p>
    <w:p>
      <w:pPr>
        <w:pStyle w:val="74"/>
        <w:bidi w:val="0"/>
        <w:ind w:left="1135" w:leftChars="0" w:hanging="1135" w:firstLineChars="0"/>
      </w:pPr>
      <w:bookmarkStart w:id="131" w:name="_Toc84962008"/>
      <w:bookmarkStart w:id="132" w:name="_Toc16950"/>
      <w:r>
        <w:rPr>
          <w:rFonts w:hint="eastAsia"/>
        </w:rPr>
        <w:t>外壳防护等级</w:t>
      </w:r>
      <w:bookmarkEnd w:id="131"/>
      <w:bookmarkEnd w:id="132"/>
    </w:p>
    <w:p>
      <w:pPr>
        <w:pStyle w:val="32"/>
        <w:tabs>
          <w:tab w:val="center" w:pos="4201"/>
          <w:tab w:val="right" w:leader="dot" w:pos="9298"/>
        </w:tabs>
        <w:rPr>
          <w:rFonts w:hint="eastAsia" w:ascii="Times New Roman"/>
        </w:rPr>
      </w:pPr>
      <w:r>
        <w:rPr>
          <w:rFonts w:hint="eastAsia" w:ascii="Times New Roman"/>
        </w:rPr>
        <w:t>外壳防护等级应符合GB/T 20840.1的要求。</w:t>
      </w:r>
    </w:p>
    <w:p>
      <w:pPr>
        <w:pStyle w:val="74"/>
        <w:bidi w:val="0"/>
        <w:ind w:left="1135" w:leftChars="0" w:hanging="1135" w:firstLineChars="0"/>
      </w:pPr>
      <w:bookmarkStart w:id="133" w:name="_Toc317177958"/>
      <w:bookmarkStart w:id="134" w:name="_Toc84962009"/>
      <w:bookmarkStart w:id="135" w:name="_Toc326151920"/>
      <w:bookmarkStart w:id="136" w:name="_Toc67263570"/>
      <w:bookmarkStart w:id="137" w:name="_Toc18092"/>
      <w:r>
        <w:t>无线电干扰电压（RIV）要求</w:t>
      </w:r>
      <w:bookmarkEnd w:id="133"/>
      <w:bookmarkEnd w:id="134"/>
      <w:bookmarkEnd w:id="135"/>
      <w:bookmarkEnd w:id="136"/>
      <w:bookmarkEnd w:id="137"/>
    </w:p>
    <w:p>
      <w:pPr>
        <w:pStyle w:val="32"/>
        <w:tabs>
          <w:tab w:val="center" w:pos="4201"/>
          <w:tab w:val="right" w:leader="dot" w:pos="9298"/>
        </w:tabs>
        <w:rPr>
          <w:rFonts w:ascii="Times New Roman"/>
        </w:rPr>
      </w:pPr>
      <w:r>
        <w:rPr>
          <w:rFonts w:ascii="Times New Roman"/>
        </w:rPr>
        <w:t>安装在空气绝缘变电站中</w:t>
      </w:r>
      <w:r>
        <w:rPr>
          <w:rFonts w:hint="eastAsia" w:ascii="Times New Roman"/>
        </w:rPr>
        <w:t>设备</w:t>
      </w:r>
      <w:r>
        <w:rPr>
          <w:rFonts w:ascii="Times New Roman"/>
        </w:rPr>
        <w:t>最高电压126kV及以上的电磁式电流互感器，在1.1</w:t>
      </w:r>
      <w:r>
        <w:rPr>
          <w:rFonts w:ascii="Times New Roman"/>
          <w:i/>
          <w:iCs/>
        </w:rPr>
        <w:t>U</w:t>
      </w:r>
      <w:r>
        <w:rPr>
          <w:rFonts w:ascii="Times New Roman"/>
          <w:vertAlign w:val="subscript"/>
        </w:rPr>
        <w:t>m</w:t>
      </w:r>
      <w:r>
        <w:rPr>
          <w:rFonts w:ascii="Times New Roman"/>
        </w:rPr>
        <w:t>/</w:t>
      </w:r>
      <w:r>
        <w:rPr>
          <w:rFonts w:ascii="Times New Roman"/>
          <w:position w:val="-8"/>
        </w:rPr>
        <w:object>
          <v:shape id="_x0000_i1034" o:spt="75" type="#_x0000_t75" style="height:14.3pt;width:15.4pt;" o:ole="t" filled="f" stroked="f" coordsize="21600,21600">
            <v:path/>
            <v:fill on="f" focussize="0,0"/>
            <v:stroke on="f"/>
            <v:imagedata r:id="rId15" cropleft="6372f" croptop="6372f" cropbottom="4017f" o:title=""/>
            <o:lock v:ext="edit" grouping="f" rotation="f" text="f" aspectratio="t"/>
            <w10:wrap type="none"/>
            <w10:anchorlock/>
          </v:shape>
          <o:OLEObject Type="Embed" ProgID="Equation.3" ShapeID="_x0000_i1034" DrawAspect="Content" ObjectID="_1468075734" r:id="rId26">
            <o:LockedField>false</o:LockedField>
          </o:OLEObject>
        </w:object>
      </w:r>
      <w:r>
        <w:rPr>
          <w:rFonts w:ascii="Times New Roman"/>
        </w:rPr>
        <w:t>下的无线电干扰电压值应不大于500μV，晴天夜晚</w:t>
      </w:r>
      <w:r>
        <w:rPr>
          <w:rFonts w:hint="eastAsia" w:ascii="Times New Roman"/>
        </w:rPr>
        <w:t>应</w:t>
      </w:r>
      <w:r>
        <w:rPr>
          <w:rFonts w:ascii="Times New Roman"/>
        </w:rPr>
        <w:t>无可见电晕。</w:t>
      </w:r>
    </w:p>
    <w:p>
      <w:pPr>
        <w:pStyle w:val="74"/>
        <w:bidi w:val="0"/>
        <w:ind w:left="1135" w:leftChars="0" w:hanging="1135" w:firstLineChars="0"/>
      </w:pPr>
      <w:bookmarkStart w:id="138" w:name="_Toc317177959"/>
      <w:bookmarkStart w:id="139" w:name="_Toc19854"/>
      <w:bookmarkStart w:id="140" w:name="_Toc67263571"/>
      <w:bookmarkStart w:id="141" w:name="_Toc326151921"/>
      <w:bookmarkStart w:id="142" w:name="_Toc84962010"/>
      <w:r>
        <w:t>传递过电压</w:t>
      </w:r>
      <w:bookmarkEnd w:id="138"/>
      <w:bookmarkEnd w:id="139"/>
      <w:bookmarkEnd w:id="140"/>
      <w:bookmarkEnd w:id="141"/>
      <w:bookmarkEnd w:id="142"/>
    </w:p>
    <w:p>
      <w:pPr>
        <w:pStyle w:val="32"/>
        <w:tabs>
          <w:tab w:val="center" w:pos="4201"/>
          <w:tab w:val="right" w:leader="dot" w:pos="9298"/>
        </w:tabs>
        <w:rPr>
          <w:rFonts w:hint="eastAsia" w:ascii="Times New Roman"/>
        </w:rPr>
      </w:pPr>
      <w:r>
        <w:rPr>
          <w:rFonts w:hint="eastAsia" w:ascii="Times New Roman"/>
        </w:rPr>
        <w:t>传递过电压应符合GB/T 20840.1的要求。</w:t>
      </w:r>
    </w:p>
    <w:p>
      <w:pPr>
        <w:pStyle w:val="74"/>
        <w:bidi w:val="0"/>
        <w:ind w:left="1135" w:leftChars="0" w:hanging="1135" w:firstLineChars="0"/>
      </w:pPr>
      <w:bookmarkStart w:id="143" w:name="_Toc31878"/>
      <w:bookmarkStart w:id="144" w:name="_Toc84962011"/>
      <w:r>
        <w:rPr>
          <w:rFonts w:hint="eastAsia"/>
        </w:rPr>
        <w:t>密封性能</w:t>
      </w:r>
      <w:r>
        <w:t>要求</w:t>
      </w:r>
      <w:bookmarkEnd w:id="143"/>
      <w:bookmarkEnd w:id="144"/>
    </w:p>
    <w:p>
      <w:pPr>
        <w:autoSpaceDE w:val="0"/>
        <w:autoSpaceDN w:val="0"/>
        <w:ind w:firstLine="420" w:firstLineChars="200"/>
        <w:rPr>
          <w:rFonts w:hint="eastAsia"/>
          <w:szCs w:val="21"/>
        </w:rPr>
      </w:pPr>
      <w:r>
        <w:rPr>
          <w:rFonts w:hint="eastAsia"/>
          <w:szCs w:val="21"/>
        </w:rPr>
        <w:t>电流互感器应在所采用温度类别规定的整个温度范围内密封良好，油浸式电流互感器、气体绝缘电流互感器的密封性能试验按GB/T 22071.1进行。</w:t>
      </w:r>
    </w:p>
    <w:p>
      <w:pPr>
        <w:pStyle w:val="74"/>
        <w:bidi w:val="0"/>
        <w:ind w:left="1135" w:leftChars="0" w:hanging="1135" w:firstLineChars="0"/>
      </w:pPr>
      <w:bookmarkStart w:id="145" w:name="_Toc25455"/>
      <w:bookmarkStart w:id="146" w:name="_Toc84962012"/>
      <w:r>
        <w:rPr>
          <w:rFonts w:hint="eastAsia"/>
        </w:rPr>
        <w:t>着火危险</w:t>
      </w:r>
      <w:bookmarkEnd w:id="145"/>
      <w:bookmarkEnd w:id="146"/>
    </w:p>
    <w:p>
      <w:pPr>
        <w:autoSpaceDE w:val="0"/>
        <w:autoSpaceDN w:val="0"/>
        <w:ind w:firstLine="420" w:firstLineChars="200"/>
        <w:rPr>
          <w:rFonts w:hint="eastAsia"/>
          <w:szCs w:val="21"/>
        </w:rPr>
      </w:pPr>
      <w:r>
        <w:rPr>
          <w:rFonts w:hint="eastAsia"/>
          <w:szCs w:val="21"/>
        </w:rPr>
        <w:t>电流互感器的着火危险应符合GB/T 20840.1的要求。</w:t>
      </w:r>
    </w:p>
    <w:p>
      <w:pPr>
        <w:pStyle w:val="74"/>
        <w:bidi w:val="0"/>
        <w:ind w:left="1135" w:leftChars="0" w:hanging="1135" w:firstLineChars="0"/>
      </w:pPr>
      <w:bookmarkStart w:id="147" w:name="_Toc22324"/>
      <w:bookmarkStart w:id="148" w:name="_Toc84962013"/>
      <w:r>
        <w:rPr>
          <w:rFonts w:hint="eastAsia"/>
        </w:rPr>
        <w:t>腐蚀</w:t>
      </w:r>
      <w:bookmarkEnd w:id="147"/>
      <w:bookmarkEnd w:id="148"/>
    </w:p>
    <w:p>
      <w:pPr>
        <w:autoSpaceDE w:val="0"/>
        <w:autoSpaceDN w:val="0"/>
        <w:ind w:firstLine="420" w:firstLineChars="200"/>
        <w:rPr>
          <w:rFonts w:hint="eastAsia"/>
          <w:szCs w:val="21"/>
        </w:rPr>
      </w:pPr>
      <w:r>
        <w:rPr>
          <w:rFonts w:hint="eastAsia"/>
          <w:szCs w:val="21"/>
        </w:rPr>
        <w:t>电流互感器的腐蚀应符合GB/T 20840.1的要求。</w:t>
      </w:r>
    </w:p>
    <w:p>
      <w:pPr>
        <w:pStyle w:val="86"/>
        <w:numPr>
          <w:ilvl w:val="0"/>
          <w:numId w:val="0"/>
        </w:numPr>
        <w:spacing w:before="312" w:after="312"/>
      </w:pPr>
      <w:bookmarkStart w:id="149" w:name="_Toc13974"/>
      <w:r>
        <w:rPr>
          <w:rFonts w:hint="eastAsia"/>
          <w:lang w:val="en-US" w:eastAsia="zh-CN"/>
        </w:rPr>
        <w:t>7</w:t>
      </w:r>
      <w:r>
        <w:rPr>
          <w:rFonts w:hint="eastAsia"/>
        </w:rPr>
        <w:t xml:space="preserve"> 结构与选型要求</w:t>
      </w:r>
      <w:bookmarkEnd w:id="37"/>
      <w:bookmarkEnd w:id="38"/>
      <w:bookmarkEnd w:id="149"/>
    </w:p>
    <w:p>
      <w:pPr>
        <w:pStyle w:val="74"/>
        <w:numPr>
          <w:ilvl w:val="1"/>
          <w:numId w:val="0"/>
        </w:numPr>
        <w:spacing w:before="156" w:after="156"/>
      </w:pPr>
      <w:bookmarkStart w:id="150" w:name="_Toc3018"/>
      <w:r>
        <w:rPr>
          <w:rFonts w:hint="eastAsia"/>
          <w:lang w:val="en-US" w:eastAsia="zh-CN"/>
        </w:rPr>
        <w:t>7</w:t>
      </w:r>
      <w:r>
        <w:rPr>
          <w:rFonts w:hint="eastAsia"/>
        </w:rPr>
        <w:t>.1 一般要求</w:t>
      </w:r>
      <w:bookmarkEnd w:id="150"/>
    </w:p>
    <w:p>
      <w:pPr>
        <w:pStyle w:val="32"/>
        <w:ind w:firstLine="420"/>
        <w:rPr>
          <w:rFonts w:ascii="Times New Roman"/>
        </w:rPr>
      </w:pPr>
      <w:r>
        <w:rPr>
          <w:rFonts w:hint="eastAsia" w:ascii="Times New Roman"/>
        </w:rPr>
        <w:t>应满足以下要求：</w:t>
      </w:r>
    </w:p>
    <w:p>
      <w:pPr>
        <w:pStyle w:val="32"/>
        <w:ind w:firstLine="420"/>
        <w:rPr>
          <w:rFonts w:ascii="Times New Roman"/>
        </w:rPr>
      </w:pPr>
      <w:r>
        <w:rPr>
          <w:rFonts w:hint="eastAsia" w:ascii="Times New Roman"/>
        </w:rPr>
        <w:t>a</w:t>
      </w:r>
      <w:r>
        <w:rPr>
          <w:rFonts w:ascii="Times New Roman"/>
        </w:rPr>
        <w:t>）</w:t>
      </w:r>
      <w:r>
        <w:rPr>
          <w:rFonts w:hint="eastAsia" w:ascii="Times New Roman"/>
        </w:rPr>
        <w:t>低频电流互感器</w:t>
      </w:r>
      <w:r>
        <w:rPr>
          <w:rFonts w:ascii="Times New Roman"/>
        </w:rPr>
        <w:t>的结构应便于现场安装、运行</w:t>
      </w:r>
      <w:r>
        <w:rPr>
          <w:rFonts w:hint="eastAsia" w:ascii="Times New Roman"/>
        </w:rPr>
        <w:t>和</w:t>
      </w:r>
      <w:r>
        <w:rPr>
          <w:rFonts w:ascii="Times New Roman"/>
        </w:rPr>
        <w:t>维护</w:t>
      </w:r>
      <w:r>
        <w:rPr>
          <w:rFonts w:hint="eastAsia" w:ascii="Times New Roman"/>
        </w:rPr>
        <w:t>；</w:t>
      </w:r>
    </w:p>
    <w:p>
      <w:pPr>
        <w:pStyle w:val="32"/>
        <w:ind w:firstLine="420"/>
        <w:rPr>
          <w:rFonts w:ascii="Times New Roman"/>
        </w:rPr>
      </w:pPr>
      <w:r>
        <w:rPr>
          <w:rFonts w:hint="eastAsia" w:ascii="Times New Roman"/>
        </w:rPr>
        <w:t xml:space="preserve">b) </w:t>
      </w:r>
      <w:r>
        <w:rPr>
          <w:rFonts w:hint="eastAsia"/>
        </w:rPr>
        <w:t>外绝缘宜选用大小伞裙相间，伞距和爬电距离应满足安装地点环境条件防雨（冰）闪和污闪的要求；</w:t>
      </w:r>
    </w:p>
    <w:p>
      <w:pPr>
        <w:pStyle w:val="32"/>
        <w:ind w:firstLine="420"/>
        <w:rPr>
          <w:rFonts w:ascii="Times New Roman"/>
        </w:rPr>
      </w:pPr>
      <w:r>
        <w:rPr>
          <w:rFonts w:hint="eastAsia" w:ascii="Times New Roman"/>
        </w:rPr>
        <w:t>c</w:t>
      </w:r>
      <w:r>
        <w:rPr>
          <w:rFonts w:ascii="Times New Roman"/>
        </w:rPr>
        <w:t>）金属件外表面应具有良好的防腐蚀层，产品端子应符合图样要求</w:t>
      </w:r>
      <w:r>
        <w:rPr>
          <w:rFonts w:hint="eastAsia" w:ascii="Times New Roman"/>
        </w:rPr>
        <w:t>；</w:t>
      </w:r>
    </w:p>
    <w:p>
      <w:pPr>
        <w:pStyle w:val="32"/>
        <w:ind w:firstLine="420"/>
        <w:rPr>
          <w:rFonts w:ascii="Times New Roman"/>
        </w:rPr>
      </w:pPr>
      <w:r>
        <w:rPr>
          <w:rFonts w:hint="eastAsia" w:ascii="Times New Roman"/>
        </w:rPr>
        <w:t>d</w:t>
      </w:r>
      <w:r>
        <w:rPr>
          <w:rFonts w:ascii="Times New Roman"/>
        </w:rPr>
        <w:t>）</w:t>
      </w:r>
      <w:r>
        <w:rPr>
          <w:rFonts w:hint="eastAsia" w:ascii="Times New Roman"/>
        </w:rPr>
        <w:t>低频电流互感器</w:t>
      </w:r>
      <w:r>
        <w:rPr>
          <w:rFonts w:ascii="Times New Roman"/>
        </w:rPr>
        <w:t>应有直径不小于8mm 的接地螺栓或其他供接地用的零件（如面积足够且有连接孔的接地板），接地处应有平坦的金属表面，并标有明显的接地符号</w:t>
      </w:r>
      <w:r>
        <w:rPr>
          <w:rFonts w:hint="eastAsia" w:ascii="Times New Roman"/>
        </w:rPr>
        <w:t>；</w:t>
      </w:r>
    </w:p>
    <w:p>
      <w:pPr>
        <w:pStyle w:val="32"/>
        <w:ind w:firstLine="420"/>
        <w:rPr>
          <w:rFonts w:ascii="Times New Roman"/>
        </w:rPr>
      </w:pPr>
      <w:r>
        <w:rPr>
          <w:rFonts w:hint="eastAsia" w:ascii="Times New Roman"/>
        </w:rPr>
        <w:t>e）</w:t>
      </w:r>
      <w:r>
        <w:rPr>
          <w:rFonts w:hint="eastAsia"/>
        </w:rPr>
        <w:t>二次出线端螺杆直径不小于6mm，应用铜或铜合金制成，二次出线端子防潮性能良好，并有防转动措施；</w:t>
      </w:r>
    </w:p>
    <w:p>
      <w:pPr>
        <w:pStyle w:val="32"/>
        <w:ind w:firstLine="420"/>
        <w:rPr>
          <w:rFonts w:ascii="Times New Roman"/>
        </w:rPr>
      </w:pPr>
      <w:r>
        <w:rPr>
          <w:rFonts w:hint="eastAsia" w:ascii="Times New Roman"/>
        </w:rPr>
        <w:t>f</w:t>
      </w:r>
      <w:r>
        <w:rPr>
          <w:rFonts w:ascii="Times New Roman"/>
        </w:rPr>
        <w:t>）所有端子及紧固件应有良好的防锈镀层，足够的机械强度和保持良好的接触面</w:t>
      </w:r>
      <w:r>
        <w:rPr>
          <w:rFonts w:hint="eastAsia" w:ascii="Times New Roman"/>
        </w:rPr>
        <w:t>；</w:t>
      </w:r>
    </w:p>
    <w:p>
      <w:pPr>
        <w:pStyle w:val="74"/>
        <w:numPr>
          <w:ilvl w:val="1"/>
          <w:numId w:val="0"/>
        </w:numPr>
        <w:spacing w:before="156" w:after="156"/>
      </w:pPr>
      <w:bookmarkStart w:id="151" w:name="_Toc2001"/>
      <w:r>
        <w:rPr>
          <w:rFonts w:hint="eastAsia"/>
          <w:lang w:val="en-US" w:eastAsia="zh-CN"/>
        </w:rPr>
        <w:t>7</w:t>
      </w:r>
      <w:r>
        <w:rPr>
          <w:rFonts w:hint="eastAsia"/>
        </w:rPr>
        <w:t>.2 干</w:t>
      </w:r>
      <w:r>
        <w:t>式</w:t>
      </w:r>
      <w:r>
        <w:rPr>
          <w:rFonts w:hint="eastAsia"/>
        </w:rPr>
        <w:t>低频电流互感器的要求</w:t>
      </w:r>
      <w:bookmarkEnd w:id="151"/>
    </w:p>
    <w:p>
      <w:pPr>
        <w:pStyle w:val="32"/>
        <w:ind w:firstLine="420"/>
        <w:rPr>
          <w:rFonts w:ascii="Times New Roman"/>
        </w:rPr>
      </w:pPr>
      <w:r>
        <w:rPr>
          <w:rFonts w:hint="eastAsia" w:ascii="Times New Roman"/>
        </w:rPr>
        <w:t>硅橡胶护套、伞裙的要求应满足</w:t>
      </w:r>
      <w:r>
        <w:rPr>
          <w:rFonts w:hint="eastAsia"/>
        </w:rPr>
        <w:t>DL/T 1000.3</w:t>
      </w:r>
      <w:r>
        <w:rPr>
          <w:rFonts w:hint="eastAsia" w:ascii="Times New Roman"/>
        </w:rPr>
        <w:t>的要求。</w:t>
      </w:r>
    </w:p>
    <w:p>
      <w:pPr>
        <w:pStyle w:val="74"/>
        <w:numPr>
          <w:ilvl w:val="1"/>
          <w:numId w:val="0"/>
        </w:numPr>
        <w:tabs>
          <w:tab w:val="center" w:pos="4677"/>
        </w:tabs>
        <w:spacing w:before="156" w:after="156"/>
      </w:pPr>
      <w:bookmarkStart w:id="152" w:name="_Toc24517"/>
      <w:r>
        <w:rPr>
          <w:rFonts w:hint="eastAsia"/>
          <w:lang w:val="en-US" w:eastAsia="zh-CN"/>
        </w:rPr>
        <w:t>7</w:t>
      </w:r>
      <w:r>
        <w:rPr>
          <w:rFonts w:hint="eastAsia"/>
        </w:rPr>
        <w:t>.3 充油式低频电流互感器的要求</w:t>
      </w:r>
      <w:bookmarkEnd w:id="152"/>
      <w:r>
        <w:tab/>
      </w:r>
    </w:p>
    <w:p>
      <w:pPr>
        <w:pStyle w:val="32"/>
        <w:ind w:firstLine="420"/>
        <w:rPr>
          <w:rFonts w:ascii="Times New Roman"/>
        </w:rPr>
      </w:pPr>
      <w:r>
        <w:rPr>
          <w:rFonts w:hint="eastAsia" w:ascii="Times New Roman"/>
        </w:rPr>
        <w:t>应满足以下要求：</w:t>
      </w:r>
    </w:p>
    <w:p>
      <w:pPr>
        <w:pStyle w:val="32"/>
        <w:ind w:firstLine="420"/>
        <w:rPr>
          <w:rFonts w:ascii="Times New Roman"/>
        </w:rPr>
      </w:pPr>
      <w:r>
        <w:rPr>
          <w:rFonts w:hint="eastAsia" w:ascii="Times New Roman"/>
        </w:rPr>
        <w:t xml:space="preserve">a) </w:t>
      </w:r>
      <w:r>
        <w:rPr>
          <w:rFonts w:ascii="Times New Roman"/>
        </w:rPr>
        <w:t>每台设备应配备一套油面监测装置；</w:t>
      </w:r>
    </w:p>
    <w:p>
      <w:pPr>
        <w:pStyle w:val="32"/>
        <w:ind w:firstLine="420"/>
        <w:rPr>
          <w:rFonts w:ascii="Times New Roman"/>
        </w:rPr>
      </w:pPr>
      <w:r>
        <w:rPr>
          <w:rFonts w:hint="eastAsia" w:ascii="Times New Roman"/>
        </w:rPr>
        <w:t xml:space="preserve">b) </w:t>
      </w:r>
      <w:r>
        <w:rPr>
          <w:rFonts w:ascii="Times New Roman"/>
        </w:rPr>
        <w:t>油中微量水分应符合下述规定：对于</w:t>
      </w:r>
      <w:r>
        <w:rPr>
          <w:rFonts w:hint="eastAsia" w:ascii="Times New Roman"/>
          <w:lang w:val="en-US" w:eastAsia="zh-CN"/>
        </w:rPr>
        <w:t>22</w:t>
      </w:r>
      <w:r>
        <w:rPr>
          <w:rFonts w:ascii="Times New Roman"/>
        </w:rPr>
        <w:t>0 kV～1</w:t>
      </w:r>
      <w:r>
        <w:rPr>
          <w:rFonts w:hint="eastAsia" w:ascii="Times New Roman"/>
        </w:rPr>
        <w:t>1</w:t>
      </w:r>
      <w:r>
        <w:rPr>
          <w:rFonts w:ascii="Times New Roman"/>
        </w:rPr>
        <w:t>0 kV 电流测量设备，≤15 mg/L；对于1</w:t>
      </w:r>
      <w:r>
        <w:rPr>
          <w:rFonts w:hint="eastAsia" w:ascii="Times New Roman"/>
        </w:rPr>
        <w:t>1</w:t>
      </w:r>
      <w:r>
        <w:rPr>
          <w:rFonts w:ascii="Times New Roman"/>
        </w:rPr>
        <w:t>0 kV 以下电流测量设备，≤20 mg/L；</w:t>
      </w:r>
    </w:p>
    <w:p>
      <w:pPr>
        <w:pStyle w:val="32"/>
        <w:ind w:firstLine="420"/>
        <w:rPr>
          <w:rFonts w:ascii="Times New Roman"/>
        </w:rPr>
      </w:pPr>
      <w:r>
        <w:rPr>
          <w:rFonts w:hint="eastAsia" w:ascii="Times New Roman"/>
        </w:rPr>
        <w:t xml:space="preserve">c) </w:t>
      </w:r>
      <w:r>
        <w:rPr>
          <w:rFonts w:ascii="Times New Roman"/>
        </w:rPr>
        <w:t>对电压等级在</w:t>
      </w:r>
      <w:r>
        <w:rPr>
          <w:rFonts w:hint="eastAsia" w:ascii="Times New Roman"/>
        </w:rPr>
        <w:t>11</w:t>
      </w:r>
      <w:r>
        <w:rPr>
          <w:rFonts w:ascii="Times New Roman"/>
        </w:rPr>
        <w:t>0 kV 以上的充油式电流测量设备，油中溶解气体组分含量（μL/L）不宜超过下列任一值，总烃：10，</w:t>
      </w:r>
      <w:r>
        <w:rPr>
          <w:rFonts w:hint="eastAsia" w:ascii="Times New Roman"/>
        </w:rPr>
        <w:t>氢</w:t>
      </w:r>
      <w:r>
        <w:rPr>
          <w:rFonts w:ascii="Times New Roman"/>
        </w:rPr>
        <w:t>H</w:t>
      </w:r>
      <w:r>
        <w:rPr>
          <w:rFonts w:ascii="Times New Roman"/>
          <w:vertAlign w:val="subscript"/>
        </w:rPr>
        <w:t>2</w:t>
      </w:r>
      <w:r>
        <w:rPr>
          <w:rFonts w:ascii="Times New Roman"/>
        </w:rPr>
        <w:t>：50，</w:t>
      </w:r>
      <w:r>
        <w:rPr>
          <w:rFonts w:hint="eastAsia" w:ascii="Times New Roman"/>
        </w:rPr>
        <w:t>乙炔</w:t>
      </w:r>
      <w:r>
        <w:rPr>
          <w:rFonts w:ascii="Times New Roman"/>
        </w:rPr>
        <w:t>C</w:t>
      </w:r>
      <w:r>
        <w:rPr>
          <w:rFonts w:ascii="Times New Roman"/>
          <w:vertAlign w:val="subscript"/>
        </w:rPr>
        <w:t>2</w:t>
      </w:r>
      <w:r>
        <w:rPr>
          <w:rFonts w:ascii="Times New Roman"/>
        </w:rPr>
        <w:t>H</w:t>
      </w:r>
      <w:r>
        <w:rPr>
          <w:rFonts w:ascii="Times New Roman"/>
          <w:vertAlign w:val="subscript"/>
        </w:rPr>
        <w:t>2</w:t>
      </w:r>
      <w:r>
        <w:rPr>
          <w:rFonts w:ascii="Times New Roman"/>
        </w:rPr>
        <w:t>：0。</w:t>
      </w:r>
    </w:p>
    <w:p>
      <w:pPr>
        <w:pStyle w:val="74"/>
        <w:numPr>
          <w:ilvl w:val="1"/>
          <w:numId w:val="0"/>
        </w:numPr>
        <w:spacing w:before="156" w:after="156"/>
      </w:pPr>
      <w:bookmarkStart w:id="153" w:name="_Toc30468"/>
      <w:r>
        <w:rPr>
          <w:rFonts w:hint="eastAsia"/>
          <w:lang w:val="en-US" w:eastAsia="zh-CN"/>
        </w:rPr>
        <w:t>7</w:t>
      </w:r>
      <w:r>
        <w:rPr>
          <w:rFonts w:hint="eastAsia"/>
        </w:rPr>
        <w:t>.4 充气</w:t>
      </w:r>
      <w:r>
        <w:t>式</w:t>
      </w:r>
      <w:r>
        <w:rPr>
          <w:rFonts w:hint="eastAsia"/>
        </w:rPr>
        <w:t>低频电流互感器的要求</w:t>
      </w:r>
      <w:bookmarkEnd w:id="153"/>
    </w:p>
    <w:p>
      <w:pPr>
        <w:pStyle w:val="32"/>
        <w:ind w:firstLine="420"/>
        <w:rPr>
          <w:rFonts w:ascii="Times New Roman"/>
        </w:rPr>
      </w:pPr>
      <w:r>
        <w:rPr>
          <w:rFonts w:hint="eastAsia" w:ascii="Times New Roman"/>
        </w:rPr>
        <w:t>应满足以下要求：</w:t>
      </w:r>
    </w:p>
    <w:p>
      <w:pPr>
        <w:pStyle w:val="32"/>
        <w:ind w:firstLine="420"/>
        <w:rPr>
          <w:rFonts w:ascii="Times New Roman"/>
        </w:rPr>
      </w:pPr>
      <w:r>
        <w:rPr>
          <w:rFonts w:hint="eastAsia" w:ascii="Times New Roman"/>
        </w:rPr>
        <w:t xml:space="preserve">a) </w:t>
      </w:r>
      <w:r>
        <w:rPr>
          <w:rFonts w:ascii="Times New Roman"/>
        </w:rPr>
        <w:t>气体年泄漏率不大于0.5%；</w:t>
      </w:r>
    </w:p>
    <w:p>
      <w:pPr>
        <w:ind w:firstLine="420" w:firstLineChars="200"/>
        <w:jc w:val="left"/>
        <w:rPr>
          <w:rFonts w:ascii="Times New Roman"/>
        </w:rPr>
      </w:pPr>
      <w:r>
        <w:rPr>
          <w:rFonts w:hint="eastAsia" w:ascii="Times New Roman"/>
        </w:rPr>
        <w:t>b) 对于额定充气密度达到要求的气体绝缘互感器，其内部最大允许含水量应对应于20</w:t>
      </w:r>
      <w:r>
        <w:rPr>
          <w:rFonts w:hint="eastAsia" w:ascii="宋体" w:hAnsi="宋体" w:eastAsia="宋体" w:cs="宋体"/>
        </w:rPr>
        <w:t>℃</w:t>
      </w:r>
      <w:r>
        <w:rPr>
          <w:rFonts w:hint="eastAsia" w:ascii="Times New Roman"/>
        </w:rPr>
        <w:t>测量的露点不高于</w:t>
      </w:r>
      <w:r>
        <w:rPr>
          <w:rFonts w:hint="eastAsia" w:ascii="Times New Roman"/>
          <w:lang w:val="en-US" w:eastAsia="zh-CN"/>
        </w:rPr>
        <w:t>-30</w:t>
      </w:r>
      <w:r>
        <w:rPr>
          <w:rFonts w:hint="eastAsia" w:ascii="宋体" w:hAnsi="宋体" w:eastAsia="宋体" w:cs="宋体"/>
          <w:lang w:val="en-US" w:eastAsia="zh-CN"/>
        </w:rPr>
        <w:t>℃</w:t>
      </w:r>
      <w:r>
        <w:rPr>
          <w:rFonts w:ascii="Times New Roman"/>
        </w:rPr>
        <w:t>（SF6 气体充入设备24h 后取样测试）</w:t>
      </w:r>
      <w:r>
        <w:rPr>
          <w:rFonts w:hint="eastAsia" w:ascii="Times New Roman"/>
          <w:lang w:eastAsia="zh-CN"/>
        </w:rPr>
        <w:t>，</w:t>
      </w:r>
      <w:r>
        <w:rPr>
          <w:rFonts w:hint="eastAsia" w:ascii="宋体" w:hAnsi="宋体" w:eastAsia="宋体" w:cs="宋体"/>
          <w:color w:val="000000"/>
          <w:kern w:val="0"/>
          <w:sz w:val="21"/>
          <w:szCs w:val="21"/>
          <w:lang w:val="en-US" w:eastAsia="zh-CN" w:bidi="ar"/>
        </w:rPr>
        <w:t>在其他温度测量应作适当校正。露点的测量和确定对新</w:t>
      </w:r>
      <w:r>
        <w:rPr>
          <w:rFonts w:hint="default" w:ascii="Times New Roman" w:hAnsi="Times New Roman" w:eastAsia="宋体" w:cs="Times New Roman"/>
          <w:color w:val="000000"/>
          <w:kern w:val="0"/>
          <w:sz w:val="21"/>
          <w:szCs w:val="21"/>
          <w:lang w:val="en-US" w:eastAsia="zh-CN" w:bidi="ar"/>
        </w:rPr>
        <w:t>SF</w:t>
      </w:r>
      <w:r>
        <w:rPr>
          <w:rFonts w:hint="default" w:ascii="Times New Roman" w:hAnsi="Times New Roman" w:eastAsia="宋体" w:cs="Times New Roman"/>
          <w:color w:val="000000"/>
          <w:kern w:val="0"/>
          <w:sz w:val="13"/>
          <w:szCs w:val="13"/>
          <w:lang w:val="en-US" w:eastAsia="zh-CN" w:bidi="ar"/>
        </w:rPr>
        <w:t>6</w:t>
      </w:r>
      <w:r>
        <w:rPr>
          <w:rFonts w:hint="eastAsia" w:ascii="宋体" w:hAnsi="宋体" w:eastAsia="宋体" w:cs="宋体"/>
          <w:color w:val="000000"/>
          <w:kern w:val="0"/>
          <w:sz w:val="21"/>
          <w:szCs w:val="21"/>
          <w:lang w:val="en-US" w:eastAsia="zh-CN" w:bidi="ar"/>
        </w:rPr>
        <w:t>见</w:t>
      </w:r>
      <w:r>
        <w:rPr>
          <w:rFonts w:hint="default" w:ascii="Times New Roman" w:hAnsi="Times New Roman" w:eastAsia="宋体" w:cs="Times New Roman"/>
          <w:color w:val="000000"/>
          <w:kern w:val="0"/>
          <w:sz w:val="21"/>
          <w:szCs w:val="21"/>
          <w:lang w:val="en-US" w:eastAsia="zh-CN" w:bidi="ar"/>
        </w:rPr>
        <w:t>IEC 60376</w:t>
      </w:r>
      <w:r>
        <w:rPr>
          <w:rFonts w:hint="eastAsia" w:ascii="宋体" w:hAnsi="宋体" w:eastAsia="宋体" w:cs="宋体"/>
          <w:color w:val="000000"/>
          <w:kern w:val="0"/>
          <w:sz w:val="21"/>
          <w:szCs w:val="21"/>
          <w:lang w:val="en-US" w:eastAsia="zh-CN" w:bidi="ar"/>
        </w:rPr>
        <w:t xml:space="preserve">，对使用过的 </w:t>
      </w:r>
      <w:r>
        <w:rPr>
          <w:rFonts w:hint="default" w:ascii="Times New Roman" w:hAnsi="Times New Roman" w:eastAsia="宋体" w:cs="Times New Roman"/>
          <w:color w:val="000000"/>
          <w:kern w:val="0"/>
          <w:sz w:val="21"/>
          <w:szCs w:val="21"/>
          <w:lang w:val="en-US" w:eastAsia="zh-CN" w:bidi="ar"/>
        </w:rPr>
        <w:t>SF</w:t>
      </w:r>
      <w:r>
        <w:rPr>
          <w:rFonts w:hint="default" w:ascii="Times New Roman" w:hAnsi="Times New Roman" w:eastAsia="宋体" w:cs="Times New Roman"/>
          <w:color w:val="000000"/>
          <w:kern w:val="0"/>
          <w:sz w:val="13"/>
          <w:szCs w:val="13"/>
          <w:lang w:val="en-US" w:eastAsia="zh-CN" w:bidi="ar"/>
        </w:rPr>
        <w:t>6</w:t>
      </w:r>
      <w:r>
        <w:rPr>
          <w:rFonts w:hint="eastAsia" w:ascii="宋体" w:hAnsi="宋体" w:eastAsia="宋体" w:cs="宋体"/>
          <w:color w:val="000000"/>
          <w:kern w:val="0"/>
          <w:sz w:val="21"/>
          <w:szCs w:val="21"/>
          <w:lang w:val="en-US" w:eastAsia="zh-CN" w:bidi="ar"/>
        </w:rPr>
        <w:t>见</w:t>
      </w:r>
      <w:r>
        <w:rPr>
          <w:rFonts w:hint="default" w:ascii="Times New Roman" w:hAnsi="Times New Roman" w:eastAsia="宋体" w:cs="Times New Roman"/>
          <w:color w:val="000000"/>
          <w:kern w:val="0"/>
          <w:sz w:val="21"/>
          <w:szCs w:val="21"/>
          <w:lang w:val="en-US" w:eastAsia="zh-CN" w:bidi="ar"/>
        </w:rPr>
        <w:t>GB/T 8905</w:t>
      </w:r>
      <w:r>
        <w:rPr>
          <w:rFonts w:hint="eastAsia" w:ascii="宋体" w:hAnsi="宋体" w:eastAsia="宋体" w:cs="宋体"/>
          <w:color w:val="000000"/>
          <w:kern w:val="0"/>
          <w:sz w:val="21"/>
          <w:szCs w:val="21"/>
          <w:lang w:val="en-US" w:eastAsia="zh-CN" w:bidi="ar"/>
        </w:rPr>
        <w:t>，这在互感器的整个寿命期间均适用。</w:t>
      </w:r>
      <w:r>
        <w:rPr>
          <w:rFonts w:ascii="Times New Roman"/>
        </w:rPr>
        <w:t>；</w:t>
      </w:r>
    </w:p>
    <w:p>
      <w:pPr>
        <w:pStyle w:val="32"/>
        <w:ind w:firstLine="420"/>
        <w:rPr>
          <w:rFonts w:hint="eastAsia" w:ascii="Times New Roman" w:eastAsia="宋体"/>
          <w:lang w:eastAsia="zh-CN"/>
        </w:rPr>
      </w:pPr>
      <w:r>
        <w:rPr>
          <w:rFonts w:hint="eastAsia" w:ascii="Times New Roman"/>
        </w:rPr>
        <w:t xml:space="preserve">c) </w:t>
      </w:r>
      <w:r>
        <w:rPr>
          <w:rFonts w:ascii="Times New Roman"/>
        </w:rPr>
        <w:t>每台设备应配备气体监测装置（包括气体密度继电器</w:t>
      </w:r>
      <w:r>
        <w:rPr>
          <w:rFonts w:hint="eastAsia" w:ascii="Times New Roman"/>
        </w:rPr>
        <w:t>和</w:t>
      </w:r>
      <w:r>
        <w:rPr>
          <w:rFonts w:ascii="Times New Roman"/>
        </w:rPr>
        <w:t>压力指示器），气体监测装置应配置3对跳闸节点</w:t>
      </w:r>
      <w:r>
        <w:rPr>
          <w:rFonts w:hint="eastAsia" w:ascii="Times New Roman"/>
          <w:lang w:eastAsia="zh-CN"/>
        </w:rPr>
        <w:t>。</w:t>
      </w:r>
    </w:p>
    <w:p>
      <w:pPr>
        <w:pStyle w:val="86"/>
        <w:numPr>
          <w:ilvl w:val="0"/>
          <w:numId w:val="0"/>
        </w:numPr>
        <w:spacing w:before="312" w:after="312"/>
      </w:pPr>
      <w:bookmarkStart w:id="154" w:name="_Toc2662"/>
      <w:r>
        <w:rPr>
          <w:rFonts w:hint="eastAsia"/>
          <w:lang w:val="en-US" w:eastAsia="zh-CN"/>
        </w:rPr>
        <w:t>8</w:t>
      </w:r>
      <w:r>
        <w:rPr>
          <w:rFonts w:hint="eastAsia"/>
        </w:rPr>
        <w:t xml:space="preserve"> 试验</w:t>
      </w:r>
      <w:bookmarkEnd w:id="154"/>
    </w:p>
    <w:p>
      <w:pPr>
        <w:pStyle w:val="74"/>
        <w:numPr>
          <w:ilvl w:val="1"/>
          <w:numId w:val="0"/>
        </w:numPr>
        <w:spacing w:before="156" w:after="156"/>
      </w:pPr>
      <w:bookmarkStart w:id="155" w:name="_Toc24977"/>
      <w:r>
        <w:rPr>
          <w:rFonts w:hint="eastAsia"/>
          <w:lang w:val="en-US" w:eastAsia="zh-CN"/>
        </w:rPr>
        <w:t>8</w:t>
      </w:r>
      <w:r>
        <w:rPr>
          <w:rFonts w:hint="eastAsia"/>
        </w:rPr>
        <w:t>.1 试验分类</w:t>
      </w:r>
      <w:bookmarkEnd w:id="155"/>
    </w:p>
    <w:p>
      <w:pPr>
        <w:pStyle w:val="32"/>
        <w:ind w:firstLine="420"/>
      </w:pPr>
      <w:r>
        <w:rPr>
          <w:rFonts w:hint="eastAsia"/>
        </w:rPr>
        <w:t>试验分为型式试验、例行试验、特殊试验、抽样试验和现场交接试验。</w:t>
      </w:r>
    </w:p>
    <w:p>
      <w:pPr>
        <w:pStyle w:val="74"/>
        <w:numPr>
          <w:ilvl w:val="1"/>
          <w:numId w:val="0"/>
        </w:numPr>
        <w:spacing w:before="156" w:after="156"/>
        <w:rPr>
          <w:rFonts w:hint="default" w:eastAsia="黑体"/>
          <w:lang w:val="en-US" w:eastAsia="zh-CN"/>
        </w:rPr>
      </w:pPr>
      <w:bookmarkStart w:id="156" w:name="_Toc4619"/>
      <w:r>
        <w:rPr>
          <w:rFonts w:hint="eastAsia"/>
          <w:lang w:val="en-US" w:eastAsia="zh-CN"/>
        </w:rPr>
        <w:t>8</w:t>
      </w:r>
      <w:r>
        <w:rPr>
          <w:rFonts w:hint="eastAsia"/>
        </w:rPr>
        <w:t xml:space="preserve">.2 </w:t>
      </w:r>
      <w:r>
        <w:rPr>
          <w:rFonts w:hint="eastAsia"/>
          <w:lang w:val="en-US" w:eastAsia="zh-CN"/>
        </w:rPr>
        <w:t>试验项目</w:t>
      </w:r>
      <w:bookmarkEnd w:id="156"/>
    </w:p>
    <w:p>
      <w:pPr>
        <w:pStyle w:val="32"/>
        <w:tabs>
          <w:tab w:val="center" w:pos="4201"/>
          <w:tab w:val="right" w:leader="dot" w:pos="9298"/>
        </w:tabs>
        <w:rPr>
          <w:rFonts w:hint="eastAsia"/>
        </w:rPr>
      </w:pPr>
      <w:r>
        <w:rPr>
          <w:rFonts w:hint="eastAsia" w:hAnsi="宋体"/>
          <w:szCs w:val="21"/>
        </w:rPr>
        <w:t>电流互感器</w:t>
      </w:r>
      <w:r>
        <w:rPr>
          <w:rFonts w:hAnsi="宋体"/>
          <w:szCs w:val="21"/>
        </w:rPr>
        <w:t>型式试验、例行试验、特殊试验和交接试验</w:t>
      </w:r>
      <w:r>
        <w:rPr>
          <w:rFonts w:hint="eastAsia" w:hAnsi="宋体"/>
          <w:szCs w:val="21"/>
        </w:rPr>
        <w:t>的</w:t>
      </w:r>
      <w:r>
        <w:rPr>
          <w:rFonts w:hint="eastAsia"/>
        </w:rPr>
        <w:t>试验项目、试验方法、</w:t>
      </w:r>
      <w:r>
        <w:t>试验判据</w:t>
      </w:r>
      <w:r>
        <w:rPr>
          <w:rFonts w:hint="eastAsia" w:ascii="Times New Roman"/>
          <w:kern w:val="2"/>
          <w:szCs w:val="21"/>
        </w:rPr>
        <w:t>见表</w:t>
      </w:r>
      <w:r>
        <w:rPr>
          <w:rFonts w:ascii="Times New Roman"/>
          <w:kern w:val="2"/>
          <w:szCs w:val="21"/>
        </w:rPr>
        <w:t>9</w:t>
      </w:r>
      <w:r>
        <w:rPr>
          <w:rFonts w:hint="eastAsia"/>
        </w:rPr>
        <w:t>。</w:t>
      </w:r>
      <w:r>
        <w:rPr>
          <w:rFonts w:hint="eastAsia" w:ascii="Times New Roman"/>
        </w:rPr>
        <w:t>电流互感器试验应符合下列要求：</w:t>
      </w:r>
    </w:p>
    <w:p>
      <w:pPr>
        <w:ind w:left="840" w:leftChars="200" w:hanging="420" w:hangingChars="200"/>
        <w:rPr>
          <w:rFonts w:hint="eastAsia"/>
          <w:szCs w:val="21"/>
        </w:rPr>
      </w:pPr>
      <w:r>
        <w:rPr>
          <w:szCs w:val="21"/>
        </w:rPr>
        <w:t>——试验项目的试验顺序应按照GB/T 22071.1进行</w:t>
      </w:r>
      <w:r>
        <w:rPr>
          <w:rFonts w:hint="eastAsia"/>
          <w:szCs w:val="21"/>
        </w:rPr>
        <w:t>；</w:t>
      </w:r>
    </w:p>
    <w:p>
      <w:pPr>
        <w:ind w:left="840" w:leftChars="200" w:hanging="420" w:hangingChars="200"/>
        <w:rPr>
          <w:rFonts w:hint="eastAsia"/>
          <w:szCs w:val="21"/>
        </w:rPr>
      </w:pPr>
      <w:r>
        <w:rPr>
          <w:szCs w:val="21"/>
        </w:rPr>
        <w:t>——</w:t>
      </w:r>
      <w:r>
        <w:rPr>
          <w:rFonts w:hint="eastAsia"/>
          <w:szCs w:val="21"/>
        </w:rPr>
        <w:t>表</w:t>
      </w:r>
      <w:r>
        <w:rPr>
          <w:rFonts w:hint="eastAsia"/>
          <w:szCs w:val="21"/>
          <w:lang w:val="en-US" w:eastAsia="zh-CN"/>
        </w:rPr>
        <w:t>8</w:t>
      </w:r>
      <w:r>
        <w:rPr>
          <w:rFonts w:hint="eastAsia"/>
          <w:szCs w:val="21"/>
        </w:rPr>
        <w:t>中的试验项目并非适用于所有类型的电流互感器，如不适用，则可不进行该项试验；</w:t>
      </w:r>
    </w:p>
    <w:p>
      <w:pPr>
        <w:ind w:left="840" w:leftChars="200" w:hanging="420" w:hangingChars="200"/>
        <w:rPr>
          <w:szCs w:val="21"/>
        </w:rPr>
      </w:pPr>
      <w:r>
        <w:rPr>
          <w:szCs w:val="21"/>
        </w:rPr>
        <w:t>——</w:t>
      </w:r>
      <w:r>
        <w:rPr>
          <w:rFonts w:hint="eastAsia"/>
          <w:szCs w:val="21"/>
        </w:rPr>
        <w:t>除非</w:t>
      </w:r>
      <w:r>
        <w:rPr>
          <w:szCs w:val="21"/>
        </w:rPr>
        <w:t>另有规定，所有绝缘型式试验应在同一台电流互感器上进行</w:t>
      </w:r>
      <w:r>
        <w:rPr>
          <w:rFonts w:hint="eastAsia"/>
          <w:szCs w:val="21"/>
        </w:rPr>
        <w:t>；</w:t>
      </w:r>
    </w:p>
    <w:p>
      <w:pPr>
        <w:ind w:left="840" w:leftChars="200" w:hanging="420" w:hangingChars="200"/>
        <w:rPr>
          <w:rFonts w:hint="eastAsia"/>
          <w:szCs w:val="21"/>
        </w:rPr>
      </w:pPr>
      <w:r>
        <w:rPr>
          <w:szCs w:val="21"/>
        </w:rPr>
        <w:t>——</w:t>
      </w:r>
      <w:r>
        <w:rPr>
          <w:rFonts w:hint="eastAsia"/>
          <w:szCs w:val="21"/>
        </w:rPr>
        <w:t>电流</w:t>
      </w:r>
      <w:r>
        <w:rPr>
          <w:szCs w:val="21"/>
        </w:rPr>
        <w:t>互感器在经受规定的绝缘型式试验后，应经受全部例行试验</w:t>
      </w:r>
      <w:r>
        <w:rPr>
          <w:rFonts w:hint="eastAsia"/>
          <w:szCs w:val="21"/>
        </w:rPr>
        <w:t>；</w:t>
      </w:r>
    </w:p>
    <w:p>
      <w:pPr>
        <w:ind w:left="840" w:leftChars="200" w:hanging="420" w:hangingChars="200"/>
        <w:rPr>
          <w:rFonts w:hint="eastAsia"/>
          <w:szCs w:val="21"/>
        </w:rPr>
      </w:pPr>
      <w:r>
        <w:rPr>
          <w:szCs w:val="21"/>
        </w:rPr>
        <w:t>——</w:t>
      </w:r>
      <w:r>
        <w:rPr>
          <w:rFonts w:hint="eastAsia"/>
          <w:szCs w:val="21"/>
        </w:rPr>
        <w:t>例行试验，</w:t>
      </w:r>
      <w:r>
        <w:rPr>
          <w:szCs w:val="21"/>
        </w:rPr>
        <w:t>110</w:t>
      </w:r>
      <w:r>
        <w:rPr>
          <w:rFonts w:hint="eastAsia"/>
          <w:szCs w:val="21"/>
        </w:rPr>
        <w:t xml:space="preserve"> kV</w:t>
      </w:r>
      <w:r>
        <w:rPr>
          <w:szCs w:val="21"/>
        </w:rPr>
        <w:t>（66</w:t>
      </w:r>
      <w:r>
        <w:rPr>
          <w:rFonts w:hint="eastAsia"/>
          <w:szCs w:val="21"/>
        </w:rPr>
        <w:t xml:space="preserve"> kV</w:t>
      </w:r>
      <w:r>
        <w:rPr>
          <w:szCs w:val="21"/>
        </w:rPr>
        <w:t>）～</w:t>
      </w:r>
      <w:r>
        <w:rPr>
          <w:rFonts w:hint="eastAsia"/>
          <w:szCs w:val="21"/>
          <w:lang w:val="en-US" w:eastAsia="zh-CN"/>
        </w:rPr>
        <w:t>220</w:t>
      </w:r>
      <w:r>
        <w:rPr>
          <w:szCs w:val="21"/>
        </w:rPr>
        <w:t>kV油浸式电流互感器局部放电试验的测量时间为5min</w:t>
      </w:r>
      <w:r>
        <w:rPr>
          <w:rFonts w:hint="eastAsia"/>
          <w:szCs w:val="21"/>
        </w:rPr>
        <w:t>；</w:t>
      </w:r>
    </w:p>
    <w:p>
      <w:pPr>
        <w:ind w:left="840" w:leftChars="200" w:hanging="420" w:hangingChars="200"/>
        <w:rPr>
          <w:rFonts w:hint="eastAsia"/>
          <w:szCs w:val="21"/>
          <w:highlight w:val="none"/>
        </w:rPr>
      </w:pPr>
      <w:r>
        <w:rPr>
          <w:rFonts w:ascii="Times New Roman" w:hAnsi="Times New Roman" w:eastAsia="宋体" w:cs="Times New Roman"/>
          <w:szCs w:val="21"/>
        </w:rPr>
        <w:t>——</w:t>
      </w:r>
      <w:r>
        <w:rPr>
          <w:rFonts w:hint="eastAsia" w:cs="Times New Roman"/>
          <w:szCs w:val="21"/>
          <w:lang w:val="en-US" w:eastAsia="zh-CN"/>
        </w:rPr>
        <w:t>与频率相关的试验，如一次端交流耐压试验、温升试验、准确度试验和励磁特性试验应在</w:t>
      </w:r>
      <w:r>
        <w:rPr>
          <w:rFonts w:hint="eastAsia" w:cs="Times New Roman"/>
          <w:szCs w:val="21"/>
          <w:highlight w:val="none"/>
          <w:lang w:val="en-US" w:eastAsia="zh-CN"/>
        </w:rPr>
        <w:t>额定频率下进行；</w:t>
      </w:r>
    </w:p>
    <w:p>
      <w:pPr>
        <w:ind w:left="840" w:leftChars="200" w:hanging="420" w:hangingChars="200"/>
        <w:rPr>
          <w:rFonts w:hint="eastAsia"/>
          <w:szCs w:val="21"/>
        </w:rPr>
      </w:pPr>
      <w:r>
        <w:rPr>
          <w:szCs w:val="21"/>
        </w:rPr>
        <w:t>——一次</w:t>
      </w:r>
      <w:r>
        <w:rPr>
          <w:rFonts w:hint="eastAsia"/>
          <w:szCs w:val="21"/>
        </w:rPr>
        <w:t>端</w:t>
      </w:r>
      <w:r>
        <w:rPr>
          <w:szCs w:val="21"/>
        </w:rPr>
        <w:t>的重复</w:t>
      </w:r>
      <w:r>
        <w:rPr>
          <w:rFonts w:hint="eastAsia"/>
          <w:szCs w:val="21"/>
          <w:lang w:val="en-US" w:eastAsia="zh-CN"/>
        </w:rPr>
        <w:t>交流</w:t>
      </w:r>
      <w:r>
        <w:rPr>
          <w:szCs w:val="21"/>
        </w:rPr>
        <w:t>耐压试验应在规定试验电压值的80%下进行</w:t>
      </w:r>
      <w:r>
        <w:rPr>
          <w:rFonts w:hint="eastAsia"/>
          <w:szCs w:val="21"/>
        </w:rPr>
        <w:t>；</w:t>
      </w:r>
    </w:p>
    <w:p>
      <w:pPr>
        <w:ind w:left="840" w:leftChars="200" w:hanging="420" w:hangingChars="200"/>
        <w:rPr>
          <w:rFonts w:hint="eastAsia"/>
          <w:szCs w:val="21"/>
        </w:rPr>
      </w:pPr>
      <w:r>
        <w:rPr>
          <w:szCs w:val="21"/>
        </w:rPr>
        <w:t>——</w:t>
      </w:r>
      <w:r>
        <w:rPr>
          <w:rFonts w:hint="eastAsia"/>
          <w:szCs w:val="21"/>
        </w:rPr>
        <w:t>交接试验，35kV ~110kV电流互感器应按10%的比例抽样开展局部放电试验；</w:t>
      </w:r>
    </w:p>
    <w:p>
      <w:pPr>
        <w:ind w:left="840" w:leftChars="200" w:hanging="420" w:hangingChars="200"/>
        <w:rPr>
          <w:rFonts w:hint="eastAsia"/>
          <w:szCs w:val="21"/>
        </w:rPr>
      </w:pPr>
      <w:r>
        <w:rPr>
          <w:szCs w:val="21"/>
        </w:rPr>
        <w:t>——</w:t>
      </w:r>
      <w:r>
        <w:rPr>
          <w:rFonts w:hint="eastAsia"/>
          <w:szCs w:val="21"/>
        </w:rPr>
        <w:t>交接试验，220kV电压等级电流互感器在绝缘性能有怀疑时宜进行局部放电试验；</w:t>
      </w:r>
    </w:p>
    <w:p>
      <w:pPr>
        <w:ind w:left="840" w:leftChars="200" w:hanging="420" w:hangingChars="200"/>
        <w:rPr>
          <w:rFonts w:hint="eastAsia"/>
          <w:szCs w:val="21"/>
        </w:rPr>
      </w:pPr>
      <w:r>
        <w:rPr>
          <w:szCs w:val="21"/>
        </w:rPr>
        <w:t>——</w:t>
      </w:r>
      <w:r>
        <w:rPr>
          <w:rFonts w:hint="eastAsia"/>
          <w:szCs w:val="21"/>
        </w:rPr>
        <w:t>交接试验，油浸式电流互感器在交流耐压试验前应保证充足的静置时间，其中</w:t>
      </w:r>
      <w:r>
        <w:rPr>
          <w:szCs w:val="21"/>
        </w:rPr>
        <w:t>110</w:t>
      </w:r>
      <w:r>
        <w:rPr>
          <w:rFonts w:hint="eastAsia"/>
          <w:szCs w:val="21"/>
        </w:rPr>
        <w:t xml:space="preserve"> kV</w:t>
      </w:r>
      <w:r>
        <w:rPr>
          <w:szCs w:val="21"/>
        </w:rPr>
        <w:t>（66</w:t>
      </w:r>
      <w:r>
        <w:rPr>
          <w:rFonts w:hint="eastAsia"/>
          <w:szCs w:val="21"/>
        </w:rPr>
        <w:t xml:space="preserve"> kV</w:t>
      </w:r>
      <w:r>
        <w:rPr>
          <w:szCs w:val="21"/>
        </w:rPr>
        <w:t>）</w:t>
      </w:r>
      <w:r>
        <w:rPr>
          <w:rFonts w:hint="eastAsia"/>
          <w:szCs w:val="21"/>
        </w:rPr>
        <w:t>电流互感器不少于24h、220 kV电流互感器不少于48h，试验前后应开展绝缘油中溶解气体对比分析。</w:t>
      </w:r>
    </w:p>
    <w:p>
      <w:pPr>
        <w:pStyle w:val="84"/>
        <w:ind w:left="0" w:leftChars="-250" w:hanging="525" w:hangingChars="250"/>
        <w:rPr>
          <w:rFonts w:ascii="Times New Roman"/>
          <w:szCs w:val="21"/>
        </w:rPr>
      </w:pPr>
      <w:r>
        <w:rPr>
          <w:rFonts w:hint="eastAsia" w:ascii="Times New Roman"/>
          <w:szCs w:val="21"/>
          <w:lang w:val="en-US" w:eastAsia="zh-CN"/>
        </w:rPr>
        <w:t xml:space="preserve">表8 </w:t>
      </w:r>
      <w:r>
        <w:rPr>
          <w:rFonts w:ascii="Times New Roman"/>
          <w:szCs w:val="21"/>
        </w:rPr>
        <w:t>电流互感器试验项目</w:t>
      </w:r>
    </w:p>
    <w:tbl>
      <w:tblPr>
        <w:tblStyle w:val="42"/>
        <w:tblW w:w="5091" w:type="pct"/>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2691"/>
        <w:gridCol w:w="1276"/>
        <w:gridCol w:w="1290"/>
        <w:gridCol w:w="943"/>
        <w:gridCol w:w="943"/>
        <w:gridCol w:w="944"/>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color w:val="000000"/>
                <w:sz w:val="18"/>
                <w:szCs w:val="18"/>
              </w:rPr>
              <w:t>序号</w:t>
            </w:r>
          </w:p>
        </w:tc>
        <w:tc>
          <w:tcPr>
            <w:tcW w:w="1381" w:type="pct"/>
            <w:noWrap w:val="0"/>
            <w:vAlign w:val="center"/>
          </w:tcPr>
          <w:p>
            <w:pPr>
              <w:autoSpaceDE w:val="0"/>
              <w:autoSpaceDN w:val="0"/>
              <w:jc w:val="center"/>
              <w:rPr>
                <w:color w:val="000000"/>
                <w:sz w:val="18"/>
                <w:szCs w:val="18"/>
              </w:rPr>
            </w:pPr>
            <w:r>
              <w:rPr>
                <w:color w:val="000000"/>
                <w:sz w:val="18"/>
                <w:szCs w:val="18"/>
              </w:rPr>
              <w:t>试验项目</w:t>
            </w:r>
          </w:p>
        </w:tc>
        <w:tc>
          <w:tcPr>
            <w:tcW w:w="655" w:type="pct"/>
            <w:noWrap w:val="0"/>
            <w:vAlign w:val="center"/>
          </w:tcPr>
          <w:p>
            <w:pPr>
              <w:autoSpaceDE w:val="0"/>
              <w:autoSpaceDN w:val="0"/>
              <w:jc w:val="center"/>
              <w:rPr>
                <w:color w:val="000000"/>
                <w:sz w:val="18"/>
                <w:szCs w:val="18"/>
              </w:rPr>
            </w:pPr>
            <w:r>
              <w:rPr>
                <w:color w:val="000000"/>
                <w:sz w:val="18"/>
                <w:szCs w:val="18"/>
              </w:rPr>
              <w:t>试验方法</w:t>
            </w:r>
          </w:p>
        </w:tc>
        <w:tc>
          <w:tcPr>
            <w:tcW w:w="662" w:type="pct"/>
            <w:noWrap w:val="0"/>
            <w:vAlign w:val="center"/>
          </w:tcPr>
          <w:p>
            <w:pPr>
              <w:autoSpaceDE w:val="0"/>
              <w:autoSpaceDN w:val="0"/>
              <w:jc w:val="center"/>
              <w:rPr>
                <w:color w:val="000000"/>
                <w:sz w:val="18"/>
                <w:szCs w:val="18"/>
              </w:rPr>
            </w:pPr>
            <w:r>
              <w:rPr>
                <w:color w:val="000000"/>
                <w:sz w:val="18"/>
                <w:szCs w:val="18"/>
              </w:rPr>
              <w:t>试验判据</w:t>
            </w:r>
          </w:p>
        </w:tc>
        <w:tc>
          <w:tcPr>
            <w:tcW w:w="484" w:type="pct"/>
            <w:noWrap w:val="0"/>
            <w:vAlign w:val="center"/>
          </w:tcPr>
          <w:p>
            <w:pPr>
              <w:autoSpaceDE w:val="0"/>
              <w:autoSpaceDN w:val="0"/>
              <w:jc w:val="center"/>
              <w:rPr>
                <w:color w:val="000000"/>
                <w:sz w:val="18"/>
                <w:szCs w:val="18"/>
              </w:rPr>
            </w:pPr>
            <w:r>
              <w:rPr>
                <w:color w:val="000000"/>
                <w:sz w:val="18"/>
                <w:szCs w:val="18"/>
              </w:rPr>
              <w:t>型式试验</w:t>
            </w:r>
          </w:p>
        </w:tc>
        <w:tc>
          <w:tcPr>
            <w:tcW w:w="484" w:type="pct"/>
            <w:noWrap w:val="0"/>
            <w:vAlign w:val="center"/>
          </w:tcPr>
          <w:p>
            <w:pPr>
              <w:autoSpaceDE w:val="0"/>
              <w:autoSpaceDN w:val="0"/>
              <w:jc w:val="center"/>
            </w:pPr>
            <w:r>
              <w:rPr>
                <w:rFonts w:hint="eastAsia"/>
                <w:color w:val="000000"/>
                <w:sz w:val="18"/>
                <w:szCs w:val="18"/>
              </w:rPr>
              <w:t>例行</w:t>
            </w:r>
            <w:r>
              <w:rPr>
                <w:color w:val="000000"/>
                <w:sz w:val="18"/>
                <w:szCs w:val="18"/>
              </w:rPr>
              <w:t>试验</w:t>
            </w:r>
          </w:p>
        </w:tc>
        <w:tc>
          <w:tcPr>
            <w:tcW w:w="484" w:type="pct"/>
            <w:noWrap w:val="0"/>
            <w:vAlign w:val="center"/>
          </w:tcPr>
          <w:p>
            <w:pPr>
              <w:autoSpaceDE w:val="0"/>
              <w:autoSpaceDN w:val="0"/>
              <w:jc w:val="center"/>
              <w:rPr>
                <w:color w:val="000000"/>
                <w:sz w:val="18"/>
                <w:szCs w:val="18"/>
              </w:rPr>
            </w:pPr>
            <w:r>
              <w:rPr>
                <w:rFonts w:hint="eastAsia"/>
                <w:color w:val="000000"/>
                <w:sz w:val="18"/>
                <w:szCs w:val="18"/>
              </w:rPr>
              <w:t>特殊试验</w:t>
            </w:r>
          </w:p>
        </w:tc>
        <w:tc>
          <w:tcPr>
            <w:tcW w:w="486" w:type="pct"/>
            <w:noWrap w:val="0"/>
            <w:vAlign w:val="center"/>
          </w:tcPr>
          <w:p>
            <w:pPr>
              <w:autoSpaceDE w:val="0"/>
              <w:autoSpaceDN w:val="0"/>
              <w:jc w:val="center"/>
              <w:rPr>
                <w:rFonts w:hint="eastAsia"/>
                <w:color w:val="000000"/>
                <w:sz w:val="18"/>
                <w:szCs w:val="18"/>
              </w:rPr>
            </w:pPr>
            <w:r>
              <w:rPr>
                <w:rFonts w:hint="eastAsia"/>
                <w:color w:val="000000"/>
                <w:sz w:val="18"/>
                <w:szCs w:val="18"/>
              </w:rPr>
              <w:t>交接试验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1</w:t>
            </w:r>
          </w:p>
        </w:tc>
        <w:tc>
          <w:tcPr>
            <w:tcW w:w="1381" w:type="pct"/>
            <w:noWrap w:val="0"/>
            <w:vAlign w:val="center"/>
          </w:tcPr>
          <w:p>
            <w:pPr>
              <w:autoSpaceDE w:val="0"/>
              <w:autoSpaceDN w:val="0"/>
              <w:jc w:val="center"/>
              <w:rPr>
                <w:color w:val="000000"/>
                <w:sz w:val="18"/>
                <w:szCs w:val="18"/>
              </w:rPr>
            </w:pPr>
            <w:r>
              <w:rPr>
                <w:sz w:val="18"/>
                <w:szCs w:val="18"/>
              </w:rPr>
              <w:t>温升试验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2</w:t>
            </w:r>
          </w:p>
        </w:tc>
        <w:tc>
          <w:tcPr>
            <w:tcW w:w="1381" w:type="pct"/>
            <w:noWrap w:val="0"/>
            <w:vAlign w:val="center"/>
          </w:tcPr>
          <w:p>
            <w:pPr>
              <w:autoSpaceDE w:val="0"/>
              <w:autoSpaceDN w:val="0"/>
              <w:jc w:val="center"/>
              <w:rPr>
                <w:sz w:val="18"/>
                <w:szCs w:val="18"/>
              </w:rPr>
            </w:pPr>
            <w:r>
              <w:rPr>
                <w:sz w:val="18"/>
                <w:szCs w:val="18"/>
              </w:rPr>
              <w:t>一次端冲击耐压试验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3</w:t>
            </w:r>
          </w:p>
        </w:tc>
        <w:tc>
          <w:tcPr>
            <w:tcW w:w="1381" w:type="pct"/>
            <w:noWrap w:val="0"/>
            <w:vAlign w:val="center"/>
          </w:tcPr>
          <w:p>
            <w:pPr>
              <w:autoSpaceDE w:val="0"/>
              <w:autoSpaceDN w:val="0"/>
              <w:jc w:val="center"/>
              <w:rPr>
                <w:sz w:val="18"/>
                <w:szCs w:val="18"/>
              </w:rPr>
            </w:pPr>
            <w:r>
              <w:rPr>
                <w:sz w:val="18"/>
                <w:szCs w:val="18"/>
              </w:rPr>
              <w:t>户外型互感器的湿试验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4</w:t>
            </w:r>
          </w:p>
        </w:tc>
        <w:tc>
          <w:tcPr>
            <w:tcW w:w="1381" w:type="pct"/>
            <w:noWrap w:val="0"/>
            <w:vAlign w:val="center"/>
          </w:tcPr>
          <w:p>
            <w:pPr>
              <w:autoSpaceDE w:val="0"/>
              <w:autoSpaceDN w:val="0"/>
              <w:jc w:val="center"/>
            </w:pPr>
            <w:r>
              <w:rPr>
                <w:sz w:val="18"/>
                <w:szCs w:val="18"/>
              </w:rPr>
              <w:t>无线电干扰电压(RIV)试验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rFonts w:hint="eastAsia"/>
                <w:color w:val="000000"/>
                <w:sz w:val="18"/>
                <w:szCs w:val="18"/>
              </w:rPr>
            </w:pPr>
            <w:r>
              <w:rPr>
                <w:rFonts w:hint="eastAsia"/>
                <w:color w:val="000000"/>
                <w:sz w:val="18"/>
                <w:szCs w:val="18"/>
              </w:rPr>
              <w:t>5</w:t>
            </w:r>
          </w:p>
        </w:tc>
        <w:tc>
          <w:tcPr>
            <w:tcW w:w="1381" w:type="pct"/>
            <w:noWrap w:val="0"/>
            <w:vAlign w:val="center"/>
          </w:tcPr>
          <w:p>
            <w:pPr>
              <w:autoSpaceDE w:val="0"/>
              <w:autoSpaceDN w:val="0"/>
              <w:jc w:val="center"/>
              <w:rPr>
                <w:rFonts w:hint="eastAsia"/>
                <w:color w:val="000000"/>
                <w:sz w:val="18"/>
                <w:szCs w:val="18"/>
                <w:vertAlign w:val="superscript"/>
              </w:rPr>
            </w:pPr>
            <w:r>
              <w:rPr>
                <w:sz w:val="18"/>
                <w:szCs w:val="18"/>
              </w:rPr>
              <w:t>准确度试验</w:t>
            </w:r>
          </w:p>
        </w:tc>
        <w:tc>
          <w:tcPr>
            <w:tcW w:w="655" w:type="pct"/>
            <w:noWrap w:val="0"/>
            <w:vAlign w:val="center"/>
          </w:tcPr>
          <w:p>
            <w:pPr>
              <w:autoSpaceDE w:val="0"/>
              <w:autoSpaceDN w:val="0"/>
              <w:jc w:val="center"/>
              <w:rPr>
                <w:sz w:val="18"/>
                <w:szCs w:val="18"/>
              </w:rPr>
            </w:pPr>
            <w:r>
              <w:rPr>
                <w:sz w:val="18"/>
                <w:szCs w:val="18"/>
              </w:rPr>
              <w:t>GB/T 22071.1</w:t>
            </w:r>
          </w:p>
        </w:tc>
        <w:tc>
          <w:tcPr>
            <w:tcW w:w="662" w:type="pct"/>
            <w:noWrap w:val="0"/>
            <w:vAlign w:val="center"/>
          </w:tcPr>
          <w:p>
            <w:pPr>
              <w:autoSpaceDE w:val="0"/>
              <w:autoSpaceDN w:val="0"/>
              <w:jc w:val="center"/>
              <w:rPr>
                <w:color w:val="000000"/>
                <w:sz w:val="18"/>
                <w:szCs w:val="18"/>
              </w:rPr>
            </w:pPr>
            <w:r>
              <w:rPr>
                <w:sz w:val="18"/>
                <w:szCs w:val="18"/>
              </w:rPr>
              <w:t>8.3</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6</w:t>
            </w:r>
          </w:p>
        </w:tc>
        <w:tc>
          <w:tcPr>
            <w:tcW w:w="1381" w:type="pct"/>
            <w:noWrap w:val="0"/>
            <w:vAlign w:val="center"/>
          </w:tcPr>
          <w:p>
            <w:pPr>
              <w:jc w:val="center"/>
              <w:rPr>
                <w:sz w:val="18"/>
                <w:szCs w:val="18"/>
              </w:rPr>
            </w:pPr>
            <w:r>
              <w:rPr>
                <w:sz w:val="18"/>
                <w:szCs w:val="18"/>
              </w:rPr>
              <w:t>外壳防护等级的检验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rFonts w:hint="eastAsia"/>
                <w:color w:val="000000"/>
                <w:sz w:val="18"/>
                <w:szCs w:val="18"/>
              </w:rPr>
            </w:pPr>
            <w:r>
              <w:rPr>
                <w:rFonts w:hint="eastAsia"/>
                <w:color w:val="000000"/>
                <w:sz w:val="18"/>
                <w:szCs w:val="18"/>
              </w:rPr>
              <w:t>7</w:t>
            </w:r>
          </w:p>
        </w:tc>
        <w:tc>
          <w:tcPr>
            <w:tcW w:w="1381" w:type="pct"/>
            <w:noWrap w:val="0"/>
            <w:vAlign w:val="center"/>
          </w:tcPr>
          <w:p>
            <w:pPr>
              <w:autoSpaceDE w:val="0"/>
              <w:autoSpaceDN w:val="0"/>
              <w:jc w:val="center"/>
              <w:rPr>
                <w:color w:val="000000"/>
                <w:sz w:val="18"/>
                <w:szCs w:val="18"/>
                <w:vertAlign w:val="superscript"/>
              </w:rPr>
            </w:pPr>
            <w:r>
              <w:rPr>
                <w:sz w:val="18"/>
                <w:szCs w:val="18"/>
              </w:rPr>
              <w:t>环境温度下密封性能试验</w:t>
            </w:r>
          </w:p>
        </w:tc>
        <w:tc>
          <w:tcPr>
            <w:tcW w:w="655" w:type="pct"/>
            <w:noWrap w:val="0"/>
            <w:vAlign w:val="center"/>
          </w:tcPr>
          <w:p>
            <w:pPr>
              <w:autoSpaceDE w:val="0"/>
              <w:autoSpaceDN w:val="0"/>
              <w:jc w:val="center"/>
              <w:rPr>
                <w:color w:val="000000"/>
                <w:sz w:val="18"/>
                <w:szCs w:val="18"/>
              </w:rPr>
            </w:pPr>
            <w:r>
              <w:rPr>
                <w:color w:val="000000"/>
                <w:sz w:val="18"/>
                <w:szCs w:val="18"/>
              </w:rPr>
              <w:t>8.4</w:t>
            </w:r>
          </w:p>
        </w:tc>
        <w:tc>
          <w:tcPr>
            <w:tcW w:w="662" w:type="pct"/>
            <w:noWrap w:val="0"/>
            <w:vAlign w:val="center"/>
          </w:tcPr>
          <w:p>
            <w:pPr>
              <w:autoSpaceDE w:val="0"/>
              <w:autoSpaceDN w:val="0"/>
              <w:jc w:val="center"/>
              <w:rPr>
                <w:color w:val="000000"/>
                <w:sz w:val="18"/>
                <w:szCs w:val="18"/>
              </w:rPr>
            </w:pPr>
            <w:r>
              <w:rPr>
                <w:color w:val="000000"/>
                <w:sz w:val="18"/>
                <w:szCs w:val="18"/>
              </w:rPr>
              <w:t>8.4</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rFonts w:hint="eastAsia"/>
                <w:color w:val="000000"/>
                <w:sz w:val="18"/>
                <w:szCs w:val="18"/>
              </w:rPr>
            </w:pPr>
            <w:r>
              <w:rPr>
                <w:rFonts w:hint="eastAsia"/>
                <w:color w:val="000000"/>
                <w:sz w:val="18"/>
                <w:szCs w:val="18"/>
              </w:rPr>
              <w:t>8</w:t>
            </w:r>
          </w:p>
        </w:tc>
        <w:tc>
          <w:tcPr>
            <w:tcW w:w="1381" w:type="pct"/>
            <w:noWrap w:val="0"/>
            <w:vAlign w:val="center"/>
          </w:tcPr>
          <w:p>
            <w:pPr>
              <w:autoSpaceDE w:val="0"/>
              <w:autoSpaceDN w:val="0"/>
              <w:jc w:val="center"/>
              <w:rPr>
                <w:sz w:val="18"/>
                <w:szCs w:val="18"/>
              </w:rPr>
            </w:pPr>
            <w:r>
              <w:rPr>
                <w:sz w:val="18"/>
                <w:szCs w:val="18"/>
              </w:rPr>
              <w:t>压力试验</w:t>
            </w:r>
          </w:p>
        </w:tc>
        <w:tc>
          <w:tcPr>
            <w:tcW w:w="655" w:type="pct"/>
            <w:noWrap w:val="0"/>
            <w:vAlign w:val="center"/>
          </w:tcPr>
          <w:p>
            <w:pPr>
              <w:autoSpaceDE w:val="0"/>
              <w:autoSpaceDN w:val="0"/>
              <w:jc w:val="center"/>
              <w:rPr>
                <w:sz w:val="18"/>
                <w:szCs w:val="18"/>
              </w:rPr>
            </w:pPr>
            <w:r>
              <w:rPr>
                <w:sz w:val="18"/>
                <w:szCs w:val="18"/>
              </w:rPr>
              <w:t>GB/T 22071.1</w:t>
            </w:r>
          </w:p>
        </w:tc>
        <w:tc>
          <w:tcPr>
            <w:tcW w:w="662" w:type="pct"/>
            <w:noWrap w:val="0"/>
            <w:vAlign w:val="center"/>
          </w:tcPr>
          <w:p>
            <w:pPr>
              <w:autoSpaceDE w:val="0"/>
              <w:autoSpaceDN w:val="0"/>
              <w:jc w:val="center"/>
              <w:rPr>
                <w:sz w:val="18"/>
                <w:szCs w:val="18"/>
              </w:rPr>
            </w:pPr>
            <w:r>
              <w:rPr>
                <w:sz w:val="18"/>
                <w:szCs w:val="18"/>
              </w:rPr>
              <w:t>GB/T 22071.</w:t>
            </w:r>
            <w:r>
              <w:rPr>
                <w:rFonts w:hint="eastAsia"/>
                <w:sz w:val="18"/>
                <w:szCs w:val="18"/>
              </w:rPr>
              <w:t>1</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9</w:t>
            </w:r>
          </w:p>
        </w:tc>
        <w:tc>
          <w:tcPr>
            <w:tcW w:w="1381" w:type="pct"/>
            <w:noWrap w:val="0"/>
            <w:vAlign w:val="center"/>
          </w:tcPr>
          <w:p>
            <w:pPr>
              <w:jc w:val="center"/>
              <w:rPr>
                <w:sz w:val="18"/>
                <w:szCs w:val="18"/>
              </w:rPr>
            </w:pPr>
            <w:r>
              <w:rPr>
                <w:sz w:val="18"/>
                <w:szCs w:val="18"/>
              </w:rPr>
              <w:t>短时电流试验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color w:val="000000"/>
                <w:sz w:val="18"/>
                <w:szCs w:val="18"/>
              </w:rPr>
              <w:t>1</w:t>
            </w:r>
            <w:r>
              <w:rPr>
                <w:rFonts w:hint="eastAsia"/>
                <w:color w:val="000000"/>
                <w:sz w:val="18"/>
                <w:szCs w:val="18"/>
              </w:rPr>
              <w:t>0</w:t>
            </w:r>
          </w:p>
        </w:tc>
        <w:tc>
          <w:tcPr>
            <w:tcW w:w="1381" w:type="pct"/>
            <w:noWrap w:val="0"/>
            <w:vAlign w:val="center"/>
          </w:tcPr>
          <w:p>
            <w:pPr>
              <w:autoSpaceDE w:val="0"/>
              <w:autoSpaceDN w:val="0"/>
              <w:jc w:val="center"/>
              <w:rPr>
                <w:sz w:val="18"/>
                <w:szCs w:val="18"/>
                <w:vertAlign w:val="superscript"/>
              </w:rPr>
            </w:pPr>
            <w:r>
              <w:rPr>
                <w:sz w:val="18"/>
                <w:szCs w:val="18"/>
              </w:rPr>
              <w:t>气体露点测量</w:t>
            </w:r>
          </w:p>
        </w:tc>
        <w:tc>
          <w:tcPr>
            <w:tcW w:w="655" w:type="pct"/>
            <w:noWrap w:val="0"/>
            <w:vAlign w:val="center"/>
          </w:tcPr>
          <w:p>
            <w:pPr>
              <w:autoSpaceDE w:val="0"/>
              <w:autoSpaceDN w:val="0"/>
              <w:jc w:val="center"/>
              <w:rPr>
                <w:color w:val="000000"/>
                <w:sz w:val="18"/>
                <w:szCs w:val="18"/>
              </w:rPr>
            </w:pPr>
            <w:r>
              <w:rPr>
                <w:sz w:val="18"/>
                <w:szCs w:val="18"/>
              </w:rPr>
              <w:t>GB/T 22071.1</w:t>
            </w:r>
          </w:p>
        </w:tc>
        <w:tc>
          <w:tcPr>
            <w:tcW w:w="662" w:type="pct"/>
            <w:noWrap w:val="0"/>
            <w:vAlign w:val="center"/>
          </w:tcPr>
          <w:p>
            <w:pPr>
              <w:autoSpaceDE w:val="0"/>
              <w:autoSpaceDN w:val="0"/>
              <w:jc w:val="center"/>
              <w:rPr>
                <w:color w:val="000000"/>
                <w:sz w:val="18"/>
                <w:szCs w:val="18"/>
              </w:rPr>
            </w:pPr>
            <w:r>
              <w:rPr>
                <w:color w:val="000000"/>
                <w:sz w:val="18"/>
                <w:szCs w:val="18"/>
              </w:rPr>
              <w:t>8.5</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11</w:t>
            </w:r>
          </w:p>
        </w:tc>
        <w:tc>
          <w:tcPr>
            <w:tcW w:w="1381" w:type="pct"/>
            <w:noWrap w:val="0"/>
            <w:vAlign w:val="center"/>
          </w:tcPr>
          <w:p>
            <w:pPr>
              <w:autoSpaceDE w:val="0"/>
              <w:autoSpaceDN w:val="0"/>
              <w:jc w:val="center"/>
              <w:rPr>
                <w:color w:val="000000"/>
                <w:sz w:val="18"/>
                <w:szCs w:val="18"/>
              </w:rPr>
            </w:pPr>
            <w:r>
              <w:rPr>
                <w:sz w:val="18"/>
                <w:szCs w:val="18"/>
              </w:rPr>
              <w:t>一次端</w:t>
            </w:r>
            <w:r>
              <w:rPr>
                <w:rFonts w:hint="eastAsia"/>
                <w:sz w:val="18"/>
                <w:szCs w:val="18"/>
                <w:lang w:val="en-US" w:eastAsia="zh-CN"/>
              </w:rPr>
              <w:t>交流</w:t>
            </w:r>
            <w:r>
              <w:rPr>
                <w:sz w:val="18"/>
                <w:szCs w:val="18"/>
              </w:rPr>
              <w:t>耐压试验</w:t>
            </w:r>
          </w:p>
        </w:tc>
        <w:tc>
          <w:tcPr>
            <w:tcW w:w="655" w:type="pct"/>
            <w:noWrap w:val="0"/>
            <w:vAlign w:val="center"/>
          </w:tcPr>
          <w:p>
            <w:pPr>
              <w:autoSpaceDE w:val="0"/>
              <w:autoSpaceDN w:val="0"/>
              <w:jc w:val="center"/>
              <w:rPr>
                <w:sz w:val="18"/>
                <w:szCs w:val="18"/>
              </w:rPr>
            </w:pPr>
            <w:r>
              <w:rPr>
                <w:sz w:val="18"/>
                <w:szCs w:val="18"/>
              </w:rPr>
              <w:t>GB/T 22071.1</w:t>
            </w:r>
          </w:p>
        </w:tc>
        <w:tc>
          <w:tcPr>
            <w:tcW w:w="662" w:type="pct"/>
            <w:noWrap w:val="0"/>
            <w:vAlign w:val="center"/>
          </w:tcPr>
          <w:p>
            <w:pPr>
              <w:autoSpaceDE w:val="0"/>
              <w:autoSpaceDN w:val="0"/>
              <w:jc w:val="center"/>
              <w:rPr>
                <w:sz w:val="18"/>
                <w:szCs w:val="18"/>
              </w:rPr>
            </w:pPr>
            <w:r>
              <w:rPr>
                <w:rFonts w:hint="eastAsia"/>
                <w:sz w:val="18"/>
                <w:szCs w:val="18"/>
              </w:rPr>
              <w:t>8.6</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12</w:t>
            </w:r>
          </w:p>
        </w:tc>
        <w:tc>
          <w:tcPr>
            <w:tcW w:w="1381" w:type="pct"/>
            <w:noWrap w:val="0"/>
            <w:vAlign w:val="center"/>
          </w:tcPr>
          <w:p>
            <w:pPr>
              <w:autoSpaceDE w:val="0"/>
              <w:autoSpaceDN w:val="0"/>
              <w:jc w:val="center"/>
              <w:rPr>
                <w:color w:val="000000"/>
                <w:sz w:val="18"/>
                <w:szCs w:val="18"/>
              </w:rPr>
            </w:pPr>
            <w:r>
              <w:rPr>
                <w:sz w:val="18"/>
                <w:szCs w:val="18"/>
              </w:rPr>
              <w:t>局部放电测量</w:t>
            </w:r>
          </w:p>
        </w:tc>
        <w:tc>
          <w:tcPr>
            <w:tcW w:w="655" w:type="pct"/>
            <w:noWrap w:val="0"/>
            <w:vAlign w:val="center"/>
          </w:tcPr>
          <w:p>
            <w:pPr>
              <w:autoSpaceDE w:val="0"/>
              <w:autoSpaceDN w:val="0"/>
              <w:jc w:val="center"/>
              <w:rPr>
                <w:sz w:val="18"/>
                <w:szCs w:val="18"/>
              </w:rPr>
            </w:pPr>
            <w:r>
              <w:rPr>
                <w:sz w:val="18"/>
                <w:szCs w:val="18"/>
              </w:rPr>
              <w:t>GB/T 22071.1</w:t>
            </w:r>
          </w:p>
        </w:tc>
        <w:tc>
          <w:tcPr>
            <w:tcW w:w="662" w:type="pct"/>
            <w:noWrap w:val="0"/>
            <w:vAlign w:val="center"/>
          </w:tcPr>
          <w:p>
            <w:pPr>
              <w:autoSpaceDE w:val="0"/>
              <w:autoSpaceDN w:val="0"/>
              <w:jc w:val="center"/>
              <w:rPr>
                <w:color w:val="000000"/>
                <w:sz w:val="18"/>
                <w:szCs w:val="18"/>
              </w:rPr>
            </w:pPr>
            <w:r>
              <w:rPr>
                <w:color w:val="000000"/>
                <w:sz w:val="18"/>
                <w:szCs w:val="18"/>
              </w:rPr>
              <w:t>8.7</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13</w:t>
            </w:r>
          </w:p>
        </w:tc>
        <w:tc>
          <w:tcPr>
            <w:tcW w:w="1381" w:type="pct"/>
            <w:noWrap w:val="0"/>
            <w:vAlign w:val="center"/>
          </w:tcPr>
          <w:p>
            <w:pPr>
              <w:autoSpaceDE w:val="0"/>
              <w:autoSpaceDN w:val="0"/>
              <w:jc w:val="center"/>
              <w:rPr>
                <w:color w:val="auto"/>
                <w:sz w:val="18"/>
                <w:szCs w:val="18"/>
              </w:rPr>
            </w:pPr>
            <w:r>
              <w:rPr>
                <w:color w:val="auto"/>
                <w:sz w:val="18"/>
                <w:szCs w:val="18"/>
              </w:rPr>
              <w:t>电容量和介质损耗因数测量</w:t>
            </w:r>
            <w:r>
              <w:rPr>
                <w:rFonts w:hint="eastAsia" w:cs="Times New Roman"/>
                <w:color w:val="auto"/>
                <w:sz w:val="18"/>
                <w:szCs w:val="18"/>
                <w:lang w:eastAsia="zh-CN"/>
              </w:rPr>
              <w:t>（</w:t>
            </w:r>
            <w:r>
              <w:rPr>
                <w:rFonts w:hint="eastAsia" w:cs="Times New Roman"/>
                <w:color w:val="auto"/>
                <w:sz w:val="18"/>
                <w:szCs w:val="18"/>
                <w:lang w:val="en-US" w:eastAsia="zh-CN"/>
              </w:rPr>
              <w:t>适用于油纸绝缘产品</w:t>
            </w:r>
            <w:r>
              <w:rPr>
                <w:rFonts w:hint="eastAsia" w:cs="Times New Roman"/>
                <w:color w:val="auto"/>
                <w:sz w:val="18"/>
                <w:szCs w:val="18"/>
                <w:lang w:eastAsia="zh-CN"/>
              </w:rPr>
              <w:t>）</w:t>
            </w:r>
          </w:p>
        </w:tc>
        <w:tc>
          <w:tcPr>
            <w:tcW w:w="655" w:type="pct"/>
            <w:noWrap w:val="0"/>
            <w:vAlign w:val="center"/>
          </w:tcPr>
          <w:p>
            <w:pPr>
              <w:autoSpaceDE w:val="0"/>
              <w:autoSpaceDN w:val="0"/>
              <w:jc w:val="center"/>
              <w:rPr>
                <w:sz w:val="18"/>
                <w:szCs w:val="18"/>
              </w:rPr>
            </w:pPr>
            <w:r>
              <w:rPr>
                <w:sz w:val="18"/>
                <w:szCs w:val="18"/>
              </w:rPr>
              <w:t>GB/T 22071.1</w:t>
            </w:r>
          </w:p>
        </w:tc>
        <w:tc>
          <w:tcPr>
            <w:tcW w:w="662" w:type="pct"/>
            <w:noWrap w:val="0"/>
            <w:vAlign w:val="center"/>
          </w:tcPr>
          <w:p>
            <w:pPr>
              <w:autoSpaceDE w:val="0"/>
              <w:autoSpaceDN w:val="0"/>
              <w:jc w:val="center"/>
              <w:rPr>
                <w:color w:val="000000"/>
                <w:sz w:val="18"/>
                <w:szCs w:val="18"/>
              </w:rPr>
            </w:pPr>
            <w:r>
              <w:rPr>
                <w:color w:val="000000"/>
                <w:sz w:val="18"/>
                <w:szCs w:val="18"/>
              </w:rPr>
              <w:t>8.8</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14</w:t>
            </w:r>
          </w:p>
        </w:tc>
        <w:tc>
          <w:tcPr>
            <w:tcW w:w="1381" w:type="pct"/>
            <w:noWrap w:val="0"/>
            <w:vAlign w:val="center"/>
          </w:tcPr>
          <w:p>
            <w:pPr>
              <w:autoSpaceDE w:val="0"/>
              <w:autoSpaceDN w:val="0"/>
              <w:jc w:val="center"/>
              <w:rPr>
                <w:color w:val="auto"/>
                <w:sz w:val="18"/>
                <w:szCs w:val="18"/>
              </w:rPr>
            </w:pPr>
            <w:r>
              <w:rPr>
                <w:color w:val="auto"/>
                <w:sz w:val="18"/>
                <w:szCs w:val="18"/>
              </w:rPr>
              <w:t>段间工频耐压试验</w:t>
            </w:r>
          </w:p>
        </w:tc>
        <w:tc>
          <w:tcPr>
            <w:tcW w:w="655" w:type="pct"/>
            <w:noWrap w:val="0"/>
            <w:vAlign w:val="center"/>
          </w:tcPr>
          <w:p>
            <w:pPr>
              <w:autoSpaceDE w:val="0"/>
              <w:autoSpaceDN w:val="0"/>
              <w:jc w:val="center"/>
              <w:rPr>
                <w:sz w:val="18"/>
                <w:szCs w:val="18"/>
              </w:rPr>
            </w:pPr>
            <w:r>
              <w:rPr>
                <w:sz w:val="18"/>
                <w:szCs w:val="18"/>
              </w:rPr>
              <w:t>GB/T 22071.1</w:t>
            </w:r>
          </w:p>
        </w:tc>
        <w:tc>
          <w:tcPr>
            <w:tcW w:w="662" w:type="pct"/>
            <w:noWrap w:val="0"/>
            <w:vAlign w:val="center"/>
          </w:tcPr>
          <w:p>
            <w:pPr>
              <w:autoSpaceDE w:val="0"/>
              <w:autoSpaceDN w:val="0"/>
              <w:jc w:val="center"/>
              <w:rPr>
                <w:color w:val="000000"/>
                <w:sz w:val="18"/>
                <w:szCs w:val="18"/>
              </w:rPr>
            </w:pPr>
            <w:r>
              <w:rPr>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15</w:t>
            </w:r>
          </w:p>
        </w:tc>
        <w:tc>
          <w:tcPr>
            <w:tcW w:w="1381" w:type="pct"/>
            <w:noWrap w:val="0"/>
            <w:vAlign w:val="center"/>
          </w:tcPr>
          <w:p>
            <w:pPr>
              <w:autoSpaceDE w:val="0"/>
              <w:autoSpaceDN w:val="0"/>
              <w:jc w:val="center"/>
              <w:rPr>
                <w:color w:val="auto"/>
                <w:sz w:val="18"/>
                <w:szCs w:val="18"/>
              </w:rPr>
            </w:pPr>
            <w:r>
              <w:rPr>
                <w:color w:val="auto"/>
                <w:sz w:val="18"/>
                <w:szCs w:val="18"/>
              </w:rPr>
              <w:t>二次端工频耐压试验</w:t>
            </w:r>
          </w:p>
        </w:tc>
        <w:tc>
          <w:tcPr>
            <w:tcW w:w="655" w:type="pct"/>
            <w:noWrap w:val="0"/>
            <w:vAlign w:val="center"/>
          </w:tcPr>
          <w:p>
            <w:pPr>
              <w:autoSpaceDE w:val="0"/>
              <w:autoSpaceDN w:val="0"/>
              <w:jc w:val="center"/>
              <w:rPr>
                <w:sz w:val="18"/>
                <w:szCs w:val="18"/>
              </w:rPr>
            </w:pPr>
            <w:r>
              <w:rPr>
                <w:sz w:val="18"/>
                <w:szCs w:val="18"/>
              </w:rPr>
              <w:t>GB/T 22071.1</w:t>
            </w:r>
          </w:p>
        </w:tc>
        <w:tc>
          <w:tcPr>
            <w:tcW w:w="662" w:type="pct"/>
            <w:noWrap w:val="0"/>
            <w:vAlign w:val="center"/>
          </w:tcPr>
          <w:p>
            <w:pPr>
              <w:autoSpaceDE w:val="0"/>
              <w:autoSpaceDN w:val="0"/>
              <w:jc w:val="center"/>
              <w:rPr>
                <w:color w:val="000000"/>
                <w:sz w:val="18"/>
                <w:szCs w:val="18"/>
              </w:rPr>
            </w:pPr>
            <w:r>
              <w:rPr>
                <w:color w:val="000000"/>
                <w:sz w:val="18"/>
                <w:szCs w:val="18"/>
              </w:rPr>
              <w:t>8.9</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16</w:t>
            </w:r>
          </w:p>
        </w:tc>
        <w:tc>
          <w:tcPr>
            <w:tcW w:w="1381" w:type="pct"/>
            <w:noWrap w:val="0"/>
            <w:vAlign w:val="center"/>
          </w:tcPr>
          <w:p>
            <w:pPr>
              <w:autoSpaceDE w:val="0"/>
              <w:autoSpaceDN w:val="0"/>
              <w:jc w:val="center"/>
              <w:rPr>
                <w:color w:val="auto"/>
                <w:sz w:val="18"/>
                <w:szCs w:val="18"/>
                <w:vertAlign w:val="superscript"/>
              </w:rPr>
            </w:pPr>
            <w:r>
              <w:rPr>
                <w:color w:val="auto"/>
                <w:sz w:val="18"/>
                <w:szCs w:val="18"/>
              </w:rPr>
              <w:t>标志的检验</w:t>
            </w:r>
          </w:p>
        </w:tc>
        <w:tc>
          <w:tcPr>
            <w:tcW w:w="655" w:type="pct"/>
            <w:noWrap w:val="0"/>
            <w:vAlign w:val="center"/>
          </w:tcPr>
          <w:p>
            <w:pPr>
              <w:autoSpaceDE w:val="0"/>
              <w:autoSpaceDN w:val="0"/>
              <w:jc w:val="center"/>
              <w:rPr>
                <w:sz w:val="18"/>
                <w:szCs w:val="18"/>
              </w:rPr>
            </w:pPr>
            <w:r>
              <w:rPr>
                <w:sz w:val="18"/>
                <w:szCs w:val="18"/>
              </w:rPr>
              <w:t>8.10</w:t>
            </w:r>
          </w:p>
        </w:tc>
        <w:tc>
          <w:tcPr>
            <w:tcW w:w="662" w:type="pct"/>
            <w:noWrap w:val="0"/>
            <w:vAlign w:val="center"/>
          </w:tcPr>
          <w:p>
            <w:pPr>
              <w:autoSpaceDE w:val="0"/>
              <w:autoSpaceDN w:val="0"/>
              <w:jc w:val="center"/>
              <w:rPr>
                <w:color w:val="000000"/>
                <w:sz w:val="18"/>
                <w:szCs w:val="18"/>
              </w:rPr>
            </w:pPr>
            <w:r>
              <w:rPr>
                <w:color w:val="000000"/>
                <w:sz w:val="18"/>
                <w:szCs w:val="18"/>
              </w:rPr>
              <w:t>8.10</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color w:val="000000"/>
                <w:sz w:val="18"/>
                <w:szCs w:val="18"/>
              </w:rPr>
              <w:t>1</w:t>
            </w:r>
            <w:r>
              <w:rPr>
                <w:rFonts w:hint="eastAsia"/>
                <w:color w:val="000000"/>
                <w:sz w:val="18"/>
                <w:szCs w:val="18"/>
              </w:rPr>
              <w:t>7</w:t>
            </w:r>
          </w:p>
        </w:tc>
        <w:tc>
          <w:tcPr>
            <w:tcW w:w="1381" w:type="pct"/>
            <w:noWrap w:val="0"/>
            <w:vAlign w:val="center"/>
          </w:tcPr>
          <w:p>
            <w:pPr>
              <w:autoSpaceDE w:val="0"/>
              <w:autoSpaceDN w:val="0"/>
              <w:jc w:val="center"/>
              <w:rPr>
                <w:color w:val="auto"/>
                <w:sz w:val="18"/>
                <w:szCs w:val="18"/>
              </w:rPr>
            </w:pPr>
            <w:r>
              <w:rPr>
                <w:color w:val="auto"/>
                <w:sz w:val="18"/>
                <w:szCs w:val="18"/>
              </w:rPr>
              <w:t>二次绕组电阻测定</w:t>
            </w:r>
          </w:p>
        </w:tc>
        <w:tc>
          <w:tcPr>
            <w:tcW w:w="655" w:type="pct"/>
            <w:noWrap w:val="0"/>
            <w:vAlign w:val="center"/>
          </w:tcPr>
          <w:p>
            <w:pPr>
              <w:autoSpaceDE w:val="0"/>
              <w:autoSpaceDN w:val="0"/>
              <w:jc w:val="center"/>
              <w:rPr>
                <w:sz w:val="18"/>
                <w:szCs w:val="18"/>
              </w:rPr>
            </w:pPr>
            <w:r>
              <w:rPr>
                <w:sz w:val="18"/>
                <w:szCs w:val="18"/>
              </w:rPr>
              <w:t>GB/T 22071.1</w:t>
            </w:r>
          </w:p>
        </w:tc>
        <w:tc>
          <w:tcPr>
            <w:tcW w:w="662" w:type="pct"/>
            <w:noWrap w:val="0"/>
            <w:vAlign w:val="center"/>
          </w:tcPr>
          <w:p>
            <w:pPr>
              <w:autoSpaceDE w:val="0"/>
              <w:autoSpaceDN w:val="0"/>
              <w:jc w:val="center"/>
              <w:rPr>
                <w:sz w:val="18"/>
                <w:szCs w:val="18"/>
              </w:rPr>
            </w:pPr>
            <w:r>
              <w:rPr>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color w:val="000000"/>
                <w:sz w:val="18"/>
                <w:szCs w:val="18"/>
              </w:rPr>
              <w:t>1</w:t>
            </w:r>
            <w:r>
              <w:rPr>
                <w:rFonts w:hint="eastAsia"/>
                <w:color w:val="000000"/>
                <w:sz w:val="18"/>
                <w:szCs w:val="18"/>
              </w:rPr>
              <w:t>8</w:t>
            </w:r>
          </w:p>
        </w:tc>
        <w:tc>
          <w:tcPr>
            <w:tcW w:w="1381" w:type="pct"/>
            <w:noWrap w:val="0"/>
            <w:vAlign w:val="center"/>
          </w:tcPr>
          <w:p>
            <w:pPr>
              <w:autoSpaceDE w:val="0"/>
              <w:autoSpaceDN w:val="0"/>
              <w:jc w:val="center"/>
              <w:rPr>
                <w:color w:val="auto"/>
                <w:sz w:val="18"/>
                <w:szCs w:val="18"/>
              </w:rPr>
            </w:pPr>
            <w:r>
              <w:rPr>
                <w:color w:val="auto"/>
                <w:sz w:val="18"/>
                <w:szCs w:val="18"/>
              </w:rPr>
              <w:t>二次回路时间常数测定</w:t>
            </w:r>
          </w:p>
        </w:tc>
        <w:tc>
          <w:tcPr>
            <w:tcW w:w="655" w:type="pct"/>
            <w:noWrap w:val="0"/>
            <w:vAlign w:val="center"/>
          </w:tcPr>
          <w:p>
            <w:pPr>
              <w:autoSpaceDE w:val="0"/>
              <w:autoSpaceDN w:val="0"/>
              <w:jc w:val="center"/>
              <w:rPr>
                <w:sz w:val="18"/>
                <w:szCs w:val="18"/>
              </w:rPr>
            </w:pPr>
            <w:r>
              <w:rPr>
                <w:sz w:val="18"/>
                <w:szCs w:val="18"/>
              </w:rPr>
              <w:t>GB/T 22071.1</w:t>
            </w:r>
          </w:p>
        </w:tc>
        <w:tc>
          <w:tcPr>
            <w:tcW w:w="662" w:type="pct"/>
            <w:noWrap w:val="0"/>
            <w:vAlign w:val="center"/>
          </w:tcPr>
          <w:p>
            <w:pPr>
              <w:autoSpaceDE w:val="0"/>
              <w:autoSpaceDN w:val="0"/>
              <w:jc w:val="center"/>
              <w:rPr>
                <w:sz w:val="18"/>
                <w:szCs w:val="18"/>
              </w:rPr>
            </w:pPr>
            <w:r>
              <w:rPr>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color w:val="000000"/>
                <w:sz w:val="18"/>
                <w:szCs w:val="18"/>
              </w:rPr>
              <w:t>1</w:t>
            </w:r>
            <w:r>
              <w:rPr>
                <w:rFonts w:hint="eastAsia"/>
                <w:color w:val="000000"/>
                <w:sz w:val="18"/>
                <w:szCs w:val="18"/>
              </w:rPr>
              <w:t>9</w:t>
            </w:r>
          </w:p>
        </w:tc>
        <w:tc>
          <w:tcPr>
            <w:tcW w:w="1381" w:type="pct"/>
            <w:noWrap w:val="0"/>
            <w:vAlign w:val="center"/>
          </w:tcPr>
          <w:p>
            <w:pPr>
              <w:autoSpaceDE w:val="0"/>
              <w:autoSpaceDN w:val="0"/>
              <w:jc w:val="center"/>
              <w:rPr>
                <w:color w:val="auto"/>
                <w:sz w:val="18"/>
                <w:szCs w:val="18"/>
                <w:vertAlign w:val="superscript"/>
              </w:rPr>
            </w:pPr>
            <w:r>
              <w:rPr>
                <w:color w:val="auto"/>
                <w:sz w:val="18"/>
                <w:szCs w:val="18"/>
              </w:rPr>
              <w:t>额定拐点电势和额定拐点电势下励磁电流的试验</w:t>
            </w:r>
          </w:p>
        </w:tc>
        <w:tc>
          <w:tcPr>
            <w:tcW w:w="655" w:type="pct"/>
            <w:noWrap w:val="0"/>
            <w:vAlign w:val="center"/>
          </w:tcPr>
          <w:p>
            <w:pPr>
              <w:autoSpaceDE w:val="0"/>
              <w:autoSpaceDN w:val="0"/>
              <w:jc w:val="center"/>
              <w:rPr>
                <w:sz w:val="18"/>
                <w:szCs w:val="18"/>
              </w:rPr>
            </w:pPr>
            <w:r>
              <w:rPr>
                <w:sz w:val="18"/>
                <w:szCs w:val="18"/>
              </w:rPr>
              <w:t>8.11</w:t>
            </w:r>
          </w:p>
        </w:tc>
        <w:tc>
          <w:tcPr>
            <w:tcW w:w="662" w:type="pct"/>
            <w:noWrap w:val="0"/>
            <w:vAlign w:val="center"/>
          </w:tcPr>
          <w:p>
            <w:pPr>
              <w:autoSpaceDE w:val="0"/>
              <w:autoSpaceDN w:val="0"/>
              <w:jc w:val="center"/>
              <w:rPr>
                <w:sz w:val="18"/>
                <w:szCs w:val="18"/>
              </w:rPr>
            </w:pPr>
            <w:r>
              <w:rPr>
                <w:sz w:val="18"/>
                <w:szCs w:val="18"/>
              </w:rPr>
              <w:t>8.11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20</w:t>
            </w:r>
          </w:p>
        </w:tc>
        <w:tc>
          <w:tcPr>
            <w:tcW w:w="1381" w:type="pct"/>
            <w:noWrap w:val="0"/>
            <w:vAlign w:val="center"/>
          </w:tcPr>
          <w:p>
            <w:pPr>
              <w:autoSpaceDE w:val="0"/>
              <w:autoSpaceDN w:val="0"/>
              <w:jc w:val="center"/>
              <w:rPr>
                <w:color w:val="auto"/>
                <w:sz w:val="18"/>
                <w:szCs w:val="18"/>
              </w:rPr>
            </w:pPr>
            <w:r>
              <w:rPr>
                <w:color w:val="auto"/>
                <w:sz w:val="18"/>
                <w:szCs w:val="18"/>
              </w:rPr>
              <w:t>匝间过电压试验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21</w:t>
            </w:r>
          </w:p>
        </w:tc>
        <w:tc>
          <w:tcPr>
            <w:tcW w:w="1381" w:type="pct"/>
            <w:noWrap w:val="0"/>
            <w:vAlign w:val="center"/>
          </w:tcPr>
          <w:p>
            <w:pPr>
              <w:autoSpaceDE w:val="0"/>
              <w:autoSpaceDN w:val="0"/>
              <w:jc w:val="center"/>
              <w:rPr>
                <w:color w:val="auto"/>
                <w:sz w:val="18"/>
                <w:szCs w:val="18"/>
              </w:rPr>
            </w:pPr>
            <w:r>
              <w:rPr>
                <w:color w:val="auto"/>
                <w:sz w:val="18"/>
                <w:szCs w:val="18"/>
              </w:rPr>
              <w:t>绝缘油性能试验</w:t>
            </w:r>
            <w:r>
              <w:rPr>
                <w:rFonts w:hint="eastAsia" w:cs="Times New Roman"/>
                <w:color w:val="auto"/>
                <w:sz w:val="18"/>
                <w:szCs w:val="18"/>
                <w:lang w:eastAsia="zh-CN"/>
              </w:rPr>
              <w:t>（</w:t>
            </w:r>
            <w:r>
              <w:rPr>
                <w:rFonts w:hint="eastAsia" w:cs="Times New Roman"/>
                <w:color w:val="auto"/>
                <w:sz w:val="18"/>
                <w:szCs w:val="18"/>
                <w:lang w:val="en-US" w:eastAsia="zh-CN"/>
              </w:rPr>
              <w:t>适用于油纸绝缘产品</w:t>
            </w:r>
            <w:r>
              <w:rPr>
                <w:rFonts w:hint="eastAsia" w:cs="Times New Roman"/>
                <w:color w:val="auto"/>
                <w:sz w:val="18"/>
                <w:szCs w:val="18"/>
                <w:lang w:eastAsia="zh-CN"/>
              </w:rPr>
              <w:t>）</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color w:val="000000"/>
                <w:sz w:val="18"/>
                <w:szCs w:val="18"/>
              </w:rPr>
            </w:pPr>
            <w:r>
              <w:rPr>
                <w:color w:val="000000"/>
                <w:sz w:val="18"/>
                <w:szCs w:val="18"/>
              </w:rPr>
              <w:t>8.12</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22</w:t>
            </w:r>
          </w:p>
        </w:tc>
        <w:tc>
          <w:tcPr>
            <w:tcW w:w="1381" w:type="pct"/>
            <w:noWrap w:val="0"/>
            <w:vAlign w:val="center"/>
          </w:tcPr>
          <w:p>
            <w:pPr>
              <w:autoSpaceDE w:val="0"/>
              <w:autoSpaceDN w:val="0"/>
              <w:jc w:val="center"/>
              <w:rPr>
                <w:color w:val="000000"/>
                <w:sz w:val="18"/>
                <w:szCs w:val="18"/>
              </w:rPr>
            </w:pPr>
            <w:r>
              <w:rPr>
                <w:color w:val="000000"/>
                <w:sz w:val="18"/>
                <w:szCs w:val="18"/>
              </w:rPr>
              <w:t>绝缘电阻测量</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color w:val="000000"/>
                <w:sz w:val="18"/>
                <w:szCs w:val="18"/>
              </w:rPr>
            </w:pPr>
            <w:r>
              <w:rPr>
                <w:color w:val="000000"/>
                <w:sz w:val="18"/>
                <w:szCs w:val="18"/>
              </w:rPr>
              <w:t>8.13</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23</w:t>
            </w:r>
          </w:p>
        </w:tc>
        <w:tc>
          <w:tcPr>
            <w:tcW w:w="1381" w:type="pct"/>
            <w:noWrap w:val="0"/>
            <w:vAlign w:val="center"/>
          </w:tcPr>
          <w:p>
            <w:pPr>
              <w:autoSpaceDE w:val="0"/>
              <w:autoSpaceDN w:val="0"/>
              <w:jc w:val="center"/>
              <w:rPr>
                <w:color w:val="000000"/>
                <w:sz w:val="18"/>
                <w:szCs w:val="18"/>
              </w:rPr>
            </w:pPr>
            <w:r>
              <w:rPr>
                <w:color w:val="000000"/>
                <w:sz w:val="18"/>
                <w:szCs w:val="18"/>
              </w:rPr>
              <w:t>绕组直流电阻测量</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color w:val="000000"/>
                <w:sz w:val="18"/>
                <w:szCs w:val="18"/>
              </w:rPr>
            </w:pPr>
            <w:r>
              <w:rPr>
                <w:rFonts w:hint="eastAsia"/>
                <w:sz w:val="18"/>
                <w:szCs w:val="18"/>
              </w:rPr>
              <w:t>8.14</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4" w:type="pct"/>
            <w:noWrap w:val="0"/>
            <w:vAlign w:val="center"/>
          </w:tcPr>
          <w:p>
            <w:pPr>
              <w:jc w:val="center"/>
            </w:pPr>
            <w:r>
              <w:rPr>
                <w:rFonts w:hint="eastAsia" w:ascii="宋体" w:hAnsi="宋体"/>
                <w:color w:val="000000"/>
                <w:sz w:val="18"/>
                <w:szCs w:val="18"/>
              </w:rPr>
              <w:t>○</w:t>
            </w:r>
          </w:p>
        </w:tc>
        <w:tc>
          <w:tcPr>
            <w:tcW w:w="486" w:type="pct"/>
            <w:noWrap w:val="0"/>
            <w:vAlign w:val="center"/>
          </w:tcPr>
          <w:p>
            <w:pPr>
              <w:jc w:val="cente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24</w:t>
            </w:r>
          </w:p>
        </w:tc>
        <w:tc>
          <w:tcPr>
            <w:tcW w:w="1381" w:type="pct"/>
            <w:noWrap w:val="0"/>
            <w:vAlign w:val="center"/>
          </w:tcPr>
          <w:p>
            <w:pPr>
              <w:autoSpaceDE w:val="0"/>
              <w:autoSpaceDN w:val="0"/>
              <w:jc w:val="center"/>
              <w:rPr>
                <w:color w:val="000000"/>
                <w:sz w:val="18"/>
                <w:szCs w:val="18"/>
              </w:rPr>
            </w:pPr>
            <w:r>
              <w:rPr>
                <w:sz w:val="18"/>
                <w:szCs w:val="18"/>
              </w:rPr>
              <w:t>一次端截断雷电冲击耐压试验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25</w:t>
            </w:r>
          </w:p>
        </w:tc>
        <w:tc>
          <w:tcPr>
            <w:tcW w:w="1381" w:type="pct"/>
            <w:noWrap w:val="0"/>
            <w:vAlign w:val="center"/>
          </w:tcPr>
          <w:p>
            <w:pPr>
              <w:autoSpaceDE w:val="0"/>
              <w:autoSpaceDN w:val="0"/>
              <w:jc w:val="center"/>
              <w:rPr>
                <w:sz w:val="18"/>
                <w:szCs w:val="18"/>
              </w:rPr>
            </w:pPr>
            <w:r>
              <w:rPr>
                <w:sz w:val="18"/>
                <w:szCs w:val="18"/>
              </w:rPr>
              <w:t>一次端多次截断冲击试验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26</w:t>
            </w:r>
          </w:p>
        </w:tc>
        <w:tc>
          <w:tcPr>
            <w:tcW w:w="1381" w:type="pct"/>
            <w:noWrap w:val="0"/>
            <w:vAlign w:val="center"/>
          </w:tcPr>
          <w:p>
            <w:pPr>
              <w:autoSpaceDE w:val="0"/>
              <w:autoSpaceDN w:val="0"/>
              <w:jc w:val="center"/>
              <w:rPr>
                <w:sz w:val="18"/>
                <w:szCs w:val="18"/>
              </w:rPr>
            </w:pPr>
            <w:r>
              <w:rPr>
                <w:sz w:val="18"/>
                <w:szCs w:val="18"/>
              </w:rPr>
              <w:t>传递过电压试验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27</w:t>
            </w:r>
          </w:p>
        </w:tc>
        <w:tc>
          <w:tcPr>
            <w:tcW w:w="1381" w:type="pct"/>
            <w:noWrap w:val="0"/>
            <w:vAlign w:val="center"/>
          </w:tcPr>
          <w:p>
            <w:pPr>
              <w:autoSpaceDE w:val="0"/>
              <w:autoSpaceDN w:val="0"/>
              <w:jc w:val="center"/>
              <w:rPr>
                <w:sz w:val="18"/>
                <w:szCs w:val="18"/>
              </w:rPr>
            </w:pPr>
            <w:r>
              <w:rPr>
                <w:sz w:val="18"/>
                <w:szCs w:val="18"/>
              </w:rPr>
              <w:t>机械强度试验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28</w:t>
            </w:r>
          </w:p>
        </w:tc>
        <w:tc>
          <w:tcPr>
            <w:tcW w:w="1381" w:type="pct"/>
            <w:noWrap w:val="0"/>
            <w:vAlign w:val="center"/>
          </w:tcPr>
          <w:p>
            <w:pPr>
              <w:autoSpaceDE w:val="0"/>
              <w:autoSpaceDN w:val="0"/>
              <w:jc w:val="center"/>
              <w:rPr>
                <w:sz w:val="18"/>
                <w:szCs w:val="18"/>
              </w:rPr>
            </w:pPr>
            <w:r>
              <w:rPr>
                <w:sz w:val="18"/>
                <w:szCs w:val="18"/>
              </w:rPr>
              <w:t>内部电弧故障试验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64" w:type="pct"/>
            <w:noWrap w:val="0"/>
            <w:vAlign w:val="center"/>
          </w:tcPr>
          <w:p>
            <w:pPr>
              <w:autoSpaceDE w:val="0"/>
              <w:autoSpaceDN w:val="0"/>
              <w:jc w:val="center"/>
              <w:rPr>
                <w:color w:val="000000"/>
                <w:sz w:val="18"/>
                <w:szCs w:val="18"/>
              </w:rPr>
            </w:pPr>
            <w:r>
              <w:rPr>
                <w:rFonts w:hint="eastAsia"/>
                <w:color w:val="000000"/>
                <w:sz w:val="18"/>
                <w:szCs w:val="18"/>
              </w:rPr>
              <w:t>29</w:t>
            </w:r>
          </w:p>
        </w:tc>
        <w:tc>
          <w:tcPr>
            <w:tcW w:w="1381" w:type="pct"/>
            <w:noWrap w:val="0"/>
            <w:vAlign w:val="center"/>
          </w:tcPr>
          <w:p>
            <w:pPr>
              <w:autoSpaceDE w:val="0"/>
              <w:autoSpaceDN w:val="0"/>
              <w:jc w:val="center"/>
              <w:rPr>
                <w:sz w:val="18"/>
                <w:szCs w:val="18"/>
              </w:rPr>
            </w:pPr>
            <w:r>
              <w:rPr>
                <w:sz w:val="18"/>
                <w:szCs w:val="18"/>
              </w:rPr>
              <w:t>低温和高温下的密封性能试验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30</w:t>
            </w:r>
          </w:p>
        </w:tc>
        <w:tc>
          <w:tcPr>
            <w:tcW w:w="1381" w:type="pct"/>
            <w:noWrap w:val="0"/>
            <w:vAlign w:val="center"/>
          </w:tcPr>
          <w:p>
            <w:pPr>
              <w:autoSpaceDE w:val="0"/>
              <w:autoSpaceDN w:val="0"/>
              <w:jc w:val="center"/>
              <w:rPr>
                <w:sz w:val="18"/>
                <w:szCs w:val="18"/>
              </w:rPr>
            </w:pPr>
            <w:r>
              <w:rPr>
                <w:sz w:val="18"/>
                <w:szCs w:val="18"/>
              </w:rPr>
              <w:t>腐蚀试验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31</w:t>
            </w:r>
          </w:p>
        </w:tc>
        <w:tc>
          <w:tcPr>
            <w:tcW w:w="1381" w:type="pct"/>
            <w:noWrap w:val="0"/>
            <w:vAlign w:val="center"/>
          </w:tcPr>
          <w:p>
            <w:pPr>
              <w:autoSpaceDE w:val="0"/>
              <w:autoSpaceDN w:val="0"/>
              <w:jc w:val="center"/>
              <w:rPr>
                <w:sz w:val="18"/>
                <w:szCs w:val="18"/>
              </w:rPr>
            </w:pPr>
            <w:r>
              <w:rPr>
                <w:sz w:val="18"/>
                <w:szCs w:val="18"/>
              </w:rPr>
              <w:t>着火危险试验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4" w:type="pct"/>
            <w:noWrap w:val="0"/>
            <w:vAlign w:val="center"/>
          </w:tcPr>
          <w:p>
            <w:pPr>
              <w:autoSpaceDE w:val="0"/>
              <w:autoSpaceDN w:val="0"/>
              <w:jc w:val="center"/>
              <w:rPr>
                <w:color w:val="000000"/>
                <w:sz w:val="18"/>
                <w:szCs w:val="18"/>
              </w:rPr>
            </w:pPr>
            <w:r>
              <w:rPr>
                <w:rFonts w:hint="eastAsia"/>
                <w:color w:val="000000"/>
                <w:sz w:val="18"/>
                <w:szCs w:val="18"/>
              </w:rPr>
              <w:t>32</w:t>
            </w:r>
          </w:p>
        </w:tc>
        <w:tc>
          <w:tcPr>
            <w:tcW w:w="1381" w:type="pct"/>
            <w:noWrap w:val="0"/>
            <w:vAlign w:val="center"/>
          </w:tcPr>
          <w:p>
            <w:pPr>
              <w:autoSpaceDE w:val="0"/>
              <w:autoSpaceDN w:val="0"/>
              <w:jc w:val="center"/>
              <w:rPr>
                <w:sz w:val="18"/>
                <w:szCs w:val="18"/>
              </w:rPr>
            </w:pPr>
            <w:r>
              <w:rPr>
                <w:sz w:val="18"/>
                <w:szCs w:val="18"/>
              </w:rPr>
              <w:t>绝缘热稳定试验</w:t>
            </w:r>
          </w:p>
        </w:tc>
        <w:tc>
          <w:tcPr>
            <w:tcW w:w="655" w:type="pct"/>
            <w:noWrap w:val="0"/>
            <w:vAlign w:val="center"/>
          </w:tcPr>
          <w:p>
            <w:pPr>
              <w:autoSpaceDE w:val="0"/>
              <w:autoSpaceDN w:val="0"/>
              <w:jc w:val="center"/>
              <w:rPr>
                <w:color w:val="000000"/>
                <w:sz w:val="18"/>
                <w:szCs w:val="18"/>
              </w:rPr>
            </w:pPr>
            <w:r>
              <w:rPr>
                <w:color w:val="000000"/>
                <w:sz w:val="18"/>
                <w:szCs w:val="18"/>
              </w:rPr>
              <w:t>GB/T 22071.1</w:t>
            </w:r>
          </w:p>
        </w:tc>
        <w:tc>
          <w:tcPr>
            <w:tcW w:w="662" w:type="pct"/>
            <w:noWrap w:val="0"/>
            <w:vAlign w:val="center"/>
          </w:tcPr>
          <w:p>
            <w:pPr>
              <w:autoSpaceDE w:val="0"/>
              <w:autoSpaceDN w:val="0"/>
              <w:jc w:val="center"/>
              <w:rPr>
                <w:rFonts w:hint="eastAsia"/>
                <w:color w:val="000000"/>
                <w:sz w:val="18"/>
                <w:szCs w:val="18"/>
              </w:rPr>
            </w:pPr>
            <w:r>
              <w:rPr>
                <w:color w:val="000000"/>
                <w:sz w:val="18"/>
                <w:szCs w:val="18"/>
              </w:rPr>
              <w:t>GB/T 22071.1</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color w:val="000000"/>
                <w:sz w:val="18"/>
                <w:szCs w:val="18"/>
              </w:rPr>
              <w:t>○</w:t>
            </w:r>
          </w:p>
        </w:tc>
        <w:tc>
          <w:tcPr>
            <w:tcW w:w="484" w:type="pct"/>
            <w:noWrap w:val="0"/>
            <w:vAlign w:val="center"/>
          </w:tcPr>
          <w:p>
            <w:pPr>
              <w:jc w:val="center"/>
            </w:pPr>
            <w:r>
              <w:rPr>
                <w:rFonts w:hint="eastAsia" w:ascii="宋体" w:hAnsi="宋体"/>
                <w:sz w:val="18"/>
                <w:szCs w:val="18"/>
              </w:rPr>
              <w:t>●</w:t>
            </w:r>
          </w:p>
        </w:tc>
        <w:tc>
          <w:tcPr>
            <w:tcW w:w="486" w:type="pct"/>
            <w:noWrap w:val="0"/>
            <w:vAlign w:val="center"/>
          </w:tcPr>
          <w:p>
            <w:pPr>
              <w:jc w:val="center"/>
            </w:pPr>
            <w:r>
              <w:rPr>
                <w:rFonts w:hint="eastAsia" w:ascii="宋体" w:hAnsi="宋体"/>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8"/>
            <w:noWrap w:val="0"/>
            <w:vAlign w:val="center"/>
          </w:tcPr>
          <w:p>
            <w:pPr>
              <w:pStyle w:val="92"/>
              <w:ind w:left="681"/>
              <w:rPr>
                <w:rFonts w:hint="eastAsia" w:hAnsi="宋体"/>
              </w:rPr>
            </w:pPr>
            <w:r>
              <w:rPr>
                <w:rFonts w:hint="eastAsia" w:ascii="Times New Roman"/>
              </w:rPr>
              <w:t>“●”表示必须做试验项目，“○”表示不做试验项目。</w:t>
            </w:r>
          </w:p>
        </w:tc>
      </w:tr>
    </w:tbl>
    <w:p>
      <w:pPr>
        <w:pStyle w:val="74"/>
        <w:numPr>
          <w:ilvl w:val="1"/>
          <w:numId w:val="0"/>
        </w:numPr>
        <w:ind w:leftChars="0"/>
        <w:rPr>
          <w:rFonts w:hint="eastAsia" w:ascii="Times New Roman"/>
        </w:rPr>
      </w:pPr>
      <w:bookmarkStart w:id="157" w:name="_Toc24796"/>
      <w:bookmarkStart w:id="158" w:name="_Toc84962020"/>
      <w:r>
        <w:rPr>
          <w:rFonts w:hint="eastAsia"/>
          <w:lang w:val="en-US" w:eastAsia="zh-CN"/>
        </w:rPr>
        <w:t>8.3</w:t>
      </w:r>
      <w:r>
        <w:rPr>
          <w:rFonts w:hint="eastAsia" w:ascii="Times New Roman"/>
          <w:lang w:val="en-US" w:eastAsia="zh-CN"/>
        </w:rPr>
        <w:t xml:space="preserve"> </w:t>
      </w:r>
      <w:r>
        <w:rPr>
          <w:rFonts w:hint="eastAsia" w:ascii="Times New Roman"/>
        </w:rPr>
        <w:t>准确度试验</w:t>
      </w:r>
      <w:bookmarkEnd w:id="157"/>
      <w:bookmarkEnd w:id="158"/>
    </w:p>
    <w:p>
      <w:pPr>
        <w:pStyle w:val="32"/>
        <w:tabs>
          <w:tab w:val="center" w:pos="4201"/>
          <w:tab w:val="right" w:leader="dot" w:pos="9298"/>
        </w:tabs>
        <w:rPr>
          <w:rFonts w:hint="eastAsia" w:ascii="Times New Roman"/>
        </w:rPr>
      </w:pPr>
      <w:r>
        <w:rPr>
          <w:rFonts w:hint="eastAsia" w:ascii="Times New Roman"/>
        </w:rPr>
        <w:t>准确度试验作为型式试验和例行试验项目，应符合GB/T 22071.1的要求；</w:t>
      </w:r>
      <w:r>
        <w:rPr>
          <w:rFonts w:hint="eastAsia" w:ascii="Times New Roman"/>
          <w:lang w:val="en-US" w:eastAsia="zh-CN"/>
        </w:rPr>
        <w:t>22</w:t>
      </w:r>
      <w:r>
        <w:rPr>
          <w:rFonts w:hint="eastAsia" w:ascii="Times New Roman"/>
        </w:rPr>
        <w:t>0kV及以下电压等级电流互感器，准确度试验作为交接试验项目应符合GB 50150的要求。</w:t>
      </w:r>
    </w:p>
    <w:p>
      <w:pPr>
        <w:pStyle w:val="74"/>
        <w:numPr>
          <w:ilvl w:val="1"/>
          <w:numId w:val="0"/>
        </w:numPr>
        <w:rPr>
          <w:rFonts w:hint="eastAsia"/>
          <w:lang w:val="en-US" w:eastAsia="zh-CN"/>
        </w:rPr>
      </w:pPr>
      <w:bookmarkStart w:id="159" w:name="_Toc3356"/>
      <w:bookmarkStart w:id="160" w:name="_Toc84962021"/>
      <w:r>
        <w:rPr>
          <w:rFonts w:hint="eastAsia"/>
          <w:lang w:val="en-US" w:eastAsia="zh-CN"/>
        </w:rPr>
        <w:t>8.4 环境温度下密封性能试验</w:t>
      </w:r>
      <w:bookmarkEnd w:id="159"/>
      <w:bookmarkEnd w:id="160"/>
    </w:p>
    <w:p>
      <w:pPr>
        <w:pStyle w:val="32"/>
        <w:tabs>
          <w:tab w:val="center" w:pos="4201"/>
          <w:tab w:val="right" w:leader="dot" w:pos="9298"/>
        </w:tabs>
        <w:rPr>
          <w:rFonts w:hint="eastAsia" w:ascii="Times New Roman"/>
        </w:rPr>
      </w:pPr>
      <w:r>
        <w:rPr>
          <w:rFonts w:hint="eastAsia" w:ascii="Times New Roman"/>
        </w:rPr>
        <w:t>环境温度下密封性能试验，作为型式试验和例行试验项目应符合GB/T 22071.1的要求。</w:t>
      </w:r>
    </w:p>
    <w:p>
      <w:pPr>
        <w:pStyle w:val="32"/>
        <w:tabs>
          <w:tab w:val="center" w:pos="4201"/>
          <w:tab w:val="right" w:leader="dot" w:pos="9298"/>
        </w:tabs>
        <w:rPr>
          <w:rFonts w:hint="eastAsia" w:ascii="Times New Roman"/>
        </w:rPr>
      </w:pPr>
      <w:r>
        <w:rPr>
          <w:rFonts w:hint="eastAsia" w:ascii="Times New Roman"/>
        </w:rPr>
        <w:t>密封性能检查作为交接试验项目，油浸式电流互感器外表应无可见油渍现象，气体绝缘电流互感器定性检漏应无泄漏点，定性检漏方法应符合GB/T 11023的要求，怀疑有泄漏点时应进行定量检漏，定量检漏方法应符合GB/T 11023的要求，年泄露率应小于1%。</w:t>
      </w:r>
    </w:p>
    <w:p>
      <w:pPr>
        <w:pStyle w:val="74"/>
        <w:numPr>
          <w:ilvl w:val="1"/>
          <w:numId w:val="0"/>
        </w:numPr>
        <w:ind w:leftChars="0"/>
        <w:rPr>
          <w:rFonts w:ascii="Times New Roman"/>
        </w:rPr>
      </w:pPr>
      <w:bookmarkStart w:id="161" w:name="_Toc20983"/>
      <w:bookmarkStart w:id="162" w:name="_Toc84962022"/>
      <w:r>
        <w:rPr>
          <w:rFonts w:hint="eastAsia"/>
          <w:lang w:val="en-US" w:eastAsia="zh-CN"/>
        </w:rPr>
        <w:t xml:space="preserve">8.5 </w:t>
      </w:r>
      <w:r>
        <w:rPr>
          <w:rFonts w:hint="eastAsia" w:ascii="Times New Roman"/>
        </w:rPr>
        <w:t>气体露点测量</w:t>
      </w:r>
      <w:bookmarkEnd w:id="161"/>
      <w:bookmarkEnd w:id="162"/>
    </w:p>
    <w:p>
      <w:pPr>
        <w:pStyle w:val="32"/>
        <w:tabs>
          <w:tab w:val="center" w:pos="4201"/>
          <w:tab w:val="right" w:leader="dot" w:pos="9298"/>
        </w:tabs>
        <w:rPr>
          <w:rFonts w:hint="eastAsia" w:ascii="Times New Roman"/>
        </w:rPr>
      </w:pPr>
      <w:r>
        <w:rPr>
          <w:rFonts w:hint="eastAsia" w:ascii="Times New Roman"/>
        </w:rPr>
        <w:t>气体露点测量作为例行试验项目应检测SF</w:t>
      </w:r>
      <w:r>
        <w:rPr>
          <w:rFonts w:hint="eastAsia" w:ascii="Times New Roman"/>
          <w:vertAlign w:val="subscript"/>
        </w:rPr>
        <w:t>6</w:t>
      </w:r>
      <w:r>
        <w:rPr>
          <w:rFonts w:hint="eastAsia" w:ascii="Times New Roman"/>
        </w:rPr>
        <w:t>气体的露点，检测结果应符合本文件6.14.1的要求；气体露点测量作为交接试验项目应检测SF</w:t>
      </w:r>
      <w:r>
        <w:rPr>
          <w:rFonts w:hint="eastAsia" w:ascii="Times New Roman"/>
          <w:vertAlign w:val="subscript"/>
        </w:rPr>
        <w:t>6</w:t>
      </w:r>
      <w:r>
        <w:rPr>
          <w:rFonts w:hint="eastAsia" w:ascii="Times New Roman"/>
        </w:rPr>
        <w:t>气体的含水量，检测结果应符合GB 50150的要求。</w:t>
      </w:r>
    </w:p>
    <w:p>
      <w:pPr>
        <w:pStyle w:val="74"/>
        <w:numPr>
          <w:ilvl w:val="1"/>
          <w:numId w:val="0"/>
        </w:numPr>
        <w:ind w:leftChars="0"/>
        <w:rPr>
          <w:rFonts w:ascii="Times New Roman"/>
        </w:rPr>
      </w:pPr>
      <w:bookmarkStart w:id="163" w:name="_Toc84962023"/>
      <w:bookmarkStart w:id="164" w:name="_Toc11136"/>
      <w:r>
        <w:rPr>
          <w:rFonts w:hint="eastAsia"/>
          <w:lang w:val="en-US" w:eastAsia="zh-CN"/>
        </w:rPr>
        <w:t xml:space="preserve">8.6 </w:t>
      </w:r>
      <w:r>
        <w:rPr>
          <w:rFonts w:hint="eastAsia" w:ascii="Times New Roman"/>
        </w:rPr>
        <w:t>一次端</w:t>
      </w:r>
      <w:r>
        <w:rPr>
          <w:rFonts w:hint="eastAsia" w:ascii="Times New Roman"/>
          <w:lang w:val="en-US" w:eastAsia="zh-CN"/>
        </w:rPr>
        <w:t>交流</w:t>
      </w:r>
      <w:r>
        <w:rPr>
          <w:rFonts w:hint="eastAsia" w:ascii="Times New Roman"/>
        </w:rPr>
        <w:t>耐压试验</w:t>
      </w:r>
      <w:bookmarkEnd w:id="163"/>
      <w:bookmarkEnd w:id="164"/>
    </w:p>
    <w:p>
      <w:pPr>
        <w:pStyle w:val="32"/>
        <w:tabs>
          <w:tab w:val="center" w:pos="4201"/>
          <w:tab w:val="right" w:leader="dot" w:pos="9298"/>
        </w:tabs>
        <w:rPr>
          <w:rFonts w:hint="eastAsia" w:ascii="Times New Roman"/>
        </w:rPr>
      </w:pPr>
      <w:r>
        <w:rPr>
          <w:rFonts w:hint="eastAsia" w:ascii="Times New Roman"/>
        </w:rPr>
        <w:t>一次端</w:t>
      </w:r>
      <w:r>
        <w:rPr>
          <w:rFonts w:hint="eastAsia" w:ascii="Times New Roman"/>
          <w:lang w:val="en-US" w:eastAsia="zh-CN"/>
        </w:rPr>
        <w:t>交流</w:t>
      </w:r>
      <w:r>
        <w:rPr>
          <w:rFonts w:hint="eastAsia" w:ascii="Times New Roman"/>
        </w:rPr>
        <w:t>耐压试验，作为例行试验项目应符合GB/T 22071.1的要求</w:t>
      </w:r>
      <w:r>
        <w:rPr>
          <w:rFonts w:hint="eastAsia" w:ascii="Times New Roman"/>
          <w:lang w:eastAsia="zh-CN"/>
        </w:rPr>
        <w:t>（</w:t>
      </w:r>
      <w:r>
        <w:rPr>
          <w:rFonts w:hint="eastAsia" w:ascii="Times New Roman"/>
          <w:lang w:val="en-US" w:eastAsia="zh-CN"/>
        </w:rPr>
        <w:t>频率应变为低频电流互感器额定运行频率</w:t>
      </w:r>
      <w:r>
        <w:rPr>
          <w:rFonts w:hint="eastAsia" w:ascii="Times New Roman"/>
          <w:lang w:eastAsia="zh-CN"/>
        </w:rPr>
        <w:t>）</w:t>
      </w:r>
      <w:r>
        <w:rPr>
          <w:rFonts w:hint="eastAsia" w:ascii="Times New Roman"/>
        </w:rPr>
        <w:t>，作为交接试验项目应符合GB 50150的要求。</w:t>
      </w:r>
    </w:p>
    <w:p>
      <w:pPr>
        <w:pStyle w:val="74"/>
        <w:numPr>
          <w:ilvl w:val="1"/>
          <w:numId w:val="0"/>
        </w:numPr>
        <w:ind w:leftChars="0"/>
        <w:rPr>
          <w:rFonts w:ascii="Times New Roman"/>
        </w:rPr>
      </w:pPr>
      <w:bookmarkStart w:id="165" w:name="_Toc84962024"/>
      <w:bookmarkStart w:id="166" w:name="_Toc22470"/>
      <w:r>
        <w:rPr>
          <w:rFonts w:hint="eastAsia"/>
          <w:lang w:val="en-US" w:eastAsia="zh-CN"/>
        </w:rPr>
        <w:t xml:space="preserve">8.7 </w:t>
      </w:r>
      <w:r>
        <w:rPr>
          <w:rFonts w:hint="eastAsia" w:ascii="Times New Roman"/>
        </w:rPr>
        <w:t>局部放电测量</w:t>
      </w:r>
      <w:bookmarkEnd w:id="165"/>
      <w:bookmarkEnd w:id="166"/>
    </w:p>
    <w:p>
      <w:pPr>
        <w:pStyle w:val="32"/>
        <w:tabs>
          <w:tab w:val="center" w:pos="4201"/>
          <w:tab w:val="right" w:leader="dot" w:pos="9298"/>
        </w:tabs>
        <w:rPr>
          <w:rFonts w:hint="eastAsia" w:ascii="Times New Roman"/>
        </w:rPr>
      </w:pPr>
      <w:r>
        <w:rPr>
          <w:rFonts w:hint="eastAsia" w:ascii="Times New Roman"/>
        </w:rPr>
        <w:t>局部放电测量，作为例行试验项目应符合本文件6.12的要求，作为交接试验项目应符合GB 50150的要求。</w:t>
      </w:r>
    </w:p>
    <w:p>
      <w:pPr>
        <w:pStyle w:val="74"/>
        <w:numPr>
          <w:ilvl w:val="1"/>
          <w:numId w:val="0"/>
        </w:numPr>
        <w:ind w:leftChars="0"/>
        <w:rPr>
          <w:rFonts w:ascii="Times New Roman"/>
        </w:rPr>
      </w:pPr>
      <w:bookmarkStart w:id="167" w:name="_Toc21698"/>
      <w:bookmarkStart w:id="168" w:name="_Toc84962025"/>
      <w:r>
        <w:rPr>
          <w:rFonts w:hint="eastAsia"/>
          <w:lang w:val="en-US" w:eastAsia="zh-CN"/>
        </w:rPr>
        <w:t xml:space="preserve">8.8 </w:t>
      </w:r>
      <w:r>
        <w:rPr>
          <w:rFonts w:hint="eastAsia" w:ascii="Times New Roman"/>
        </w:rPr>
        <w:t>电容量和介质损耗因数测量</w:t>
      </w:r>
      <w:bookmarkEnd w:id="167"/>
      <w:bookmarkEnd w:id="168"/>
    </w:p>
    <w:p>
      <w:pPr>
        <w:pStyle w:val="32"/>
        <w:tabs>
          <w:tab w:val="center" w:pos="4201"/>
          <w:tab w:val="right" w:leader="dot" w:pos="9298"/>
        </w:tabs>
        <w:rPr>
          <w:rFonts w:hint="eastAsia" w:ascii="Times New Roman"/>
        </w:rPr>
      </w:pPr>
      <w:r>
        <w:rPr>
          <w:rFonts w:ascii="Times New Roman"/>
        </w:rPr>
        <w:t>电容量和介质损耗因数测量，</w:t>
      </w:r>
      <w:r>
        <w:rPr>
          <w:rFonts w:hint="eastAsia" w:ascii="Times New Roman"/>
        </w:rPr>
        <w:t>作为例行试验项目应符合本文件6.11的要求，作为交接试验项目应符合GB 50150的要求。</w:t>
      </w:r>
    </w:p>
    <w:p>
      <w:pPr>
        <w:pStyle w:val="74"/>
        <w:numPr>
          <w:ilvl w:val="1"/>
          <w:numId w:val="0"/>
        </w:numPr>
        <w:ind w:leftChars="0"/>
        <w:rPr>
          <w:rFonts w:ascii="Times New Roman"/>
        </w:rPr>
      </w:pPr>
      <w:bookmarkStart w:id="169" w:name="_Toc84962026"/>
      <w:bookmarkStart w:id="170" w:name="_Toc4882"/>
      <w:r>
        <w:rPr>
          <w:rFonts w:hint="eastAsia"/>
          <w:lang w:val="en-US" w:eastAsia="zh-CN"/>
        </w:rPr>
        <w:t xml:space="preserve">8.9 </w:t>
      </w:r>
      <w:r>
        <w:rPr>
          <w:rFonts w:hint="eastAsia" w:ascii="Times New Roman"/>
        </w:rPr>
        <w:t>二次端工频耐压试验</w:t>
      </w:r>
      <w:bookmarkEnd w:id="169"/>
      <w:bookmarkEnd w:id="170"/>
    </w:p>
    <w:p>
      <w:pPr>
        <w:pStyle w:val="32"/>
        <w:tabs>
          <w:tab w:val="center" w:pos="4201"/>
          <w:tab w:val="right" w:leader="dot" w:pos="9298"/>
        </w:tabs>
        <w:rPr>
          <w:rFonts w:hint="eastAsia" w:ascii="Times New Roman"/>
        </w:rPr>
      </w:pPr>
      <w:r>
        <w:rPr>
          <w:rFonts w:hint="eastAsia" w:ascii="Times New Roman"/>
        </w:rPr>
        <w:t>二次端工频耐压试验作为例行试验项目，应符合GB/T 22071.1的要求；</w:t>
      </w:r>
      <w:r>
        <w:rPr>
          <w:rFonts w:hint="eastAsia" w:ascii="Times New Roman"/>
          <w:lang w:val="en-US" w:eastAsia="zh-CN"/>
        </w:rPr>
        <w:t>220</w:t>
      </w:r>
      <w:r>
        <w:rPr>
          <w:rFonts w:hint="eastAsia" w:ascii="Times New Roman"/>
        </w:rPr>
        <w:t>kV及以下电压等级电流互感器，二次端工频耐压试验作为交接试验项目应符合GB 50150的要求。</w:t>
      </w:r>
    </w:p>
    <w:p>
      <w:pPr>
        <w:pStyle w:val="74"/>
        <w:numPr>
          <w:ilvl w:val="1"/>
          <w:numId w:val="0"/>
        </w:numPr>
        <w:ind w:leftChars="0"/>
        <w:rPr>
          <w:rFonts w:ascii="Times New Roman"/>
        </w:rPr>
      </w:pPr>
      <w:bookmarkStart w:id="171" w:name="_Toc18504"/>
      <w:bookmarkStart w:id="172" w:name="_Toc84962027"/>
      <w:r>
        <w:rPr>
          <w:rFonts w:hint="eastAsia"/>
          <w:lang w:val="en-US" w:eastAsia="zh-CN"/>
        </w:rPr>
        <w:t xml:space="preserve">8.10 </w:t>
      </w:r>
      <w:r>
        <w:rPr>
          <w:rFonts w:hint="eastAsia" w:ascii="Times New Roman"/>
        </w:rPr>
        <w:t>标志的检验</w:t>
      </w:r>
      <w:bookmarkEnd w:id="171"/>
      <w:bookmarkEnd w:id="172"/>
    </w:p>
    <w:p>
      <w:pPr>
        <w:pStyle w:val="32"/>
        <w:tabs>
          <w:tab w:val="center" w:pos="4201"/>
          <w:tab w:val="right" w:leader="dot" w:pos="9298"/>
        </w:tabs>
        <w:rPr>
          <w:rFonts w:hint="eastAsia" w:ascii="Times New Roman"/>
        </w:rPr>
      </w:pPr>
      <w:r>
        <w:rPr>
          <w:rFonts w:hint="eastAsia" w:ascii="Times New Roman"/>
        </w:rPr>
        <w:t>电流互感器例行试验，标志的检验包括铭牌标志的检验和端子标志的检验（极性检验）；电流互感器交接试验，标志的检验仅包括出线端子标志的极性检验。铭牌标志的检验应符合GB/T 20840.1和GB/T 20840.2的要求，电流互感器出线端子标志的极性应正确。</w:t>
      </w:r>
    </w:p>
    <w:p>
      <w:pPr>
        <w:pStyle w:val="74"/>
        <w:numPr>
          <w:ilvl w:val="1"/>
          <w:numId w:val="0"/>
        </w:numPr>
        <w:ind w:leftChars="0"/>
        <w:rPr>
          <w:rFonts w:ascii="Times New Roman"/>
        </w:rPr>
      </w:pPr>
      <w:bookmarkStart w:id="173" w:name="_Toc84962028"/>
      <w:bookmarkStart w:id="174" w:name="_Toc26725"/>
      <w:r>
        <w:rPr>
          <w:rFonts w:hint="eastAsia"/>
          <w:lang w:val="en-US" w:eastAsia="zh-CN"/>
        </w:rPr>
        <w:t xml:space="preserve">8.11 </w:t>
      </w:r>
      <w:r>
        <w:rPr>
          <w:rFonts w:hint="eastAsia" w:ascii="Times New Roman"/>
        </w:rPr>
        <w:t>额定拐点电势和</w:t>
      </w:r>
      <w:r>
        <w:rPr>
          <w:rFonts w:ascii="Times New Roman"/>
        </w:rPr>
        <w:t>额定拐点电势下励磁电流的试验</w:t>
      </w:r>
      <w:bookmarkEnd w:id="173"/>
      <w:bookmarkEnd w:id="174"/>
    </w:p>
    <w:p>
      <w:pPr>
        <w:pStyle w:val="32"/>
        <w:tabs>
          <w:tab w:val="center" w:pos="4201"/>
          <w:tab w:val="right" w:leader="dot" w:pos="9298"/>
        </w:tabs>
        <w:rPr>
          <w:rFonts w:hint="eastAsia" w:ascii="Times New Roman"/>
        </w:rPr>
      </w:pPr>
      <w:r>
        <w:rPr>
          <w:rFonts w:ascii="Times New Roman"/>
        </w:rPr>
        <w:t>额定拐点电势和额定拐点电势下励磁电流的试验</w:t>
      </w:r>
      <w:r>
        <w:rPr>
          <w:rFonts w:hint="eastAsia" w:ascii="Times New Roman"/>
        </w:rPr>
        <w:t>，作为例行试验项目应测定电流互感器额定拐点电势和</w:t>
      </w:r>
      <w:r>
        <w:rPr>
          <w:rFonts w:ascii="Times New Roman"/>
        </w:rPr>
        <w:t>额定拐点电势下</w:t>
      </w:r>
      <w:r>
        <w:rPr>
          <w:rFonts w:hint="eastAsia" w:ascii="Times New Roman"/>
        </w:rPr>
        <w:t>的</w:t>
      </w:r>
      <w:r>
        <w:rPr>
          <w:rFonts w:ascii="Times New Roman"/>
        </w:rPr>
        <w:t>励磁电流，</w:t>
      </w:r>
      <w:r>
        <w:rPr>
          <w:rFonts w:hint="eastAsia" w:ascii="Times New Roman"/>
        </w:rPr>
        <w:t>试验方法和试验判据应符合GB/T 22071.1的要求；作为交接试验项目应测量电流互感器的励磁特性曲线，测量方法应符合GB 50150的要求，测量结果应符合产品技术条件要求。</w:t>
      </w:r>
    </w:p>
    <w:p>
      <w:pPr>
        <w:pStyle w:val="74"/>
        <w:numPr>
          <w:ilvl w:val="1"/>
          <w:numId w:val="0"/>
        </w:numPr>
        <w:ind w:leftChars="0"/>
        <w:rPr>
          <w:rFonts w:ascii="Times New Roman"/>
        </w:rPr>
      </w:pPr>
      <w:bookmarkStart w:id="175" w:name="_Toc22597"/>
      <w:bookmarkStart w:id="176" w:name="_Toc84962029"/>
      <w:r>
        <w:rPr>
          <w:rFonts w:hint="eastAsia"/>
          <w:lang w:val="en-US" w:eastAsia="zh-CN"/>
        </w:rPr>
        <w:t xml:space="preserve">8.12 </w:t>
      </w:r>
      <w:r>
        <w:rPr>
          <w:rFonts w:hint="eastAsia" w:ascii="Times New Roman"/>
        </w:rPr>
        <w:t>绝缘油性能试验</w:t>
      </w:r>
      <w:bookmarkEnd w:id="175"/>
      <w:bookmarkEnd w:id="176"/>
    </w:p>
    <w:p>
      <w:pPr>
        <w:pStyle w:val="32"/>
        <w:tabs>
          <w:tab w:val="center" w:pos="4201"/>
          <w:tab w:val="right" w:leader="dot" w:pos="9298"/>
        </w:tabs>
        <w:rPr>
          <w:rFonts w:hint="eastAsia" w:ascii="Times New Roman"/>
        </w:rPr>
      </w:pPr>
      <w:r>
        <w:rPr>
          <w:rFonts w:hint="eastAsia" w:ascii="Times New Roman"/>
        </w:rPr>
        <w:t>绝缘油性能试验，作为例行试验项目应符合GB/T 22071.1的要求，作为交接试验项目应符合GB 50150的要求。</w:t>
      </w:r>
    </w:p>
    <w:p>
      <w:pPr>
        <w:pStyle w:val="74"/>
        <w:numPr>
          <w:ilvl w:val="1"/>
          <w:numId w:val="0"/>
        </w:numPr>
        <w:ind w:leftChars="0"/>
        <w:rPr>
          <w:rFonts w:ascii="Times New Roman"/>
        </w:rPr>
      </w:pPr>
      <w:bookmarkStart w:id="177" w:name="_Toc84962030"/>
      <w:bookmarkStart w:id="178" w:name="_Toc10667"/>
      <w:r>
        <w:rPr>
          <w:rFonts w:hint="eastAsia"/>
          <w:lang w:val="en-US" w:eastAsia="zh-CN"/>
        </w:rPr>
        <w:t xml:space="preserve">8.13 </w:t>
      </w:r>
      <w:r>
        <w:rPr>
          <w:rFonts w:hint="eastAsia" w:ascii="Times New Roman"/>
        </w:rPr>
        <w:t>绝缘电阻测量</w:t>
      </w:r>
      <w:bookmarkEnd w:id="177"/>
      <w:bookmarkEnd w:id="178"/>
    </w:p>
    <w:p>
      <w:pPr>
        <w:pStyle w:val="32"/>
        <w:tabs>
          <w:tab w:val="center" w:pos="4201"/>
          <w:tab w:val="right" w:leader="dot" w:pos="9298"/>
        </w:tabs>
        <w:rPr>
          <w:rFonts w:hint="eastAsia" w:ascii="Times New Roman"/>
        </w:rPr>
      </w:pPr>
      <w:r>
        <w:rPr>
          <w:rFonts w:hint="eastAsia" w:ascii="Times New Roman"/>
        </w:rPr>
        <w:t>绝缘电阻测量作为例行试验项目，应符合GB/T 22071.1的要求；</w:t>
      </w:r>
      <w:r>
        <w:rPr>
          <w:rFonts w:hint="eastAsia" w:ascii="Times New Roman"/>
          <w:lang w:val="en-US" w:eastAsia="zh-CN"/>
        </w:rPr>
        <w:t>220</w:t>
      </w:r>
      <w:r>
        <w:rPr>
          <w:rFonts w:hint="eastAsia" w:ascii="Times New Roman"/>
        </w:rPr>
        <w:t>kV及以下电压等级电流互感器，绝缘电阻试验作为交接试验项目应符合GB 50150的要求。</w:t>
      </w:r>
    </w:p>
    <w:p>
      <w:pPr>
        <w:pStyle w:val="74"/>
        <w:numPr>
          <w:ilvl w:val="1"/>
          <w:numId w:val="0"/>
        </w:numPr>
        <w:ind w:leftChars="0"/>
        <w:rPr>
          <w:rFonts w:ascii="Times New Roman"/>
        </w:rPr>
      </w:pPr>
      <w:bookmarkStart w:id="179" w:name="_Toc23896"/>
      <w:bookmarkStart w:id="180" w:name="_Toc84962031"/>
      <w:r>
        <w:rPr>
          <w:rFonts w:hint="eastAsia"/>
          <w:lang w:val="en-US" w:eastAsia="zh-CN"/>
        </w:rPr>
        <w:t xml:space="preserve">8.14 </w:t>
      </w:r>
      <w:r>
        <w:rPr>
          <w:rFonts w:hint="eastAsia" w:ascii="Times New Roman"/>
        </w:rPr>
        <w:t>绕组直流电阻测量</w:t>
      </w:r>
      <w:bookmarkEnd w:id="179"/>
      <w:bookmarkEnd w:id="180"/>
    </w:p>
    <w:p>
      <w:pPr>
        <w:pStyle w:val="32"/>
        <w:tabs>
          <w:tab w:val="center" w:pos="4201"/>
          <w:tab w:val="right" w:leader="dot" w:pos="9298"/>
        </w:tabs>
        <w:rPr>
          <w:rFonts w:hint="eastAsia" w:ascii="Times New Roman"/>
        </w:rPr>
      </w:pPr>
      <w:r>
        <w:rPr>
          <w:rFonts w:hint="eastAsia" w:ascii="Times New Roman"/>
          <w:lang w:val="en-US" w:eastAsia="zh-CN"/>
        </w:rPr>
        <w:t>220</w:t>
      </w:r>
      <w:r>
        <w:rPr>
          <w:rFonts w:hint="eastAsia" w:ascii="Times New Roman"/>
        </w:rPr>
        <w:t>kV及以下电压等级电流互感器，直流电阻试验作为交接试验项目应符合GB 50150的要求。</w:t>
      </w:r>
    </w:p>
    <w:p>
      <w:pPr>
        <w:pStyle w:val="86"/>
        <w:numPr>
          <w:ilvl w:val="0"/>
          <w:numId w:val="0"/>
        </w:numPr>
        <w:spacing w:before="312" w:after="312"/>
      </w:pPr>
      <w:bookmarkStart w:id="181" w:name="_Toc27109"/>
      <w:r>
        <w:rPr>
          <w:rFonts w:hint="eastAsia"/>
          <w:lang w:val="en-US" w:eastAsia="zh-CN"/>
        </w:rPr>
        <w:t>9</w:t>
      </w:r>
      <w:r>
        <w:rPr>
          <w:rFonts w:hint="eastAsia"/>
        </w:rPr>
        <w:t xml:space="preserve"> 标志</w:t>
      </w:r>
      <w:bookmarkEnd w:id="181"/>
    </w:p>
    <w:p>
      <w:pPr>
        <w:pStyle w:val="74"/>
        <w:numPr>
          <w:ilvl w:val="1"/>
          <w:numId w:val="0"/>
        </w:numPr>
        <w:spacing w:before="156" w:after="156"/>
      </w:pPr>
      <w:bookmarkStart w:id="182" w:name="_Toc12270"/>
      <w:r>
        <w:rPr>
          <w:rFonts w:hint="eastAsia"/>
          <w:lang w:val="en-US" w:eastAsia="zh-CN"/>
        </w:rPr>
        <w:t>9</w:t>
      </w:r>
      <w:r>
        <w:rPr>
          <w:rFonts w:hint="eastAsia"/>
        </w:rPr>
        <w:t>.1 端子标志</w:t>
      </w:r>
      <w:bookmarkEnd w:id="182"/>
    </w:p>
    <w:p>
      <w:pPr>
        <w:pStyle w:val="32"/>
        <w:ind w:firstLine="420"/>
      </w:pPr>
      <w:r>
        <w:rPr>
          <w:rFonts w:hint="eastAsia"/>
        </w:rPr>
        <w:t>接线端的标志应清晰、牢固，并标在端子表面或其近旁处。标志应由字母及字母后的数字或字母前的数字（必要时）组成。字母均为大写印刷体。</w:t>
      </w:r>
    </w:p>
    <w:p>
      <w:pPr>
        <w:pStyle w:val="32"/>
        <w:ind w:firstLine="420"/>
      </w:pPr>
      <w:r>
        <w:rPr>
          <w:rFonts w:hint="eastAsia"/>
        </w:rPr>
        <w:t>对于电磁式低频电流互感器，接线端子须标明下列标志：</w:t>
      </w:r>
    </w:p>
    <w:p>
      <w:pPr>
        <w:pStyle w:val="32"/>
        <w:ind w:firstLine="420"/>
      </w:pPr>
      <w:r>
        <w:rPr>
          <w:rFonts w:hint="eastAsia"/>
        </w:rPr>
        <w:t>——一次和二次绕组；</w:t>
      </w:r>
    </w:p>
    <w:p>
      <w:pPr>
        <w:pStyle w:val="32"/>
        <w:ind w:firstLine="420"/>
      </w:pPr>
      <w:r>
        <w:rPr>
          <w:rFonts w:hint="eastAsia"/>
        </w:rPr>
        <w:t>——绕组的分段（如果有）；</w:t>
      </w:r>
    </w:p>
    <w:p>
      <w:pPr>
        <w:pStyle w:val="32"/>
        <w:ind w:firstLine="420"/>
      </w:pPr>
      <w:r>
        <w:rPr>
          <w:rFonts w:hint="eastAsia"/>
        </w:rPr>
        <w:t>——绕组或分段的极性关系；</w:t>
      </w:r>
    </w:p>
    <w:p>
      <w:pPr>
        <w:pStyle w:val="32"/>
        <w:ind w:firstLine="420"/>
      </w:pPr>
      <w:r>
        <w:rPr>
          <w:rFonts w:hint="eastAsia"/>
        </w:rPr>
        <w:t>——中间抽头（如果有）。</w:t>
      </w:r>
    </w:p>
    <w:p>
      <w:pPr>
        <w:pStyle w:val="74"/>
        <w:numPr>
          <w:ilvl w:val="1"/>
          <w:numId w:val="0"/>
        </w:numPr>
        <w:spacing w:before="156" w:after="156"/>
      </w:pPr>
      <w:bookmarkStart w:id="183" w:name="_Toc13175"/>
      <w:r>
        <w:rPr>
          <w:rFonts w:hint="eastAsia"/>
          <w:lang w:val="en-US" w:eastAsia="zh-CN"/>
        </w:rPr>
        <w:t>9</w:t>
      </w:r>
      <w:r>
        <w:rPr>
          <w:rFonts w:hint="eastAsia"/>
        </w:rPr>
        <w:t>.2 铭牌标志</w:t>
      </w:r>
      <w:bookmarkEnd w:id="183"/>
    </w:p>
    <w:p>
      <w:pPr>
        <w:pStyle w:val="32"/>
        <w:ind w:firstLine="420"/>
      </w:pPr>
      <w:r>
        <w:rPr>
          <w:rFonts w:hint="eastAsia"/>
        </w:rPr>
        <w:t>低频电流互感器的铭牌应采用不锈钢板制造，并用中文书写，提供的铭牌放在易观察的位置上。铭牌应包含至少如下内容：</w:t>
      </w:r>
    </w:p>
    <w:p>
      <w:pPr>
        <w:pStyle w:val="32"/>
        <w:ind w:firstLine="420"/>
      </w:pPr>
      <w:r>
        <w:rPr>
          <w:rFonts w:hint="eastAsia"/>
        </w:rPr>
        <w:t>a） 制造单位名及其所在地名或国名（出口产品），以及其他容易识别制造单位的标志、生产序号和日期；</w:t>
      </w:r>
    </w:p>
    <w:p>
      <w:pPr>
        <w:pStyle w:val="32"/>
        <w:ind w:firstLine="420"/>
      </w:pPr>
      <w:r>
        <w:rPr>
          <w:rFonts w:hint="eastAsia"/>
        </w:rPr>
        <w:t>b） 互感器型号及名称、采用标准的代号、计量许可标志及计量许可批号；</w:t>
      </w:r>
    </w:p>
    <w:p>
      <w:pPr>
        <w:pStyle w:val="32"/>
        <w:ind w:firstLine="420"/>
      </w:pPr>
      <w:r>
        <w:rPr>
          <w:rFonts w:hint="eastAsia"/>
        </w:rPr>
        <w:t>c） 额定频率；</w:t>
      </w:r>
    </w:p>
    <w:p>
      <w:pPr>
        <w:pStyle w:val="32"/>
        <w:ind w:firstLine="420"/>
      </w:pPr>
      <w:r>
        <w:rPr>
          <w:rFonts w:hint="eastAsia"/>
        </w:rPr>
        <w:t>d） 设备最高电压；</w:t>
      </w:r>
    </w:p>
    <w:p>
      <w:pPr>
        <w:pStyle w:val="32"/>
        <w:ind w:firstLine="420"/>
      </w:pPr>
      <w:r>
        <w:rPr>
          <w:rFonts w:hint="eastAsia"/>
        </w:rPr>
        <w:t>e） 设备绝缘水平；</w:t>
      </w:r>
    </w:p>
    <w:p>
      <w:pPr>
        <w:pStyle w:val="32"/>
        <w:ind w:firstLine="420"/>
      </w:pPr>
      <w:r>
        <w:rPr>
          <w:rFonts w:hint="eastAsia"/>
        </w:rPr>
        <w:t>f） 设备种类：户内或户外、温度类别、如果互感器允许使用在海拔高于1000m的地区，还应标出其允许使用的最高海拔；</w:t>
      </w:r>
    </w:p>
    <w:p>
      <w:pPr>
        <w:pStyle w:val="32"/>
        <w:ind w:firstLine="420"/>
      </w:pPr>
      <w:r>
        <w:rPr>
          <w:rFonts w:hint="eastAsia"/>
        </w:rPr>
        <w:t>g） 总质量；</w:t>
      </w:r>
    </w:p>
    <w:p>
      <w:pPr>
        <w:pStyle w:val="32"/>
        <w:ind w:firstLine="420"/>
      </w:pPr>
      <w:r>
        <w:rPr>
          <w:rFonts w:hint="eastAsia"/>
        </w:rPr>
        <w:t>h）机械强度要求的类别。</w:t>
      </w:r>
    </w:p>
    <w:p>
      <w:pPr>
        <w:pStyle w:val="32"/>
        <w:ind w:firstLine="420"/>
      </w:pPr>
      <w:r>
        <w:rPr>
          <w:rFonts w:hint="eastAsia"/>
        </w:rPr>
        <w:t>另外根据需要还应标出以下信息：</w:t>
      </w:r>
    </w:p>
    <w:p>
      <w:pPr>
        <w:pStyle w:val="32"/>
        <w:ind w:firstLine="420"/>
      </w:pPr>
      <w:r>
        <w:rPr>
          <w:rFonts w:hint="eastAsia"/>
        </w:rPr>
        <w:t>i） 绝缘耐热等级（A级绝缘不必标出）；</w:t>
      </w:r>
    </w:p>
    <w:p>
      <w:pPr>
        <w:pStyle w:val="32"/>
        <w:ind w:firstLine="420"/>
      </w:pPr>
      <w:r>
        <w:rPr>
          <w:rFonts w:hint="eastAsia"/>
        </w:rPr>
        <w:t>j） 所有与测量特性相关的指标；</w:t>
      </w:r>
    </w:p>
    <w:p>
      <w:pPr>
        <w:pStyle w:val="32"/>
        <w:ind w:firstLine="420"/>
      </w:pPr>
      <w:r>
        <w:rPr>
          <w:rFonts w:hint="eastAsia"/>
        </w:rPr>
        <w:t>k） 绝缘液体的类型；</w:t>
      </w:r>
    </w:p>
    <w:p>
      <w:pPr>
        <w:pStyle w:val="32"/>
        <w:ind w:firstLine="420"/>
      </w:pPr>
      <w:r>
        <w:rPr>
          <w:rFonts w:hint="eastAsia"/>
        </w:rPr>
        <w:t>l） 互感器内所容纳绝缘液体的体积（或质量）；</w:t>
      </w:r>
    </w:p>
    <w:p>
      <w:pPr>
        <w:pStyle w:val="32"/>
        <w:ind w:firstLine="420"/>
      </w:pPr>
      <w:r>
        <w:rPr>
          <w:rFonts w:hint="eastAsia"/>
        </w:rPr>
        <w:t>m） 额定充气压力；</w:t>
      </w:r>
    </w:p>
    <w:p>
      <w:pPr>
        <w:pStyle w:val="32"/>
        <w:ind w:firstLine="420"/>
      </w:pPr>
      <w:r>
        <w:rPr>
          <w:rFonts w:hint="eastAsia"/>
        </w:rPr>
        <w:t>n） 最低工作压力。</w:t>
      </w:r>
    </w:p>
    <w:p>
      <w:pPr>
        <w:pStyle w:val="32"/>
        <w:ind w:firstLine="420"/>
      </w:pPr>
      <w:r>
        <w:rPr>
          <w:rFonts w:hint="eastAsia"/>
        </w:rPr>
        <w:t>所有信息应牢固地标在互感器本体，或标在与互感器牢固固定的铭牌上。</w:t>
      </w:r>
    </w:p>
    <w:p>
      <w:pPr>
        <w:pStyle w:val="86"/>
        <w:numPr>
          <w:ilvl w:val="0"/>
          <w:numId w:val="0"/>
        </w:numPr>
        <w:spacing w:before="312" w:after="312"/>
      </w:pPr>
      <w:bookmarkStart w:id="184" w:name="_Toc7646"/>
      <w:r>
        <w:rPr>
          <w:rFonts w:hint="eastAsia"/>
          <w:lang w:val="en-US" w:eastAsia="zh-CN"/>
        </w:rPr>
        <w:t>10</w:t>
      </w:r>
      <w:r>
        <w:rPr>
          <w:rFonts w:hint="eastAsia"/>
        </w:rPr>
        <w:t xml:space="preserve"> 使用期限</w:t>
      </w:r>
      <w:bookmarkEnd w:id="184"/>
    </w:p>
    <w:p>
      <w:pPr>
        <w:pStyle w:val="32"/>
        <w:spacing w:before="156" w:after="156"/>
        <w:ind w:firstLine="420"/>
        <w:jc w:val="left"/>
      </w:pPr>
      <w:r>
        <w:rPr>
          <w:rFonts w:hint="eastAsia"/>
        </w:rPr>
        <w:t>低频电流互感器及其部件应符合相关标准规定的质量、规格和性能。在正确安装、正常操作和保养的条件下，设备的使用寿命应不少于30年。</w:t>
      </w:r>
    </w:p>
    <w:p>
      <w:pPr>
        <w:pStyle w:val="32"/>
        <w:ind w:firstLine="420"/>
        <w:jc w:val="left"/>
      </w:pPr>
      <w:r>
        <w:rPr>
          <w:rFonts w:hint="eastAsia"/>
        </w:rPr>
        <w:t>如果用户要求，制造厂应向用户提供以下文件：</w:t>
      </w:r>
    </w:p>
    <w:p>
      <w:pPr>
        <w:pStyle w:val="32"/>
        <w:ind w:firstLine="420"/>
        <w:jc w:val="left"/>
      </w:pPr>
      <w:r>
        <w:rPr>
          <w:rFonts w:hint="eastAsia"/>
        </w:rPr>
        <w:t>——产品使用的绝缘材料在使用工况下的寿命；</w:t>
      </w:r>
    </w:p>
    <w:p>
      <w:pPr>
        <w:pStyle w:val="32"/>
        <w:ind w:firstLine="420"/>
        <w:jc w:val="left"/>
      </w:pPr>
      <w:r>
        <w:rPr>
          <w:rFonts w:hint="eastAsia"/>
        </w:rPr>
        <w:t>——绝缘结构的可靠性说明；</w:t>
      </w:r>
    </w:p>
    <w:p>
      <w:pPr>
        <w:pStyle w:val="32"/>
        <w:spacing w:before="156" w:after="156"/>
        <w:ind w:firstLine="420"/>
        <w:jc w:val="left"/>
      </w:pPr>
      <w:r>
        <w:rPr>
          <w:rFonts w:hint="eastAsia"/>
        </w:rPr>
        <w:t>——密封结构的可靠性说明。</w:t>
      </w:r>
    </w:p>
    <w:p>
      <w:pPr>
        <w:pStyle w:val="86"/>
        <w:numPr>
          <w:ilvl w:val="0"/>
          <w:numId w:val="0"/>
        </w:numPr>
        <w:spacing w:before="312" w:after="312"/>
      </w:pPr>
      <w:bookmarkStart w:id="185" w:name="_Toc24019"/>
      <w:r>
        <w:rPr>
          <w:rFonts w:hint="eastAsia"/>
        </w:rPr>
        <w:t>1</w:t>
      </w:r>
      <w:r>
        <w:rPr>
          <w:rFonts w:hint="eastAsia"/>
          <w:lang w:val="en-US" w:eastAsia="zh-CN"/>
        </w:rPr>
        <w:t>1</w:t>
      </w:r>
      <w:r>
        <w:rPr>
          <w:rFonts w:hint="eastAsia"/>
        </w:rPr>
        <w:t xml:space="preserve"> 包装、运输和贮存</w:t>
      </w:r>
      <w:bookmarkEnd w:id="185"/>
    </w:p>
    <w:p>
      <w:pPr>
        <w:pStyle w:val="74"/>
        <w:numPr>
          <w:ilvl w:val="1"/>
          <w:numId w:val="0"/>
        </w:numPr>
        <w:spacing w:before="156" w:after="156"/>
        <w:rPr>
          <w:rFonts w:ascii="宋体" w:eastAsia="宋体"/>
        </w:rPr>
      </w:pPr>
      <w:bookmarkStart w:id="186" w:name="_Toc17892"/>
      <w:r>
        <w:rPr>
          <w:rFonts w:hint="eastAsia"/>
        </w:rPr>
        <w:t>1</w:t>
      </w:r>
      <w:r>
        <w:rPr>
          <w:rFonts w:hint="eastAsia"/>
          <w:lang w:val="en-US" w:eastAsia="zh-CN"/>
        </w:rPr>
        <w:t>1</w:t>
      </w:r>
      <w:r>
        <w:rPr>
          <w:rFonts w:hint="eastAsia"/>
        </w:rPr>
        <w:t>.1 包装</w:t>
      </w:r>
      <w:bookmarkEnd w:id="186"/>
    </w:p>
    <w:p>
      <w:pPr>
        <w:pStyle w:val="32"/>
        <w:ind w:firstLine="420"/>
      </w:pPr>
      <w:r>
        <w:rPr>
          <w:rFonts w:hint="eastAsia"/>
        </w:rPr>
        <w:t>低频电流互感器的包装，应保证产品及其组件、零件的整个运输和贮存期间不致损坏及松动，应采取相应的防水、防潮措施。</w:t>
      </w:r>
    </w:p>
    <w:p>
      <w:pPr>
        <w:pStyle w:val="74"/>
        <w:numPr>
          <w:ilvl w:val="1"/>
          <w:numId w:val="0"/>
        </w:numPr>
        <w:spacing w:before="156" w:after="156"/>
      </w:pPr>
      <w:bookmarkStart w:id="187" w:name="_Toc26000"/>
      <w:r>
        <w:rPr>
          <w:rFonts w:hint="eastAsia"/>
        </w:rPr>
        <w:t>1</w:t>
      </w:r>
      <w:r>
        <w:rPr>
          <w:rFonts w:hint="eastAsia"/>
          <w:lang w:val="en-US" w:eastAsia="zh-CN"/>
        </w:rPr>
        <w:t>1</w:t>
      </w:r>
      <w:r>
        <w:rPr>
          <w:rFonts w:hint="eastAsia"/>
        </w:rPr>
        <w:t>.2 出厂文件</w:t>
      </w:r>
      <w:bookmarkEnd w:id="187"/>
    </w:p>
    <w:p>
      <w:pPr>
        <w:pStyle w:val="32"/>
        <w:ind w:firstLine="420"/>
      </w:pPr>
      <w:r>
        <w:rPr>
          <w:rFonts w:hint="eastAsia"/>
        </w:rPr>
        <w:t>每台低频电流互感器应附有下列</w:t>
      </w:r>
      <w:r>
        <w:t>出厂文件</w:t>
      </w:r>
      <w:r>
        <w:rPr>
          <w:rFonts w:hint="eastAsia"/>
        </w:rPr>
        <w:t>：</w:t>
      </w:r>
    </w:p>
    <w:p>
      <w:pPr>
        <w:pStyle w:val="32"/>
        <w:ind w:firstLine="420"/>
        <w:rPr>
          <w:rFonts w:ascii="Times New Roman"/>
        </w:rPr>
      </w:pPr>
      <w:r>
        <w:rPr>
          <w:rFonts w:hint="eastAsia" w:ascii="Times New Roman"/>
        </w:rPr>
        <w:t>——</w:t>
      </w:r>
      <w:r>
        <w:rPr>
          <w:rFonts w:ascii="Times New Roman"/>
        </w:rPr>
        <w:t>产品合格证；</w:t>
      </w:r>
    </w:p>
    <w:p>
      <w:pPr>
        <w:pStyle w:val="32"/>
        <w:ind w:firstLine="420"/>
        <w:rPr>
          <w:rFonts w:ascii="Times New Roman"/>
        </w:rPr>
      </w:pPr>
      <w:r>
        <w:rPr>
          <w:rFonts w:hint="eastAsia" w:ascii="Times New Roman"/>
        </w:rPr>
        <w:t>——</w:t>
      </w:r>
      <w:r>
        <w:rPr>
          <w:rFonts w:ascii="Times New Roman"/>
        </w:rPr>
        <w:t>出厂试验</w:t>
      </w:r>
      <w:r>
        <w:rPr>
          <w:rFonts w:hint="eastAsia" w:ascii="Times New Roman"/>
        </w:rPr>
        <w:t>报告</w:t>
      </w:r>
      <w:r>
        <w:rPr>
          <w:rFonts w:ascii="Times New Roman"/>
        </w:rPr>
        <w:t>；</w:t>
      </w:r>
    </w:p>
    <w:p>
      <w:pPr>
        <w:pStyle w:val="32"/>
        <w:ind w:firstLine="420"/>
        <w:rPr>
          <w:rFonts w:ascii="Times New Roman"/>
        </w:rPr>
      </w:pPr>
      <w:r>
        <w:rPr>
          <w:rFonts w:hint="eastAsia" w:ascii="Times New Roman"/>
        </w:rPr>
        <w:t>——</w:t>
      </w:r>
      <w:r>
        <w:rPr>
          <w:rFonts w:ascii="Times New Roman"/>
        </w:rPr>
        <w:t>安装使用说明书(包括产品外形尺寸图及组件安装使用说明等)；</w:t>
      </w:r>
    </w:p>
    <w:p>
      <w:pPr>
        <w:pStyle w:val="32"/>
        <w:ind w:firstLine="420"/>
      </w:pPr>
      <w:r>
        <w:rPr>
          <w:rFonts w:hint="eastAsia" w:ascii="Times New Roman"/>
        </w:rPr>
        <w:t>——</w:t>
      </w:r>
      <w:r>
        <w:t>拆卸运输零件(如需要)和备件(如果有)一览表。</w:t>
      </w:r>
    </w:p>
    <w:p>
      <w:pPr>
        <w:pStyle w:val="32"/>
        <w:ind w:firstLine="420"/>
      </w:pPr>
      <w:r>
        <w:t>出厂文件应妥善包装，防止受潮。</w:t>
      </w:r>
    </w:p>
    <w:p>
      <w:pPr>
        <w:pStyle w:val="32"/>
        <w:ind w:firstLine="420"/>
      </w:pPr>
      <w:bookmarkStart w:id="188" w:name="_Toc262827140"/>
      <w:r>
        <w:t>根据用户要求，制造</w:t>
      </w:r>
      <w:r>
        <w:rPr>
          <w:rFonts w:hint="eastAsia"/>
        </w:rPr>
        <w:t>方</w:t>
      </w:r>
      <w:r>
        <w:t>应提供</w:t>
      </w:r>
      <w:r>
        <w:rPr>
          <w:rFonts w:hint="eastAsia"/>
          <w:lang w:eastAsia="zh-CN"/>
        </w:rPr>
        <w:t>本文件</w:t>
      </w:r>
      <w:r>
        <w:t>规定的有效的型式试验报告</w:t>
      </w:r>
      <w:r>
        <w:rPr>
          <w:rFonts w:hint="eastAsia"/>
        </w:rPr>
        <w:t>。</w:t>
      </w:r>
      <w:bookmarkEnd w:id="188"/>
    </w:p>
    <w:p>
      <w:pPr>
        <w:pStyle w:val="74"/>
        <w:numPr>
          <w:ilvl w:val="1"/>
          <w:numId w:val="0"/>
        </w:numPr>
        <w:spacing w:before="156" w:after="156"/>
      </w:pPr>
      <w:bookmarkStart w:id="189" w:name="_Toc20445"/>
      <w:r>
        <w:rPr>
          <w:rFonts w:hint="eastAsia"/>
        </w:rPr>
        <w:t>1</w:t>
      </w:r>
      <w:r>
        <w:rPr>
          <w:rFonts w:hint="eastAsia"/>
          <w:lang w:val="en-US" w:eastAsia="zh-CN"/>
        </w:rPr>
        <w:t>1</w:t>
      </w:r>
      <w:r>
        <w:rPr>
          <w:rFonts w:hint="eastAsia"/>
        </w:rPr>
        <w:t>.3 运输及贮存</w:t>
      </w:r>
      <w:bookmarkEnd w:id="189"/>
    </w:p>
    <w:p>
      <w:pPr>
        <w:pStyle w:val="32"/>
        <w:ind w:firstLine="420"/>
        <w:rPr>
          <w:rFonts w:ascii="Times New Roman"/>
        </w:rPr>
      </w:pPr>
      <w:r>
        <w:rPr>
          <w:rFonts w:hint="eastAsia" w:ascii="Times New Roman"/>
        </w:rPr>
        <w:t>a</w:t>
      </w:r>
      <w:r>
        <w:rPr>
          <w:rFonts w:ascii="Times New Roman"/>
        </w:rPr>
        <w:t>)</w:t>
      </w:r>
      <w:r>
        <w:rPr>
          <w:rFonts w:hint="eastAsia" w:ascii="Times New Roman"/>
        </w:rPr>
        <w:t xml:space="preserve"> </w:t>
      </w:r>
      <w:r>
        <w:rPr>
          <w:rFonts w:hint="eastAsia" w:ascii="Times New Roman" w:hAnsi="宋体"/>
        </w:rPr>
        <w:t>低频电流互感器</w:t>
      </w:r>
      <w:r>
        <w:rPr>
          <w:rFonts w:ascii="Times New Roman" w:hAnsi="宋体"/>
        </w:rPr>
        <w:t>各个供电连接的接触面</w:t>
      </w:r>
      <w:r>
        <w:rPr>
          <w:rFonts w:ascii="Times New Roman"/>
        </w:rPr>
        <w:t>(</w:t>
      </w:r>
      <w:r>
        <w:rPr>
          <w:rFonts w:ascii="Times New Roman" w:hAnsi="宋体"/>
        </w:rPr>
        <w:t>包括接地处的金属平面</w:t>
      </w:r>
      <w:r>
        <w:rPr>
          <w:rFonts w:ascii="Times New Roman"/>
        </w:rPr>
        <w:t>)</w:t>
      </w:r>
      <w:r>
        <w:rPr>
          <w:rFonts w:ascii="Times New Roman" w:hAnsi="宋体"/>
        </w:rPr>
        <w:t>在运输和</w:t>
      </w:r>
      <w:r>
        <w:rPr>
          <w:rFonts w:hint="eastAsia"/>
        </w:rPr>
        <w:t>贮</w:t>
      </w:r>
      <w:r>
        <w:rPr>
          <w:rFonts w:ascii="Times New Roman" w:hAnsi="宋体"/>
        </w:rPr>
        <w:t>存期间应有防蚀措施。</w:t>
      </w:r>
    </w:p>
    <w:p>
      <w:pPr>
        <w:pStyle w:val="32"/>
        <w:ind w:firstLine="420"/>
        <w:rPr>
          <w:rFonts w:ascii="Times New Roman"/>
        </w:rPr>
      </w:pPr>
      <w:r>
        <w:rPr>
          <w:rFonts w:hint="eastAsia" w:ascii="Times New Roman"/>
        </w:rPr>
        <w:t>b</w:t>
      </w:r>
      <w:r>
        <w:rPr>
          <w:rFonts w:ascii="Times New Roman"/>
        </w:rPr>
        <w:t>)</w:t>
      </w:r>
      <w:r>
        <w:rPr>
          <w:rFonts w:hint="eastAsia" w:ascii="Times New Roman"/>
        </w:rPr>
        <w:t xml:space="preserve"> </w:t>
      </w:r>
      <w:r>
        <w:rPr>
          <w:rFonts w:hint="eastAsia" w:ascii="Times New Roman" w:hAnsi="宋体"/>
        </w:rPr>
        <w:t>低频电流互感器</w:t>
      </w:r>
      <w:r>
        <w:rPr>
          <w:rFonts w:ascii="Times New Roman" w:hAnsi="宋体"/>
        </w:rPr>
        <w:t>在运输过程中应</w:t>
      </w:r>
      <w:r>
        <w:rPr>
          <w:rFonts w:hint="eastAsia" w:ascii="Times New Roman" w:hAnsi="宋体"/>
        </w:rPr>
        <w:t>对</w:t>
      </w:r>
      <w:r>
        <w:rPr>
          <w:rFonts w:ascii="Times New Roman" w:hAnsi="宋体"/>
        </w:rPr>
        <w:t>严重震动、颠簸和撞击现象采取防护措施</w:t>
      </w:r>
      <w:r>
        <w:rPr>
          <w:rFonts w:hint="eastAsia" w:ascii="Times New Roman" w:hAnsi="宋体"/>
        </w:rPr>
        <w:t>。供应商运输前应确定运输过程中耐受冲撞的能力，并装设三维冲撞记录仪进行运输过程中的冲撞记录。</w:t>
      </w:r>
    </w:p>
    <w:p>
      <w:pPr>
        <w:pStyle w:val="32"/>
        <w:ind w:firstLine="420"/>
      </w:pPr>
      <w:r>
        <w:rPr>
          <w:rFonts w:hint="eastAsia" w:ascii="Times New Roman"/>
        </w:rPr>
        <w:t>c</w:t>
      </w:r>
      <w:r>
        <w:rPr>
          <w:rFonts w:ascii="Times New Roman"/>
        </w:rPr>
        <w:t>)</w:t>
      </w:r>
      <w:r>
        <w:rPr>
          <w:rFonts w:hint="eastAsia" w:ascii="Times New Roman"/>
        </w:rPr>
        <w:t xml:space="preserve"> </w:t>
      </w:r>
      <w:r>
        <w:rPr>
          <w:rFonts w:hAnsi="宋体"/>
        </w:rPr>
        <w:t>产品在</w:t>
      </w:r>
      <w:r>
        <w:rPr>
          <w:rFonts w:hint="eastAsia"/>
        </w:rPr>
        <w:t>贮</w:t>
      </w:r>
      <w:r>
        <w:rPr>
          <w:rFonts w:hAnsi="宋体"/>
        </w:rPr>
        <w:t>存期间，应避免直接</w:t>
      </w:r>
      <w:r>
        <w:rPr>
          <w:rFonts w:hint="eastAsia" w:hAnsi="宋体"/>
        </w:rPr>
        <w:t>受</w:t>
      </w:r>
      <w:r>
        <w:rPr>
          <w:rFonts w:hAnsi="宋体"/>
        </w:rPr>
        <w:t>晒雨淋，底座要高于地面</w:t>
      </w:r>
      <w:r>
        <w:rPr>
          <w:rFonts w:ascii="Times New Roman"/>
        </w:rPr>
        <w:t>50mm</w:t>
      </w:r>
      <w:r>
        <w:rPr>
          <w:rFonts w:hAnsi="宋体"/>
        </w:rPr>
        <w:t>以上，长期</w:t>
      </w:r>
      <w:r>
        <w:rPr>
          <w:rFonts w:hint="eastAsia"/>
        </w:rPr>
        <w:t>贮</w:t>
      </w:r>
      <w:r>
        <w:rPr>
          <w:rFonts w:hAnsi="宋体"/>
        </w:rPr>
        <w:t>存应进行包装，</w:t>
      </w:r>
      <w:r>
        <w:rPr>
          <w:rFonts w:hint="eastAsia"/>
        </w:rPr>
        <w:t>贮</w:t>
      </w:r>
      <w:r>
        <w:rPr>
          <w:rFonts w:hAnsi="宋体"/>
        </w:rPr>
        <w:t>存处的环境温度应在</w:t>
      </w:r>
      <w:r>
        <w:rPr>
          <w:rFonts w:ascii="Times New Roman"/>
        </w:rPr>
        <w:t>-30</w:t>
      </w:r>
      <w:r>
        <w:rPr>
          <w:rFonts w:hint="eastAsia" w:hAnsi="宋体"/>
        </w:rPr>
        <w:t>℃</w:t>
      </w:r>
      <w:r>
        <w:rPr>
          <w:rFonts w:ascii="Times New Roman"/>
        </w:rPr>
        <w:t>～+40</w:t>
      </w:r>
      <w:r>
        <w:rPr>
          <w:rFonts w:hint="eastAsia" w:hAnsi="宋体"/>
        </w:rPr>
        <w:t>℃</w:t>
      </w:r>
      <w:r>
        <w:rPr>
          <w:rFonts w:hAnsi="宋体"/>
        </w:rPr>
        <w:t>范围内。</w:t>
      </w:r>
      <w:r>
        <w:rPr>
          <w:rFonts w:hint="eastAsia"/>
        </w:rPr>
        <w:t>贮</w:t>
      </w:r>
      <w:r>
        <w:rPr>
          <w:rFonts w:hAnsi="宋体"/>
        </w:rPr>
        <w:t>存期间应定期检查密封情况</w:t>
      </w:r>
      <w:r>
        <w:rPr>
          <w:rFonts w:hint="eastAsia"/>
        </w:rPr>
        <w:t>。</w:t>
      </w:r>
    </w:p>
    <w:p>
      <w:pPr>
        <w:pStyle w:val="86"/>
        <w:numPr>
          <w:ilvl w:val="0"/>
          <w:numId w:val="0"/>
        </w:numPr>
        <w:spacing w:before="312" w:after="312"/>
      </w:pPr>
      <w:bookmarkStart w:id="190" w:name="_Toc450655719"/>
      <w:bookmarkStart w:id="191" w:name="_Toc562"/>
      <w:r>
        <w:rPr>
          <w:rFonts w:hint="eastAsia"/>
        </w:rPr>
        <w:t>1</w:t>
      </w:r>
      <w:r>
        <w:rPr>
          <w:rFonts w:hint="eastAsia"/>
          <w:lang w:val="en-US" w:eastAsia="zh-CN"/>
        </w:rPr>
        <w:t>2</w:t>
      </w:r>
      <w:r>
        <w:rPr>
          <w:rFonts w:hint="eastAsia"/>
        </w:rPr>
        <w:t xml:space="preserve"> 运行及维护要求</w:t>
      </w:r>
      <w:bookmarkEnd w:id="190"/>
      <w:bookmarkEnd w:id="191"/>
      <w:r>
        <w:rPr>
          <w:rFonts w:hint="eastAsia"/>
        </w:rPr>
        <w:t xml:space="preserve"> </w:t>
      </w:r>
    </w:p>
    <w:p>
      <w:pPr>
        <w:widowControl/>
        <w:tabs>
          <w:tab w:val="center" w:pos="4201"/>
          <w:tab w:val="right" w:leader="dot" w:pos="9298"/>
        </w:tabs>
        <w:autoSpaceDE w:val="0"/>
        <w:autoSpaceDN w:val="0"/>
        <w:ind w:left="420"/>
        <w:rPr>
          <w:rFonts w:ascii="宋体" w:hAnsi="宋体"/>
          <w:kern w:val="0"/>
        </w:rPr>
      </w:pPr>
      <w:r>
        <w:rPr>
          <w:rFonts w:hint="eastAsia" w:ascii="宋体" w:hAnsi="宋体"/>
          <w:kern w:val="0"/>
        </w:rPr>
        <w:t>低频电流互感器运行维护要求包括：</w:t>
      </w:r>
    </w:p>
    <w:p>
      <w:pPr>
        <w:pStyle w:val="83"/>
        <w:ind w:left="420" w:firstLine="0" w:firstLineChars="0"/>
        <w:rPr>
          <w:rFonts w:ascii="宋体" w:hAnsi="宋体"/>
          <w:kern w:val="0"/>
        </w:rPr>
      </w:pPr>
      <w:r>
        <w:rPr>
          <w:rFonts w:hint="eastAsia" w:ascii="宋体" w:hAnsi="宋体"/>
          <w:kern w:val="0"/>
        </w:rPr>
        <w:t>a）铭牌、标志牌完备齐全。</w:t>
      </w:r>
    </w:p>
    <w:p>
      <w:pPr>
        <w:pStyle w:val="83"/>
        <w:ind w:left="420" w:firstLine="0" w:firstLineChars="0"/>
        <w:rPr>
          <w:rFonts w:ascii="宋体" w:hAnsi="宋体"/>
          <w:kern w:val="0"/>
        </w:rPr>
      </w:pPr>
      <w:r>
        <w:rPr>
          <w:rFonts w:hint="eastAsia" w:ascii="宋体" w:hAnsi="宋体"/>
          <w:kern w:val="0"/>
        </w:rPr>
        <w:t>b）设备外涂漆层清洁、无锈蚀，漆膜完好；整个设备无异常声响或放电声。</w:t>
      </w:r>
    </w:p>
    <w:p>
      <w:pPr>
        <w:widowControl/>
        <w:tabs>
          <w:tab w:val="center" w:pos="4201"/>
          <w:tab w:val="right" w:leader="dot" w:pos="9298"/>
        </w:tabs>
        <w:autoSpaceDE w:val="0"/>
        <w:autoSpaceDN w:val="0"/>
        <w:ind w:left="420"/>
        <w:rPr>
          <w:rFonts w:ascii="宋体" w:hAnsi="宋体"/>
          <w:kern w:val="0"/>
        </w:rPr>
      </w:pPr>
      <w:r>
        <w:rPr>
          <w:rFonts w:hint="eastAsia" w:ascii="宋体" w:hAnsi="宋体"/>
          <w:kern w:val="0"/>
        </w:rPr>
        <w:t>c）检查电气连接件，包括高压引线、双接地线连接应接触良好，无异常温升。</w:t>
      </w:r>
    </w:p>
    <w:p>
      <w:pPr>
        <w:widowControl/>
        <w:tabs>
          <w:tab w:val="center" w:pos="4201"/>
          <w:tab w:val="right" w:leader="dot" w:pos="9298"/>
        </w:tabs>
        <w:autoSpaceDE w:val="0"/>
        <w:autoSpaceDN w:val="0"/>
        <w:ind w:left="424"/>
        <w:rPr>
          <w:rFonts w:ascii="宋体" w:hAnsi="宋体"/>
          <w:kern w:val="0"/>
        </w:rPr>
      </w:pPr>
      <w:r>
        <w:rPr>
          <w:rFonts w:hint="eastAsia" w:ascii="宋体" w:hAnsi="宋体"/>
          <w:kern w:val="0"/>
        </w:rPr>
        <w:t>d）外绝缘表面不得有严重积污；复合外套、法兰不应出现裂纹、破损或放电烧伤痕迹。</w:t>
      </w:r>
    </w:p>
    <w:p>
      <w:pPr>
        <w:widowControl/>
        <w:tabs>
          <w:tab w:val="center" w:pos="4201"/>
          <w:tab w:val="right" w:leader="dot" w:pos="9298"/>
        </w:tabs>
        <w:autoSpaceDE w:val="0"/>
        <w:autoSpaceDN w:val="0"/>
        <w:ind w:left="424"/>
        <w:rPr>
          <w:rFonts w:ascii="宋体" w:hAnsi="宋体"/>
          <w:kern w:val="0"/>
        </w:rPr>
      </w:pPr>
      <w:r>
        <w:rPr>
          <w:rFonts w:hint="eastAsia" w:ascii="宋体" w:hAnsi="宋体"/>
          <w:kern w:val="0"/>
        </w:rPr>
        <w:t>e）油绝缘的低频电流互感器油位指示正常，密封良好，无渗油现象。</w:t>
      </w:r>
    </w:p>
    <w:p>
      <w:pPr>
        <w:widowControl/>
        <w:tabs>
          <w:tab w:val="center" w:pos="4201"/>
          <w:tab w:val="right" w:leader="dot" w:pos="9298"/>
        </w:tabs>
        <w:autoSpaceDE w:val="0"/>
        <w:autoSpaceDN w:val="0"/>
        <w:ind w:left="420"/>
        <w:rPr>
          <w:rFonts w:ascii="宋体" w:hAnsi="宋体"/>
          <w:kern w:val="0"/>
        </w:rPr>
      </w:pPr>
      <w:r>
        <w:rPr>
          <w:rFonts w:hint="eastAsia" w:ascii="宋体" w:hAnsi="宋体"/>
          <w:kern w:val="0"/>
        </w:rPr>
        <w:t>f） 气体绝缘的低频电流互感器气体密度表指示正常，密封良好，无渗漏现象。</w:t>
      </w:r>
    </w:p>
    <w:p>
      <w:pPr>
        <w:widowControl/>
        <w:tabs>
          <w:tab w:val="center" w:pos="4201"/>
          <w:tab w:val="right" w:leader="dot" w:pos="9298"/>
        </w:tabs>
        <w:autoSpaceDE w:val="0"/>
        <w:autoSpaceDN w:val="0"/>
        <w:ind w:left="420"/>
        <w:rPr>
          <w:rFonts w:ascii="宋体" w:hAnsi="宋体"/>
          <w:kern w:val="0"/>
        </w:rPr>
      </w:pPr>
      <w:r>
        <w:rPr>
          <w:rFonts w:hint="eastAsia" w:ascii="宋体" w:hAnsi="宋体"/>
          <w:kern w:val="0"/>
        </w:rPr>
        <w:t>g）底座、支架牢固，无倾斜变形。</w:t>
      </w:r>
    </w:p>
    <w:p>
      <w:pPr>
        <w:widowControl/>
        <w:tabs>
          <w:tab w:val="center" w:pos="4201"/>
          <w:tab w:val="right" w:leader="dot" w:pos="9298"/>
        </w:tabs>
        <w:autoSpaceDE w:val="0"/>
        <w:autoSpaceDN w:val="0"/>
        <w:ind w:left="420"/>
        <w:rPr>
          <w:rFonts w:ascii="宋体" w:hAnsi="宋体"/>
          <w:kern w:val="0"/>
        </w:rPr>
      </w:pPr>
      <w:r>
        <w:rPr>
          <w:rFonts w:hint="eastAsia" w:ascii="宋体" w:hAnsi="宋体"/>
          <w:kern w:val="0"/>
        </w:rPr>
        <w:t>h）均压环应安装牢固、水平，未与高压引线接触，无附着物。</w:t>
      </w:r>
    </w:p>
    <w:p>
      <w:pPr>
        <w:widowControl/>
        <w:tabs>
          <w:tab w:val="center" w:pos="4201"/>
          <w:tab w:val="right" w:leader="dot" w:pos="9298"/>
        </w:tabs>
        <w:autoSpaceDE w:val="0"/>
        <w:autoSpaceDN w:val="0"/>
        <w:rPr>
          <w:rFonts w:ascii="宋体"/>
          <w:kern w:val="21"/>
        </w:rPr>
      </w:pPr>
      <w:r>
        <w:rPr>
          <w:rFonts w:hint="eastAsia" w:ascii="宋体"/>
          <w:kern w:val="21"/>
        </w:rPr>
        <w:t>　　i</w:t>
      </w:r>
      <w:r>
        <w:rPr>
          <w:rFonts w:hint="eastAsia" w:ascii="宋体" w:hAnsi="宋体"/>
          <w:kern w:val="0"/>
        </w:rPr>
        <w:t>）</w:t>
      </w:r>
      <w:r>
        <w:rPr>
          <w:rFonts w:hint="eastAsia" w:ascii="宋体"/>
          <w:kern w:val="21"/>
        </w:rPr>
        <w:t>低频电流互感器本体的二次端子盒应密封良好，宜采取加装干燥剂、增加防雨罩、保持呼吸孔通畅、更换密封圈等手段防止端子受潮，绝缘降低。</w:t>
      </w:r>
    </w:p>
    <w:p>
      <w:pPr>
        <w:widowControl/>
        <w:tabs>
          <w:tab w:val="center" w:pos="4201"/>
          <w:tab w:val="right" w:leader="dot" w:pos="9298"/>
        </w:tabs>
        <w:autoSpaceDE w:val="0"/>
        <w:autoSpaceDN w:val="0"/>
        <w:ind w:left="420"/>
        <w:rPr>
          <w:rFonts w:ascii="宋体" w:hAnsi="宋体"/>
          <w:kern w:val="0"/>
        </w:rPr>
      </w:pPr>
      <w:r>
        <w:rPr>
          <w:rFonts w:hint="eastAsia" w:ascii="宋体" w:hAnsi="宋体"/>
          <w:kern w:val="0"/>
        </w:rPr>
        <w:t>j）二次接线牢固、无松动、无焦糊味。</w:t>
      </w:r>
    </w:p>
    <w:p>
      <w:pPr>
        <w:widowControl/>
        <w:tabs>
          <w:tab w:val="center" w:pos="4201"/>
          <w:tab w:val="right" w:leader="dot" w:pos="9298"/>
        </w:tabs>
        <w:autoSpaceDE w:val="0"/>
        <w:autoSpaceDN w:val="0"/>
        <w:rPr>
          <w:rFonts w:ascii="宋体" w:hAnsi="宋体"/>
          <w:kern w:val="0"/>
        </w:rPr>
      </w:pPr>
      <w:r>
        <w:rPr>
          <w:rFonts w:hint="eastAsia" w:ascii="宋体"/>
          <w:kern w:val="21"/>
        </w:rPr>
        <w:t>　　</w:t>
      </w:r>
      <w:r>
        <w:rPr>
          <w:rFonts w:hint="eastAsia" w:ascii="宋体" w:hAnsi="宋体"/>
          <w:kern w:val="0"/>
        </w:rPr>
        <w:t>ｎ）二次输出无异常，相互冗余系统的测量值定期对比无异常。</w:t>
      </w:r>
    </w:p>
    <w:p>
      <w:pPr>
        <w:widowControl/>
        <w:tabs>
          <w:tab w:val="center" w:pos="4201"/>
          <w:tab w:val="right" w:leader="dot" w:pos="9298"/>
        </w:tabs>
        <w:autoSpaceDE w:val="0"/>
        <w:autoSpaceDN w:val="0"/>
        <w:ind w:left="420"/>
        <w:rPr>
          <w:rFonts w:ascii="宋体" w:hAnsi="宋体"/>
          <w:kern w:val="0"/>
        </w:rPr>
      </w:pPr>
      <w:r>
        <w:rPr>
          <w:rFonts w:hint="eastAsia" w:ascii="宋体" w:hAnsi="宋体"/>
          <w:kern w:val="0"/>
        </w:rPr>
        <w:t>ｏ）停运半年及以上的低频电流互感器应按有关规定试验检查合格后方可投运。</w:t>
      </w:r>
    </w:p>
    <w:p>
      <w:pPr>
        <w:widowControl/>
        <w:tabs>
          <w:tab w:val="center" w:pos="4201"/>
          <w:tab w:val="right" w:leader="dot" w:pos="9298"/>
        </w:tabs>
        <w:autoSpaceDE w:val="0"/>
        <w:autoSpaceDN w:val="0"/>
        <w:ind w:left="420"/>
        <w:rPr>
          <w:rFonts w:ascii="宋体" w:hAnsi="宋体"/>
          <w:kern w:val="0"/>
        </w:rPr>
      </w:pPr>
      <w:r>
        <w:rPr>
          <w:rFonts w:hint="eastAsia" w:ascii="宋体" w:hAnsi="宋体"/>
          <w:kern w:val="0"/>
        </w:rPr>
        <w:t>ｐ）运行中低频电流互感器底部结构也有高电压，禁止一切维护。</w:t>
      </w:r>
    </w:p>
    <w:p>
      <w:pPr>
        <w:widowControl/>
        <w:tabs>
          <w:tab w:val="center" w:pos="4201"/>
          <w:tab w:val="right" w:leader="dot" w:pos="9298"/>
        </w:tabs>
        <w:autoSpaceDE w:val="0"/>
        <w:autoSpaceDN w:val="0"/>
        <w:ind w:left="420"/>
        <w:rPr>
          <w:rFonts w:ascii="宋体" w:hAnsi="宋体"/>
          <w:kern w:val="0"/>
        </w:rPr>
      </w:pPr>
      <w:r>
        <w:rPr>
          <w:rFonts w:hint="eastAsia" w:ascii="宋体" w:hAnsi="宋体"/>
          <w:kern w:val="0"/>
        </w:rPr>
        <w:t>ｑ）定期红外</w:t>
      </w:r>
      <w:r>
        <w:rPr>
          <w:rFonts w:ascii="宋体" w:hAnsi="宋体"/>
          <w:kern w:val="0"/>
        </w:rPr>
        <w:t>检测。</w:t>
      </w:r>
    </w:p>
    <w:p>
      <w:pPr>
        <w:pStyle w:val="179"/>
        <w:ind w:left="420" w:firstLine="0" w:firstLineChars="0"/>
        <w:rPr>
          <w:rFonts w:ascii="宋体"/>
          <w:kern w:val="0"/>
          <w:szCs w:val="20"/>
        </w:rPr>
      </w:pPr>
    </w:p>
    <w:p>
      <w:pPr>
        <w:pStyle w:val="165"/>
        <w:framePr w:wrap="around" w:y="1"/>
      </w:pPr>
      <w:r>
        <w:t>_________________________________</w:t>
      </w:r>
    </w:p>
    <w:p>
      <w:pPr>
        <w:widowControl/>
        <w:jc w:val="left"/>
        <w:rPr>
          <w:rFonts w:ascii="宋体"/>
          <w:kern w:val="0"/>
        </w:rPr>
      </w:pPr>
    </w:p>
    <w:p>
      <w:pPr>
        <w:pStyle w:val="83"/>
        <w:ind w:left="420" w:firstLine="0" w:firstLineChars="0"/>
        <w:rPr>
          <w:rFonts w:ascii="宋体"/>
          <w:kern w:val="0"/>
        </w:rPr>
      </w:pPr>
    </w:p>
    <w:sectPr>
      <w:headerReference r:id="rId9" w:type="default"/>
      <w:footerReference r:id="rId11" w:type="default"/>
      <w:headerReference r:id="rId10" w:type="even"/>
      <w:footerReference r:id="rId12" w:type="even"/>
      <w:pgSz w:w="11906" w:h="16838"/>
      <w:pgMar w:top="1418" w:right="1134"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8"/>
      </w:rPr>
    </w:pPr>
    <w:r>
      <w:rPr>
        <w:rStyle w:val="48"/>
      </w:rPr>
      <w:fldChar w:fldCharType="begin"/>
    </w:r>
    <w:r>
      <w:rPr>
        <w:rStyle w:val="48"/>
      </w:rPr>
      <w:instrText xml:space="preserve"> PAGE </w:instrText>
    </w:r>
    <w:r>
      <w:rPr>
        <w:rStyle w:val="48"/>
      </w:rPr>
      <w:fldChar w:fldCharType="separate"/>
    </w:r>
    <w:r>
      <w:rPr>
        <w:rStyle w:val="48"/>
      </w:rPr>
      <w:t>1</w:t>
    </w:r>
    <w:r>
      <w:rPr>
        <w:rStyle w:val="48"/>
      </w:rPr>
      <w:fldChar w:fldCharType="end"/>
    </w:r>
  </w:p>
  <w:p>
    <w:pPr>
      <w:pStyle w:val="95"/>
      <w:ind w:right="360" w:firstLine="360"/>
      <w:rPr>
        <w:rStyle w:val="4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8"/>
      </w:rPr>
    </w:pPr>
    <w:r>
      <w:rPr>
        <w:rStyle w:val="48"/>
      </w:rPr>
      <w:fldChar w:fldCharType="begin"/>
    </w:r>
    <w:r>
      <w:rPr>
        <w:rStyle w:val="48"/>
      </w:rPr>
      <w:instrText xml:space="preserve"> PAGE </w:instrText>
    </w:r>
    <w:r>
      <w:rPr>
        <w:rStyle w:val="48"/>
      </w:rPr>
      <w:fldChar w:fldCharType="separate"/>
    </w:r>
    <w:r>
      <w:rPr>
        <w:rStyle w:val="48"/>
      </w:rPr>
      <w:t>14</w:t>
    </w:r>
    <w:r>
      <w:rPr>
        <w:rStyle w:val="48"/>
      </w:rPr>
      <w:fldChar w:fldCharType="end"/>
    </w:r>
  </w:p>
  <w:p>
    <w:pPr>
      <w:pStyle w:val="106"/>
      <w:ind w:right="360" w:firstLine="360"/>
      <w:rPr>
        <w:rStyle w:val="4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9090" w:firstLineChars="5050"/>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outside" w:y="1"/>
      <w:rPr>
        <w:rStyle w:val="48"/>
      </w:rPr>
    </w:pPr>
    <w:r>
      <w:rPr>
        <w:rStyle w:val="48"/>
      </w:rPr>
      <w:fldChar w:fldCharType="begin"/>
    </w:r>
    <w:r>
      <w:rPr>
        <w:rStyle w:val="48"/>
      </w:rPr>
      <w:instrText xml:space="preserve"> PAGE </w:instrText>
    </w:r>
    <w:r>
      <w:rPr>
        <w:rStyle w:val="48"/>
      </w:rPr>
      <w:fldChar w:fldCharType="separate"/>
    </w:r>
    <w:r>
      <w:rPr>
        <w:rStyle w:val="48"/>
      </w:rPr>
      <w:t>14</w:t>
    </w:r>
    <w:r>
      <w:rPr>
        <w:rStyle w:val="48"/>
      </w:rPr>
      <w:fldChar w:fldCharType="end"/>
    </w:r>
  </w:p>
  <w:p>
    <w:pPr>
      <w:pStyle w:val="106"/>
      <w:ind w:right="360" w:firstLine="360"/>
      <w:rPr>
        <w:rStyle w:val="4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6"/>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Bdr>
        <w:bottom w:val="none" w:color="auto" w:sz="0" w:space="0"/>
      </w:pBdr>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Bdr>
        <w:bottom w:val="none" w:color="auto" w:sz="0" w:space="0"/>
      </w:pBdr>
      <w:ind w:firstLine="7560" w:firstLineChars="3600"/>
      <w:rPr>
        <w:rFonts w:hint="eastAsia" w:eastAsia="黑体"/>
        <w:lang w:eastAsia="zh-CN"/>
      </w:rPr>
    </w:pPr>
    <w:r>
      <w:t>T/CSEE</w:t>
    </w:r>
    <w:r>
      <w:rPr>
        <w:rFonts w:hint="eastAsia"/>
      </w:rPr>
      <w:t>####—202</w:t>
    </w:r>
    <w:r>
      <w:rPr>
        <w:rFonts w:hint="eastAsia"/>
        <w:lang w:val="en-US" w:eastAsia="zh-CN"/>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Bdr>
        <w:bottom w:val="none" w:color="auto" w:sz="0" w:space="0"/>
      </w:pBdr>
      <w:rPr>
        <w:rFonts w:hint="eastAsia" w:eastAsia="黑体"/>
        <w:lang w:eastAsia="zh-CN"/>
      </w:rPr>
    </w:pPr>
    <w:r>
      <w:t>T/CSEE</w:t>
    </w:r>
    <w:r>
      <w:rPr>
        <w:rFonts w:hint="eastAsia"/>
      </w:rP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86A9A"/>
    <w:multiLevelType w:val="multilevel"/>
    <w:tmpl w:val="08986A9A"/>
    <w:lvl w:ilvl="0" w:tentative="0">
      <w:start w:val="1"/>
      <w:numFmt w:val="decimal"/>
      <w:suff w:val="nothing"/>
      <w:lvlText w:val="%1　"/>
      <w:lvlJc w:val="center"/>
      <w:pPr>
        <w:ind w:left="1710" w:firstLine="0"/>
      </w:pPr>
      <w:rPr>
        <w:rFonts w:hint="default" w:ascii="Times New Roman" w:hAnsi="Times New Roman" w:eastAsia="宋体"/>
        <w:b/>
        <w:i w:val="0"/>
        <w:caps w:val="0"/>
        <w:strike w:val="0"/>
        <w:dstrike w:val="0"/>
        <w:snapToGrid w:val="0"/>
        <w:vanish w:val="0"/>
        <w:color w:val="000000"/>
        <w:kern w:val="0"/>
        <w:sz w:val="28"/>
        <w:vertAlign w:val="baseline"/>
        <w14:shadow w14:blurRad="0" w14:dist="0" w14:dir="0" w14:sx="0" w14:sy="0" w14:kx="0" w14:ky="0" w14:algn="none">
          <w14:srgbClr w14:val="000000"/>
        </w14:shadow>
      </w:rPr>
    </w:lvl>
    <w:lvl w:ilvl="1" w:tentative="0">
      <w:start w:val="0"/>
      <w:numFmt w:val="decimal"/>
      <w:suff w:val="nothing"/>
      <w:lvlText w:val="%1.%2　"/>
      <w:lvlJc w:val="center"/>
      <w:pPr>
        <w:ind w:left="0" w:firstLine="0"/>
      </w:pPr>
      <w:rPr>
        <w:rFonts w:hint="default" w:ascii="Times New Roman" w:hAnsi="Times New Roman" w:eastAsia="黑体"/>
        <w:b/>
        <w:i w:val="0"/>
        <w:caps w:val="0"/>
        <w:strike w:val="0"/>
        <w:dstrike w:val="0"/>
        <w:vanish w:val="0"/>
        <w:color w:val="000000"/>
        <w:sz w:val="21"/>
        <w:vertAlign w:val="baseline"/>
        <w14:shadow w14:blurRad="0" w14:dist="0" w14:dir="0" w14:sx="0" w14:sy="0" w14:kx="0" w14:ky="0" w14:algn="none">
          <w14:srgbClr w14:val="000000"/>
        </w14:shadow>
      </w:rPr>
    </w:lvl>
    <w:lvl w:ilvl="2" w:tentative="0">
      <w:start w:val="1"/>
      <w:numFmt w:val="decimal"/>
      <w:suff w:val="nothing"/>
      <w:lvlText w:val="%1.%2.%3　"/>
      <w:lvlJc w:val="left"/>
      <w:pPr>
        <w:tabs>
          <w:tab w:val="left" w:pos="0"/>
        </w:tabs>
        <w:ind w:left="0" w:firstLine="0"/>
      </w:pPr>
      <w:rPr>
        <w:rFonts w:hint="default" w:ascii="Times New Roman" w:hAnsi="Times New Roman" w:eastAsia="宋体"/>
        <w:b/>
        <w:i w:val="0"/>
        <w:caps w:val="0"/>
        <w:strike w:val="0"/>
        <w:dstrike w:val="0"/>
        <w:vanish w:val="0"/>
        <w:color w:val="000000"/>
        <w:sz w:val="21"/>
        <w:u w:val="none"/>
        <w:vertAlign w:val="baseline"/>
        <w14:shadow w14:blurRad="0" w14:dist="0" w14:dir="0" w14:sx="0" w14:sy="0" w14:kx="0" w14:ky="0" w14:algn="none">
          <w14:srgbClr w14:val="000000"/>
        </w14:shadow>
      </w:rPr>
    </w:lvl>
    <w:lvl w:ilvl="3" w:tentative="0">
      <w:start w:val="1"/>
      <w:numFmt w:val="decimal"/>
      <w:pStyle w:val="180"/>
      <w:suff w:val="nothing"/>
      <w:lvlText w:val="%4　"/>
      <w:lvlJc w:val="left"/>
      <w:pPr>
        <w:ind w:left="568" w:firstLine="0"/>
      </w:pPr>
      <w:rPr>
        <w:rFonts w:hint="default" w:ascii="Times New Roman" w:hAnsi="Times New Roman" w:eastAsia="宋体"/>
        <w:b/>
        <w:i w:val="0"/>
        <w:caps w:val="0"/>
        <w:strike w:val="0"/>
        <w:dstrike w:val="0"/>
        <w:snapToGrid/>
        <w:vanish w:val="0"/>
        <w:color w:val="000000"/>
        <w:kern w:val="0"/>
        <w:vertAlign w:val="baseline"/>
        <w14:shadow w14:blurRad="0" w14:dist="0" w14:dir="0" w14:sx="0" w14:sy="0" w14:kx="0" w14:ky="0" w14:algn="none">
          <w14:srgbClr w14:val="000000"/>
        </w14:shadow>
      </w:rPr>
    </w:lvl>
    <w:lvl w:ilvl="4" w:tentative="0">
      <w:start w:val="1"/>
      <w:numFmt w:val="decimal"/>
      <w:suff w:val="nothing"/>
      <w:lvlText w:val="%5）"/>
      <w:lvlJc w:val="left"/>
      <w:pPr>
        <w:ind w:left="992" w:hanging="992"/>
      </w:pPr>
      <w:rPr>
        <w:rFonts w:hint="default" w:ascii="Times New Roman" w:hAnsi="Times New Roman" w:eastAsia="宋体"/>
        <w:caps w:val="0"/>
        <w:strike w:val="0"/>
        <w:dstrike w:val="0"/>
        <w:snapToGrid/>
        <w:vanish w:val="0"/>
        <w:color w:val="000000"/>
        <w:kern w:val="0"/>
        <w:sz w:val="21"/>
        <w:vertAlign w:val="baseline"/>
        <w14:shadow w14:blurRad="0" w14:dist="0" w14:dir="0" w14:sx="0" w14:sy="0" w14:kx="0" w14:ky="0" w14:algn="none">
          <w14:srgbClr w14:val="000000"/>
        </w14:shadow>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AE367E9"/>
    <w:multiLevelType w:val="multilevel"/>
    <w:tmpl w:val="0AE367E9"/>
    <w:lvl w:ilvl="0" w:tentative="0">
      <w:start w:val="1"/>
      <w:numFmt w:val="none"/>
      <w:pStyle w:val="10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0D983844"/>
    <w:multiLevelType w:val="multilevel"/>
    <w:tmpl w:val="0D983844"/>
    <w:lvl w:ilvl="0" w:tentative="0">
      <w:start w:val="1"/>
      <w:numFmt w:val="decimal"/>
      <w:pStyle w:val="16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97EEBF9"/>
    <w:multiLevelType w:val="multilevel"/>
    <w:tmpl w:val="197EEBF9"/>
    <w:lvl w:ilvl="0" w:tentative="0">
      <w:start w:val="6"/>
      <w:numFmt w:val="decimal"/>
      <w:pStyle w:val="86"/>
      <w:suff w:val="nothing"/>
      <w:lvlText w:val="%1　"/>
      <w:lvlJc w:val="left"/>
      <w:pPr>
        <w:tabs>
          <w:tab w:val="left" w:pos="0"/>
        </w:tabs>
        <w:ind w:left="0" w:firstLine="0"/>
      </w:pPr>
      <w:rPr>
        <w:rFonts w:hint="default" w:ascii="黑体" w:hAnsi="Times New Roman" w:eastAsia="黑体"/>
        <w:b w:val="0"/>
        <w:i w:val="0"/>
        <w:sz w:val="21"/>
      </w:rPr>
    </w:lvl>
    <w:lvl w:ilvl="1" w:tentative="0">
      <w:start w:val="1"/>
      <w:numFmt w:val="decimal"/>
      <w:pStyle w:val="74"/>
      <w:suff w:val="nothing"/>
      <w:lvlText w:val="%1.%2　"/>
      <w:lvlJc w:val="left"/>
      <w:pPr>
        <w:tabs>
          <w:tab w:val="left" w:pos="0"/>
        </w:tabs>
        <w:ind w:left="1135" w:hanging="1135"/>
      </w:pPr>
      <w:rPr>
        <w:rFonts w:hint="default" w:ascii="黑体" w:hAnsi="Times New Roman" w:eastAsia="黑体"/>
        <w:b w:val="0"/>
        <w:i w:val="0"/>
        <w:caps w:val="0"/>
        <w:strike w:val="0"/>
        <w:dstrike w:val="0"/>
        <w:vanish w:val="0"/>
        <w:color w:val="auto"/>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2A8F7113"/>
    <w:multiLevelType w:val="multilevel"/>
    <w:tmpl w:val="2A8F7113"/>
    <w:lvl w:ilvl="0" w:tentative="0">
      <w:start w:val="1"/>
      <w:numFmt w:val="upperLetter"/>
      <w:pStyle w:val="136"/>
      <w:suff w:val="space"/>
      <w:lvlText w:val="%1"/>
      <w:lvlJc w:val="left"/>
      <w:pPr>
        <w:ind w:left="623" w:hanging="425"/>
      </w:pPr>
      <w:rPr>
        <w:rFonts w:hint="eastAsia"/>
      </w:rPr>
    </w:lvl>
    <w:lvl w:ilvl="1" w:tentative="0">
      <w:start w:val="1"/>
      <w:numFmt w:val="decimal"/>
      <w:pStyle w:val="13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98"/>
      <w:suff w:val="nothing"/>
      <w:lvlText w:val="%1——"/>
      <w:lvlJc w:val="left"/>
      <w:pPr>
        <w:ind w:left="1259" w:hanging="408"/>
      </w:pPr>
      <w:rPr>
        <w:rFonts w:hint="eastAsia"/>
      </w:rPr>
    </w:lvl>
    <w:lvl w:ilvl="1" w:tentative="0">
      <w:start w:val="1"/>
      <w:numFmt w:val="bullet"/>
      <w:pStyle w:val="99"/>
      <w:lvlText w:val=""/>
      <w:lvlJc w:val="left"/>
      <w:pPr>
        <w:tabs>
          <w:tab w:val="left" w:pos="1186"/>
        </w:tabs>
        <w:ind w:left="1690" w:hanging="413"/>
      </w:pPr>
      <w:rPr>
        <w:rFonts w:hint="default" w:ascii="Symbol" w:hAnsi="Symbol"/>
        <w:color w:val="auto"/>
      </w:rPr>
    </w:lvl>
    <w:lvl w:ilvl="2" w:tentative="0">
      <w:start w:val="1"/>
      <w:numFmt w:val="bullet"/>
      <w:pStyle w:val="102"/>
      <w:lvlText w:val=""/>
      <w:lvlJc w:val="left"/>
      <w:pPr>
        <w:tabs>
          <w:tab w:val="left" w:pos="2104"/>
        </w:tabs>
        <w:ind w:left="2104" w:hanging="414"/>
      </w:pPr>
      <w:rPr>
        <w:rFonts w:hint="default" w:ascii="Symbol" w:hAnsi="Symbol"/>
        <w:color w:val="auto"/>
      </w:rPr>
    </w:lvl>
    <w:lvl w:ilvl="3" w:tentative="0">
      <w:start w:val="1"/>
      <w:numFmt w:val="decimal"/>
      <w:lvlText w:val="%4."/>
      <w:lvlJc w:val="left"/>
      <w:pPr>
        <w:tabs>
          <w:tab w:val="left" w:pos="2497"/>
        </w:tabs>
        <w:ind w:left="2310" w:hanging="528"/>
      </w:pPr>
      <w:rPr>
        <w:rFonts w:hint="eastAsia"/>
      </w:rPr>
    </w:lvl>
    <w:lvl w:ilvl="4" w:tentative="0">
      <w:start w:val="1"/>
      <w:numFmt w:val="lowerLetter"/>
      <w:lvlText w:val="%5)"/>
      <w:lvlJc w:val="left"/>
      <w:pPr>
        <w:tabs>
          <w:tab w:val="left" w:pos="2809"/>
        </w:tabs>
        <w:ind w:left="2622" w:hanging="528"/>
      </w:pPr>
      <w:rPr>
        <w:rFonts w:hint="eastAsia"/>
      </w:rPr>
    </w:lvl>
    <w:lvl w:ilvl="5" w:tentative="0">
      <w:start w:val="1"/>
      <w:numFmt w:val="lowerRoman"/>
      <w:lvlText w:val="%6."/>
      <w:lvlJc w:val="right"/>
      <w:pPr>
        <w:tabs>
          <w:tab w:val="left" w:pos="3121"/>
        </w:tabs>
        <w:ind w:left="2934" w:hanging="528"/>
      </w:pPr>
      <w:rPr>
        <w:rFonts w:hint="eastAsia"/>
      </w:rPr>
    </w:lvl>
    <w:lvl w:ilvl="6" w:tentative="0">
      <w:start w:val="1"/>
      <w:numFmt w:val="decimal"/>
      <w:lvlText w:val="%7."/>
      <w:lvlJc w:val="left"/>
      <w:pPr>
        <w:tabs>
          <w:tab w:val="left" w:pos="3433"/>
        </w:tabs>
        <w:ind w:left="3246" w:hanging="528"/>
      </w:pPr>
      <w:rPr>
        <w:rFonts w:hint="eastAsia"/>
      </w:rPr>
    </w:lvl>
    <w:lvl w:ilvl="7" w:tentative="0">
      <w:start w:val="1"/>
      <w:numFmt w:val="lowerLetter"/>
      <w:lvlText w:val="%8)"/>
      <w:lvlJc w:val="left"/>
      <w:pPr>
        <w:tabs>
          <w:tab w:val="left" w:pos="3745"/>
        </w:tabs>
        <w:ind w:left="3558" w:hanging="528"/>
      </w:pPr>
      <w:rPr>
        <w:rFonts w:hint="eastAsia"/>
      </w:rPr>
    </w:lvl>
    <w:lvl w:ilvl="8" w:tentative="0">
      <w:start w:val="1"/>
      <w:numFmt w:val="lowerRoman"/>
      <w:lvlText w:val="%9."/>
      <w:lvlJc w:val="right"/>
      <w:pPr>
        <w:tabs>
          <w:tab w:val="left" w:pos="4057"/>
        </w:tabs>
        <w:ind w:left="3870" w:hanging="528"/>
      </w:pPr>
      <w:rPr>
        <w:rFonts w:hint="eastAsia"/>
      </w:rPr>
    </w:lvl>
  </w:abstractNum>
  <w:abstractNum w:abstractNumId="7">
    <w:nsid w:val="3D733618"/>
    <w:multiLevelType w:val="multilevel"/>
    <w:tmpl w:val="3D733618"/>
    <w:lvl w:ilvl="0" w:tentative="0">
      <w:start w:val="1"/>
      <w:numFmt w:val="decimal"/>
      <w:pStyle w:val="3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B733A5F"/>
    <w:multiLevelType w:val="multilevel"/>
    <w:tmpl w:val="4B733A5F"/>
    <w:lvl w:ilvl="0" w:tentative="0">
      <w:start w:val="1"/>
      <w:numFmt w:val="decimal"/>
      <w:pStyle w:val="10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9">
    <w:nsid w:val="56065C85"/>
    <w:multiLevelType w:val="multilevel"/>
    <w:tmpl w:val="56065C8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0B55DC2"/>
    <w:multiLevelType w:val="multilevel"/>
    <w:tmpl w:val="60B55DC2"/>
    <w:lvl w:ilvl="0" w:tentative="0">
      <w:start w:val="1"/>
      <w:numFmt w:val="upperLetter"/>
      <w:pStyle w:val="124"/>
      <w:lvlText w:val="%1"/>
      <w:lvlJc w:val="left"/>
      <w:pPr>
        <w:tabs>
          <w:tab w:val="left" w:pos="0"/>
        </w:tabs>
        <w:ind w:left="0" w:hanging="425"/>
      </w:pPr>
      <w:rPr>
        <w:rFonts w:hint="eastAsia"/>
      </w:rPr>
    </w:lvl>
    <w:lvl w:ilvl="1" w:tentative="0">
      <w:start w:val="1"/>
      <w:numFmt w:val="decimal"/>
      <w:pStyle w:val="12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1">
    <w:nsid w:val="657D3FBC"/>
    <w:multiLevelType w:val="multilevel"/>
    <w:tmpl w:val="657D3FBC"/>
    <w:lvl w:ilvl="0" w:tentative="0">
      <w:start w:val="1"/>
      <w:numFmt w:val="upperLetter"/>
      <w:pStyle w:val="1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1"/>
      <w:suff w:val="nothing"/>
      <w:lvlText w:val="%1.%2.%3　"/>
      <w:lvlJc w:val="left"/>
      <w:pPr>
        <w:ind w:left="0" w:firstLine="0"/>
      </w:pPr>
      <w:rPr>
        <w:rFonts w:hint="eastAsia" w:ascii="黑体" w:hAnsi="Times New Roman" w:eastAsia="黑体"/>
        <w:b w:val="0"/>
        <w:i w:val="0"/>
        <w:sz w:val="21"/>
      </w:rPr>
    </w:lvl>
    <w:lvl w:ilvl="3" w:tentative="0">
      <w:start w:val="1"/>
      <w:numFmt w:val="decimal"/>
      <w:pStyle w:val="126"/>
      <w:suff w:val="nothing"/>
      <w:lvlText w:val="%1.%2.%3.%4　"/>
      <w:lvlJc w:val="left"/>
      <w:pPr>
        <w:ind w:left="0" w:firstLine="0"/>
      </w:pPr>
      <w:rPr>
        <w:rFonts w:hint="eastAsia" w:ascii="黑体" w:hAnsi="Times New Roman" w:eastAsia="黑体"/>
        <w:b w:val="0"/>
        <w:i w:val="0"/>
        <w:sz w:val="21"/>
      </w:rPr>
    </w:lvl>
    <w:lvl w:ilvl="4" w:tentative="0">
      <w:start w:val="1"/>
      <w:numFmt w:val="decimal"/>
      <w:pStyle w:val="131"/>
      <w:suff w:val="nothing"/>
      <w:lvlText w:val="%1.%2.%3.%4.%5　"/>
      <w:lvlJc w:val="left"/>
      <w:pPr>
        <w:ind w:left="0" w:firstLine="0"/>
      </w:pPr>
      <w:rPr>
        <w:rFonts w:hint="eastAsia" w:ascii="黑体" w:hAnsi="Times New Roman" w:eastAsia="黑体"/>
        <w:b w:val="0"/>
        <w:i w:val="0"/>
        <w:sz w:val="21"/>
      </w:rPr>
    </w:lvl>
    <w:lvl w:ilvl="5" w:tentative="0">
      <w:start w:val="1"/>
      <w:numFmt w:val="decimal"/>
      <w:pStyle w:val="134"/>
      <w:suff w:val="nothing"/>
      <w:lvlText w:val="%1.%2.%3.%4.%5.%6　"/>
      <w:lvlJc w:val="left"/>
      <w:pPr>
        <w:ind w:left="0" w:firstLine="0"/>
      </w:pPr>
      <w:rPr>
        <w:rFonts w:hint="eastAsia" w:ascii="黑体" w:hAnsi="Times New Roman" w:eastAsia="黑体"/>
        <w:b w:val="0"/>
        <w:i w:val="0"/>
        <w:sz w:val="21"/>
      </w:rPr>
    </w:lvl>
    <w:lvl w:ilvl="6" w:tentative="0">
      <w:start w:val="1"/>
      <w:numFmt w:val="decimal"/>
      <w:pStyle w:val="1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D6C07CD"/>
    <w:multiLevelType w:val="multilevel"/>
    <w:tmpl w:val="6D6C07CD"/>
    <w:lvl w:ilvl="0" w:tentative="0">
      <w:start w:val="1"/>
      <w:numFmt w:val="lowerLetter"/>
      <w:pStyle w:val="143"/>
      <w:lvlText w:val="%1)"/>
      <w:lvlJc w:val="left"/>
      <w:pPr>
        <w:tabs>
          <w:tab w:val="left" w:pos="839"/>
        </w:tabs>
        <w:ind w:left="839" w:hanging="419"/>
      </w:pPr>
      <w:rPr>
        <w:rFonts w:hint="eastAsia" w:ascii="宋体" w:eastAsia="宋体"/>
        <w:b w:val="0"/>
        <w:i w:val="0"/>
        <w:sz w:val="21"/>
      </w:rPr>
    </w:lvl>
    <w:lvl w:ilvl="1" w:tentative="0">
      <w:start w:val="1"/>
      <w:numFmt w:val="decimal"/>
      <w:pStyle w:val="13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3">
    <w:nsid w:val="7CCB0803"/>
    <w:multiLevelType w:val="multilevel"/>
    <w:tmpl w:val="7CCB0803"/>
    <w:lvl w:ilvl="0" w:tentative="0">
      <w:start w:val="8"/>
      <w:numFmt w:val="decimal"/>
      <w:suff w:val="nothing"/>
      <w:lvlText w:val="%1　"/>
      <w:lvlJc w:val="left"/>
      <w:pPr>
        <w:tabs>
          <w:tab w:val="left" w:pos="0"/>
        </w:tabs>
        <w:ind w:left="0" w:firstLine="0"/>
      </w:pPr>
      <w:rPr>
        <w:rFonts w:hint="default" w:ascii="黑体" w:hAnsi="Times New Roman" w:eastAsia="黑体"/>
        <w:b w:val="0"/>
        <w:i w:val="0"/>
        <w:sz w:val="21"/>
      </w:rPr>
    </w:lvl>
    <w:lvl w:ilvl="1" w:tentative="0">
      <w:start w:val="2"/>
      <w:numFmt w:val="decimal"/>
      <w:suff w:val="nothing"/>
      <w:lvlText w:val="%1.%2　"/>
      <w:lvlJc w:val="left"/>
      <w:pPr>
        <w:tabs>
          <w:tab w:val="left" w:pos="0"/>
        </w:tabs>
        <w:ind w:left="1135" w:hanging="1135"/>
      </w:pPr>
      <w:rPr>
        <w:rFonts w:hint="default" w:ascii="黑体" w:hAnsi="Times New Roman" w:eastAsia="黑体"/>
        <w:b w:val="0"/>
        <w:i w:val="0"/>
        <w:caps w:val="0"/>
        <w:strike w:val="0"/>
        <w:dstrike w:val="0"/>
        <w:vanish w:val="0"/>
        <w:color w:val="auto"/>
        <w:spacing w:val="0"/>
        <w:kern w:val="0"/>
        <w:position w:val="0"/>
        <w:sz w:val="21"/>
        <w:u w:val="none"/>
        <w:vertAlign w:val="baseline"/>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12"/>
  </w:num>
  <w:num w:numId="3">
    <w:abstractNumId w:val="3"/>
  </w:num>
  <w:num w:numId="4">
    <w:abstractNumId w:val="4"/>
  </w:num>
  <w:num w:numId="5">
    <w:abstractNumId w:val="13"/>
  </w:num>
  <w:num w:numId="6">
    <w:abstractNumId w:val="6"/>
  </w:num>
  <w:num w:numId="7">
    <w:abstractNumId w:val="1"/>
  </w:num>
  <w:num w:numId="8">
    <w:abstractNumId w:val="8"/>
  </w:num>
  <w:num w:numId="9">
    <w:abstractNumId w:val="11"/>
  </w:num>
  <w:num w:numId="10">
    <w:abstractNumId w:val="10"/>
  </w:num>
  <w:num w:numId="11">
    <w:abstractNumId w:val="5"/>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1OGVhYjIwNDUyZDM3ODU4ODA4N2Q1ZTBiYTc0NTMifQ=="/>
  </w:docVars>
  <w:rsids>
    <w:rsidRoot w:val="00172A27"/>
    <w:rsid w:val="000027C5"/>
    <w:rsid w:val="0003645F"/>
    <w:rsid w:val="00041FEC"/>
    <w:rsid w:val="000423E2"/>
    <w:rsid w:val="00060331"/>
    <w:rsid w:val="00063B7D"/>
    <w:rsid w:val="000778B5"/>
    <w:rsid w:val="000805A5"/>
    <w:rsid w:val="00080F6B"/>
    <w:rsid w:val="00082094"/>
    <w:rsid w:val="00083A80"/>
    <w:rsid w:val="000A11A1"/>
    <w:rsid w:val="000C43DE"/>
    <w:rsid w:val="000C4BC3"/>
    <w:rsid w:val="000D007E"/>
    <w:rsid w:val="000F0BF0"/>
    <w:rsid w:val="000F3901"/>
    <w:rsid w:val="00121AA4"/>
    <w:rsid w:val="00131FD9"/>
    <w:rsid w:val="001619B0"/>
    <w:rsid w:val="00163FFB"/>
    <w:rsid w:val="00172A27"/>
    <w:rsid w:val="00184C1D"/>
    <w:rsid w:val="001A2A75"/>
    <w:rsid w:val="001C7AD1"/>
    <w:rsid w:val="001D113D"/>
    <w:rsid w:val="00213D31"/>
    <w:rsid w:val="00215B62"/>
    <w:rsid w:val="00220110"/>
    <w:rsid w:val="00223E4D"/>
    <w:rsid w:val="00233118"/>
    <w:rsid w:val="00236BF6"/>
    <w:rsid w:val="00240BCB"/>
    <w:rsid w:val="002477AD"/>
    <w:rsid w:val="00247822"/>
    <w:rsid w:val="0025486D"/>
    <w:rsid w:val="00256A9C"/>
    <w:rsid w:val="002758B4"/>
    <w:rsid w:val="002853C4"/>
    <w:rsid w:val="002947E9"/>
    <w:rsid w:val="002A1122"/>
    <w:rsid w:val="002A649C"/>
    <w:rsid w:val="002C4262"/>
    <w:rsid w:val="002C7E1F"/>
    <w:rsid w:val="002C7E42"/>
    <w:rsid w:val="002D0569"/>
    <w:rsid w:val="002F55BB"/>
    <w:rsid w:val="002F63B7"/>
    <w:rsid w:val="003061A4"/>
    <w:rsid w:val="00313601"/>
    <w:rsid w:val="00314580"/>
    <w:rsid w:val="00321438"/>
    <w:rsid w:val="003315B1"/>
    <w:rsid w:val="00361D9E"/>
    <w:rsid w:val="00363040"/>
    <w:rsid w:val="0036539A"/>
    <w:rsid w:val="003738E2"/>
    <w:rsid w:val="00383A4B"/>
    <w:rsid w:val="003A00EA"/>
    <w:rsid w:val="003B10A2"/>
    <w:rsid w:val="003B199B"/>
    <w:rsid w:val="003B2FA2"/>
    <w:rsid w:val="003C04BF"/>
    <w:rsid w:val="003C308B"/>
    <w:rsid w:val="003D511A"/>
    <w:rsid w:val="003E6F49"/>
    <w:rsid w:val="003F4B9B"/>
    <w:rsid w:val="0040097F"/>
    <w:rsid w:val="0041671E"/>
    <w:rsid w:val="004179F5"/>
    <w:rsid w:val="0042308D"/>
    <w:rsid w:val="00426F01"/>
    <w:rsid w:val="0043130E"/>
    <w:rsid w:val="00434172"/>
    <w:rsid w:val="00436289"/>
    <w:rsid w:val="00445084"/>
    <w:rsid w:val="00453573"/>
    <w:rsid w:val="004544E5"/>
    <w:rsid w:val="004A0C8B"/>
    <w:rsid w:val="004A5AE0"/>
    <w:rsid w:val="004D4DA1"/>
    <w:rsid w:val="004D5BBC"/>
    <w:rsid w:val="004F1A15"/>
    <w:rsid w:val="004F296D"/>
    <w:rsid w:val="004F5270"/>
    <w:rsid w:val="004F76A4"/>
    <w:rsid w:val="0050308C"/>
    <w:rsid w:val="00514E61"/>
    <w:rsid w:val="005161A0"/>
    <w:rsid w:val="00516ACE"/>
    <w:rsid w:val="0052666F"/>
    <w:rsid w:val="00540366"/>
    <w:rsid w:val="00543DA5"/>
    <w:rsid w:val="00543EE7"/>
    <w:rsid w:val="00554859"/>
    <w:rsid w:val="00571632"/>
    <w:rsid w:val="0057749B"/>
    <w:rsid w:val="00585F72"/>
    <w:rsid w:val="00587402"/>
    <w:rsid w:val="00593755"/>
    <w:rsid w:val="005A05F6"/>
    <w:rsid w:val="005C3E9A"/>
    <w:rsid w:val="005D7A72"/>
    <w:rsid w:val="005E2933"/>
    <w:rsid w:val="00603E37"/>
    <w:rsid w:val="00613D61"/>
    <w:rsid w:val="00627098"/>
    <w:rsid w:val="00627F2F"/>
    <w:rsid w:val="00632855"/>
    <w:rsid w:val="00672BA8"/>
    <w:rsid w:val="00681520"/>
    <w:rsid w:val="0068477A"/>
    <w:rsid w:val="006D71FE"/>
    <w:rsid w:val="00700733"/>
    <w:rsid w:val="00707027"/>
    <w:rsid w:val="00713368"/>
    <w:rsid w:val="00725F54"/>
    <w:rsid w:val="007277C3"/>
    <w:rsid w:val="007314EB"/>
    <w:rsid w:val="007428D8"/>
    <w:rsid w:val="00742F65"/>
    <w:rsid w:val="00743A01"/>
    <w:rsid w:val="00745F6B"/>
    <w:rsid w:val="007729BE"/>
    <w:rsid w:val="007819CF"/>
    <w:rsid w:val="007841B4"/>
    <w:rsid w:val="00792C86"/>
    <w:rsid w:val="007A7F3F"/>
    <w:rsid w:val="007B1783"/>
    <w:rsid w:val="007C02A8"/>
    <w:rsid w:val="007C62CA"/>
    <w:rsid w:val="007E2AF4"/>
    <w:rsid w:val="00815112"/>
    <w:rsid w:val="00824F8D"/>
    <w:rsid w:val="008251DA"/>
    <w:rsid w:val="00830D7C"/>
    <w:rsid w:val="00837A2F"/>
    <w:rsid w:val="00844C1D"/>
    <w:rsid w:val="00844FE0"/>
    <w:rsid w:val="00855CCC"/>
    <w:rsid w:val="00861AE8"/>
    <w:rsid w:val="00871ACC"/>
    <w:rsid w:val="0088771D"/>
    <w:rsid w:val="00896497"/>
    <w:rsid w:val="00897125"/>
    <w:rsid w:val="008A1A21"/>
    <w:rsid w:val="008A1B32"/>
    <w:rsid w:val="008A405B"/>
    <w:rsid w:val="008A6DD5"/>
    <w:rsid w:val="008B1A25"/>
    <w:rsid w:val="008B2CDE"/>
    <w:rsid w:val="008C09AD"/>
    <w:rsid w:val="008C09E0"/>
    <w:rsid w:val="00901EFD"/>
    <w:rsid w:val="0095749D"/>
    <w:rsid w:val="009621F9"/>
    <w:rsid w:val="009656EB"/>
    <w:rsid w:val="00972237"/>
    <w:rsid w:val="009827FB"/>
    <w:rsid w:val="00983B40"/>
    <w:rsid w:val="00983C40"/>
    <w:rsid w:val="009A3ACB"/>
    <w:rsid w:val="009A45E7"/>
    <w:rsid w:val="009B450E"/>
    <w:rsid w:val="009B6C8D"/>
    <w:rsid w:val="009C365A"/>
    <w:rsid w:val="009C7A5F"/>
    <w:rsid w:val="009D6D38"/>
    <w:rsid w:val="009F491C"/>
    <w:rsid w:val="00A01451"/>
    <w:rsid w:val="00A01C0C"/>
    <w:rsid w:val="00A020AC"/>
    <w:rsid w:val="00A13999"/>
    <w:rsid w:val="00A17514"/>
    <w:rsid w:val="00A21804"/>
    <w:rsid w:val="00A3226B"/>
    <w:rsid w:val="00A4295F"/>
    <w:rsid w:val="00A74D08"/>
    <w:rsid w:val="00A763B1"/>
    <w:rsid w:val="00A901E4"/>
    <w:rsid w:val="00AA2ED1"/>
    <w:rsid w:val="00AC0F24"/>
    <w:rsid w:val="00AC3225"/>
    <w:rsid w:val="00AC4295"/>
    <w:rsid w:val="00AD4FB8"/>
    <w:rsid w:val="00AD6ADB"/>
    <w:rsid w:val="00AE3A0A"/>
    <w:rsid w:val="00B05E34"/>
    <w:rsid w:val="00B106A7"/>
    <w:rsid w:val="00B112BB"/>
    <w:rsid w:val="00B1208A"/>
    <w:rsid w:val="00B361E3"/>
    <w:rsid w:val="00B41A89"/>
    <w:rsid w:val="00B53798"/>
    <w:rsid w:val="00B621A4"/>
    <w:rsid w:val="00BB64C2"/>
    <w:rsid w:val="00BC281F"/>
    <w:rsid w:val="00BC42C0"/>
    <w:rsid w:val="00BD2632"/>
    <w:rsid w:val="00BD46A5"/>
    <w:rsid w:val="00BD5CE1"/>
    <w:rsid w:val="00C06B3B"/>
    <w:rsid w:val="00C1287C"/>
    <w:rsid w:val="00C147D7"/>
    <w:rsid w:val="00C14C1E"/>
    <w:rsid w:val="00C266EE"/>
    <w:rsid w:val="00C3092E"/>
    <w:rsid w:val="00C373C5"/>
    <w:rsid w:val="00C52E7B"/>
    <w:rsid w:val="00C53817"/>
    <w:rsid w:val="00C656AE"/>
    <w:rsid w:val="00C723F1"/>
    <w:rsid w:val="00C851F3"/>
    <w:rsid w:val="00C86470"/>
    <w:rsid w:val="00C91ADA"/>
    <w:rsid w:val="00CA5FB6"/>
    <w:rsid w:val="00CA7CB0"/>
    <w:rsid w:val="00CB49A2"/>
    <w:rsid w:val="00CB5A3E"/>
    <w:rsid w:val="00CC3A1D"/>
    <w:rsid w:val="00CC43CE"/>
    <w:rsid w:val="00CD1636"/>
    <w:rsid w:val="00CD30C7"/>
    <w:rsid w:val="00CF3D11"/>
    <w:rsid w:val="00D16632"/>
    <w:rsid w:val="00D27F3F"/>
    <w:rsid w:val="00D523CA"/>
    <w:rsid w:val="00D573DF"/>
    <w:rsid w:val="00D63EC4"/>
    <w:rsid w:val="00D715DD"/>
    <w:rsid w:val="00D82A45"/>
    <w:rsid w:val="00DC4FFF"/>
    <w:rsid w:val="00E03F1F"/>
    <w:rsid w:val="00E0755C"/>
    <w:rsid w:val="00E233D3"/>
    <w:rsid w:val="00E25672"/>
    <w:rsid w:val="00E3082E"/>
    <w:rsid w:val="00E33AA7"/>
    <w:rsid w:val="00E3429F"/>
    <w:rsid w:val="00E363CC"/>
    <w:rsid w:val="00E37484"/>
    <w:rsid w:val="00E47BE6"/>
    <w:rsid w:val="00E505E1"/>
    <w:rsid w:val="00E52166"/>
    <w:rsid w:val="00E57768"/>
    <w:rsid w:val="00E76AB0"/>
    <w:rsid w:val="00E76ACA"/>
    <w:rsid w:val="00E93C39"/>
    <w:rsid w:val="00EB2A6F"/>
    <w:rsid w:val="00EB7401"/>
    <w:rsid w:val="00EC38E1"/>
    <w:rsid w:val="00ED42B1"/>
    <w:rsid w:val="00ED5CCB"/>
    <w:rsid w:val="00EE3322"/>
    <w:rsid w:val="00EE689B"/>
    <w:rsid w:val="00EF071B"/>
    <w:rsid w:val="00EF3F09"/>
    <w:rsid w:val="00F021ED"/>
    <w:rsid w:val="00F14A0C"/>
    <w:rsid w:val="00F34619"/>
    <w:rsid w:val="00F41F14"/>
    <w:rsid w:val="00F44590"/>
    <w:rsid w:val="00F53159"/>
    <w:rsid w:val="00F75C4D"/>
    <w:rsid w:val="00F863BC"/>
    <w:rsid w:val="00F8651B"/>
    <w:rsid w:val="00F92140"/>
    <w:rsid w:val="00FA10B2"/>
    <w:rsid w:val="00FC1B8C"/>
    <w:rsid w:val="00FE3C05"/>
    <w:rsid w:val="00FE4469"/>
    <w:rsid w:val="00FE4A82"/>
    <w:rsid w:val="00FF2765"/>
    <w:rsid w:val="00FF523C"/>
    <w:rsid w:val="01421985"/>
    <w:rsid w:val="02B1502F"/>
    <w:rsid w:val="03382BB9"/>
    <w:rsid w:val="035D6068"/>
    <w:rsid w:val="03BE185C"/>
    <w:rsid w:val="044D5371"/>
    <w:rsid w:val="04C73911"/>
    <w:rsid w:val="04EC1F40"/>
    <w:rsid w:val="05E05B16"/>
    <w:rsid w:val="064422CE"/>
    <w:rsid w:val="079629B2"/>
    <w:rsid w:val="07D0116B"/>
    <w:rsid w:val="08990A01"/>
    <w:rsid w:val="09445723"/>
    <w:rsid w:val="097460D8"/>
    <w:rsid w:val="098E4DDC"/>
    <w:rsid w:val="0AA028BE"/>
    <w:rsid w:val="0B3E48F6"/>
    <w:rsid w:val="0B9E1D53"/>
    <w:rsid w:val="0BFD70A2"/>
    <w:rsid w:val="0D4C6619"/>
    <w:rsid w:val="0DBB4974"/>
    <w:rsid w:val="0F3444E7"/>
    <w:rsid w:val="0F3821CE"/>
    <w:rsid w:val="0F3F7243"/>
    <w:rsid w:val="0F5609D2"/>
    <w:rsid w:val="10244F34"/>
    <w:rsid w:val="11297F69"/>
    <w:rsid w:val="12A95CFF"/>
    <w:rsid w:val="136A7FCD"/>
    <w:rsid w:val="13E448C7"/>
    <w:rsid w:val="148656B2"/>
    <w:rsid w:val="14B62AB7"/>
    <w:rsid w:val="157647FD"/>
    <w:rsid w:val="16560ABA"/>
    <w:rsid w:val="1675212F"/>
    <w:rsid w:val="171D3F0E"/>
    <w:rsid w:val="175309A6"/>
    <w:rsid w:val="17DC578F"/>
    <w:rsid w:val="18702E8D"/>
    <w:rsid w:val="189F1A11"/>
    <w:rsid w:val="18C837BA"/>
    <w:rsid w:val="1B4305BA"/>
    <w:rsid w:val="1BFC6B7E"/>
    <w:rsid w:val="1CA71D5E"/>
    <w:rsid w:val="1D703700"/>
    <w:rsid w:val="1EB437AE"/>
    <w:rsid w:val="1EDA0E63"/>
    <w:rsid w:val="1FD8515A"/>
    <w:rsid w:val="20B76271"/>
    <w:rsid w:val="213C016F"/>
    <w:rsid w:val="21835D70"/>
    <w:rsid w:val="22A9525C"/>
    <w:rsid w:val="22BA3490"/>
    <w:rsid w:val="23A00FF2"/>
    <w:rsid w:val="24E765EA"/>
    <w:rsid w:val="26485E7F"/>
    <w:rsid w:val="270548DF"/>
    <w:rsid w:val="279A7A25"/>
    <w:rsid w:val="27E01F07"/>
    <w:rsid w:val="280C7D11"/>
    <w:rsid w:val="28E77385"/>
    <w:rsid w:val="29407343"/>
    <w:rsid w:val="29B41942"/>
    <w:rsid w:val="2A197609"/>
    <w:rsid w:val="2A6A124F"/>
    <w:rsid w:val="2CC83B8D"/>
    <w:rsid w:val="2D015201"/>
    <w:rsid w:val="2DB9672F"/>
    <w:rsid w:val="2E140668"/>
    <w:rsid w:val="2E1937F7"/>
    <w:rsid w:val="2FC26C59"/>
    <w:rsid w:val="301772FA"/>
    <w:rsid w:val="31C53F27"/>
    <w:rsid w:val="31E652E1"/>
    <w:rsid w:val="32592C88"/>
    <w:rsid w:val="32877E00"/>
    <w:rsid w:val="330C763F"/>
    <w:rsid w:val="33D56987"/>
    <w:rsid w:val="34B850AF"/>
    <w:rsid w:val="34D21F6C"/>
    <w:rsid w:val="355A0B35"/>
    <w:rsid w:val="357F78B5"/>
    <w:rsid w:val="35C05806"/>
    <w:rsid w:val="35CF3BDD"/>
    <w:rsid w:val="35FB2598"/>
    <w:rsid w:val="360D6F99"/>
    <w:rsid w:val="3648628C"/>
    <w:rsid w:val="36B33DB6"/>
    <w:rsid w:val="37F62DA1"/>
    <w:rsid w:val="3863626E"/>
    <w:rsid w:val="38726B14"/>
    <w:rsid w:val="39CE4BAC"/>
    <w:rsid w:val="3E0713D5"/>
    <w:rsid w:val="3E4F72AE"/>
    <w:rsid w:val="3ED5085F"/>
    <w:rsid w:val="3EF66B94"/>
    <w:rsid w:val="3F225016"/>
    <w:rsid w:val="3F2519CF"/>
    <w:rsid w:val="3F5A07D3"/>
    <w:rsid w:val="3F7A0D26"/>
    <w:rsid w:val="40012B78"/>
    <w:rsid w:val="40811A04"/>
    <w:rsid w:val="40C574B0"/>
    <w:rsid w:val="420462DD"/>
    <w:rsid w:val="432353A4"/>
    <w:rsid w:val="44753C46"/>
    <w:rsid w:val="4678507D"/>
    <w:rsid w:val="46C10AEE"/>
    <w:rsid w:val="46E42955"/>
    <w:rsid w:val="4740747D"/>
    <w:rsid w:val="47D76D09"/>
    <w:rsid w:val="48460BD4"/>
    <w:rsid w:val="48DD2F81"/>
    <w:rsid w:val="49C013EB"/>
    <w:rsid w:val="4A1D18AC"/>
    <w:rsid w:val="4A886445"/>
    <w:rsid w:val="4B33415E"/>
    <w:rsid w:val="4B9E7576"/>
    <w:rsid w:val="4BCE4C57"/>
    <w:rsid w:val="4C473B5C"/>
    <w:rsid w:val="4C52195B"/>
    <w:rsid w:val="4D7848A2"/>
    <w:rsid w:val="4E043E5D"/>
    <w:rsid w:val="50202421"/>
    <w:rsid w:val="50A70C7B"/>
    <w:rsid w:val="5193061B"/>
    <w:rsid w:val="52A4168D"/>
    <w:rsid w:val="5557480B"/>
    <w:rsid w:val="55EC0126"/>
    <w:rsid w:val="576E2576"/>
    <w:rsid w:val="57C615F7"/>
    <w:rsid w:val="58D66BF2"/>
    <w:rsid w:val="59BF1913"/>
    <w:rsid w:val="5A555A66"/>
    <w:rsid w:val="5AA60480"/>
    <w:rsid w:val="5AC44FB4"/>
    <w:rsid w:val="5B2855EE"/>
    <w:rsid w:val="5B3D0630"/>
    <w:rsid w:val="5BAD55B3"/>
    <w:rsid w:val="5BB563D5"/>
    <w:rsid w:val="5C665939"/>
    <w:rsid w:val="5D287F70"/>
    <w:rsid w:val="5E44746B"/>
    <w:rsid w:val="5E4B3A0C"/>
    <w:rsid w:val="60222649"/>
    <w:rsid w:val="61BF22B1"/>
    <w:rsid w:val="627B1F67"/>
    <w:rsid w:val="62E00E6F"/>
    <w:rsid w:val="63960DAA"/>
    <w:rsid w:val="64904EA5"/>
    <w:rsid w:val="65233C6E"/>
    <w:rsid w:val="658F1466"/>
    <w:rsid w:val="65F01CCB"/>
    <w:rsid w:val="66173353"/>
    <w:rsid w:val="66975A5A"/>
    <w:rsid w:val="678054C5"/>
    <w:rsid w:val="67CE2B39"/>
    <w:rsid w:val="69207CA6"/>
    <w:rsid w:val="6AE67665"/>
    <w:rsid w:val="6B1B2899"/>
    <w:rsid w:val="6B9C5289"/>
    <w:rsid w:val="6C570FC0"/>
    <w:rsid w:val="6C800528"/>
    <w:rsid w:val="6CA43E69"/>
    <w:rsid w:val="6DFB52A0"/>
    <w:rsid w:val="71E71CBD"/>
    <w:rsid w:val="7211500E"/>
    <w:rsid w:val="72364B5C"/>
    <w:rsid w:val="7249173A"/>
    <w:rsid w:val="72FA1770"/>
    <w:rsid w:val="73382BDE"/>
    <w:rsid w:val="74862DDB"/>
    <w:rsid w:val="74D6393F"/>
    <w:rsid w:val="75A6486C"/>
    <w:rsid w:val="75D27663"/>
    <w:rsid w:val="75DD1DF4"/>
    <w:rsid w:val="7619159C"/>
    <w:rsid w:val="771019C9"/>
    <w:rsid w:val="77150CEF"/>
    <w:rsid w:val="7846221B"/>
    <w:rsid w:val="79B4298D"/>
    <w:rsid w:val="79F2056F"/>
    <w:rsid w:val="7AA162AF"/>
    <w:rsid w:val="7BA85BC2"/>
    <w:rsid w:val="7C232193"/>
    <w:rsid w:val="7C696E11"/>
    <w:rsid w:val="7C84656F"/>
    <w:rsid w:val="7D7C5B90"/>
    <w:rsid w:val="7E455322"/>
    <w:rsid w:val="7F0F3F28"/>
    <w:rsid w:val="7FA57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adjustRightInd w:val="0"/>
      <w:spacing w:line="360" w:lineRule="atLeast"/>
      <w:ind w:left="425" w:right="-24" w:hanging="425"/>
      <w:jc w:val="left"/>
      <w:outlineLvl w:val="0"/>
    </w:pPr>
    <w:rPr>
      <w:b/>
      <w:kern w:val="0"/>
    </w:rPr>
  </w:style>
  <w:style w:type="paragraph" w:styleId="3">
    <w:name w:val="heading 2"/>
    <w:basedOn w:val="2"/>
    <w:next w:val="1"/>
    <w:link w:val="63"/>
    <w:qFormat/>
    <w:uiPriority w:val="0"/>
    <w:pPr>
      <w:ind w:right="0"/>
      <w:outlineLvl w:val="1"/>
    </w:pPr>
  </w:style>
  <w:style w:type="paragraph" w:styleId="4">
    <w:name w:val="heading 3"/>
    <w:basedOn w:val="1"/>
    <w:next w:val="1"/>
    <w:link w:val="64"/>
    <w:qFormat/>
    <w:uiPriority w:val="0"/>
    <w:pPr>
      <w:adjustRightInd w:val="0"/>
      <w:spacing w:line="360" w:lineRule="atLeast"/>
      <w:ind w:right="-24"/>
      <w:jc w:val="left"/>
      <w:outlineLvl w:val="2"/>
    </w:pPr>
    <w:rPr>
      <w:kern w:val="0"/>
    </w:rPr>
  </w:style>
  <w:style w:type="paragraph" w:styleId="5">
    <w:name w:val="heading 4"/>
    <w:basedOn w:val="1"/>
    <w:next w:val="1"/>
    <w:link w:val="57"/>
    <w:qFormat/>
    <w:uiPriority w:val="0"/>
    <w:pPr>
      <w:widowControl/>
      <w:adjustRightInd w:val="0"/>
      <w:jc w:val="left"/>
      <w:outlineLvl w:val="3"/>
    </w:pPr>
    <w:rPr>
      <w:kern w:val="0"/>
    </w:rPr>
  </w:style>
  <w:style w:type="paragraph" w:styleId="6">
    <w:name w:val="heading 5"/>
    <w:basedOn w:val="5"/>
    <w:next w:val="1"/>
    <w:link w:val="56"/>
    <w:qFormat/>
    <w:uiPriority w:val="0"/>
    <w:pPr>
      <w:spacing w:line="360" w:lineRule="exact"/>
      <w:outlineLvl w:val="4"/>
    </w:p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Calibri" w:hAnsi="Calibri"/>
      <w:sz w:val="20"/>
    </w:rPr>
  </w:style>
  <w:style w:type="paragraph" w:styleId="8">
    <w:name w:val="index 8"/>
    <w:basedOn w:val="1"/>
    <w:next w:val="1"/>
    <w:qFormat/>
    <w:uiPriority w:val="0"/>
    <w:pPr>
      <w:ind w:left="1680" w:hanging="210"/>
      <w:jc w:val="left"/>
    </w:pPr>
    <w:rPr>
      <w:rFonts w:ascii="Calibri" w:hAnsi="Calibri"/>
      <w:sz w:val="20"/>
    </w:rPr>
  </w:style>
  <w:style w:type="paragraph" w:styleId="9">
    <w:name w:val="caption"/>
    <w:basedOn w:val="1"/>
    <w:next w:val="1"/>
    <w:qFormat/>
    <w:uiPriority w:val="0"/>
    <w:pPr>
      <w:spacing w:before="152" w:after="160"/>
    </w:pPr>
    <w:rPr>
      <w:rFonts w:ascii="Arial" w:hAnsi="Arial" w:eastAsia="黑体" w:cs="Arial"/>
      <w:sz w:val="20"/>
    </w:rPr>
  </w:style>
  <w:style w:type="paragraph" w:styleId="10">
    <w:name w:val="index 5"/>
    <w:basedOn w:val="1"/>
    <w:next w:val="1"/>
    <w:qFormat/>
    <w:uiPriority w:val="0"/>
    <w:pPr>
      <w:ind w:left="1050" w:hanging="210"/>
      <w:jc w:val="left"/>
    </w:pPr>
    <w:rPr>
      <w:rFonts w:ascii="Calibri" w:hAnsi="Calibri"/>
      <w:sz w:val="20"/>
    </w:rPr>
  </w:style>
  <w:style w:type="paragraph" w:styleId="11">
    <w:name w:val="Document Map"/>
    <w:basedOn w:val="1"/>
    <w:link w:val="54"/>
    <w:qFormat/>
    <w:uiPriority w:val="0"/>
    <w:rPr>
      <w:rFonts w:ascii="宋体"/>
      <w:sz w:val="18"/>
    </w:rPr>
  </w:style>
  <w:style w:type="paragraph" w:styleId="12">
    <w:name w:val="annotation text"/>
    <w:basedOn w:val="1"/>
    <w:link w:val="53"/>
    <w:qFormat/>
    <w:uiPriority w:val="0"/>
  </w:style>
  <w:style w:type="paragraph" w:styleId="13">
    <w:name w:val="index 6"/>
    <w:basedOn w:val="1"/>
    <w:next w:val="1"/>
    <w:qFormat/>
    <w:uiPriority w:val="0"/>
    <w:pPr>
      <w:ind w:left="1260" w:hanging="210"/>
      <w:jc w:val="left"/>
    </w:pPr>
    <w:rPr>
      <w:rFonts w:ascii="Calibri" w:hAnsi="Calibri"/>
      <w:sz w:val="20"/>
    </w:rPr>
  </w:style>
  <w:style w:type="paragraph" w:styleId="14">
    <w:name w:val="Body Text"/>
    <w:basedOn w:val="1"/>
    <w:semiHidden/>
    <w:unhideWhenUsed/>
    <w:qFormat/>
    <w:uiPriority w:val="99"/>
    <w:pPr>
      <w:spacing w:after="120"/>
    </w:pPr>
  </w:style>
  <w:style w:type="paragraph" w:styleId="15">
    <w:name w:val="index 4"/>
    <w:basedOn w:val="1"/>
    <w:next w:val="1"/>
    <w:qFormat/>
    <w:uiPriority w:val="0"/>
    <w:pPr>
      <w:ind w:left="840" w:hanging="210"/>
      <w:jc w:val="left"/>
    </w:pPr>
    <w:rPr>
      <w:rFonts w:ascii="Calibri" w:hAnsi="Calibri"/>
      <w:sz w:val="20"/>
    </w:rPr>
  </w:style>
  <w:style w:type="paragraph" w:styleId="16">
    <w:name w:val="toc 5"/>
    <w:basedOn w:val="1"/>
    <w:next w:val="1"/>
    <w:qFormat/>
    <w:uiPriority w:val="0"/>
    <w:pPr>
      <w:ind w:left="840"/>
      <w:jc w:val="left"/>
    </w:pPr>
    <w:rPr>
      <w:rFonts w:ascii="Calibri" w:hAnsi="Calibri"/>
      <w:sz w:val="20"/>
    </w:rPr>
  </w:style>
  <w:style w:type="paragraph" w:styleId="17">
    <w:name w:val="toc 3"/>
    <w:basedOn w:val="18"/>
    <w:next w:val="1"/>
    <w:qFormat/>
    <w:uiPriority w:val="39"/>
    <w:pPr>
      <w:tabs>
        <w:tab w:val="right" w:leader="dot" w:pos="9344"/>
      </w:tabs>
      <w:ind w:left="420"/>
      <w:jc w:val="left"/>
    </w:pPr>
    <w:rPr>
      <w:rFonts w:ascii="Calibri" w:hAnsi="Calibri"/>
      <w:sz w:val="20"/>
    </w:rPr>
  </w:style>
  <w:style w:type="paragraph" w:styleId="18">
    <w:name w:val="toc 2"/>
    <w:basedOn w:val="19"/>
    <w:next w:val="1"/>
    <w:qFormat/>
    <w:uiPriority w:val="39"/>
    <w:pPr>
      <w:tabs>
        <w:tab w:val="right" w:leader="dot" w:pos="9344"/>
      </w:tabs>
      <w:spacing w:before="120"/>
      <w:ind w:left="210"/>
      <w:jc w:val="left"/>
    </w:pPr>
    <w:rPr>
      <w:rFonts w:ascii="Calibri" w:hAnsi="Calibri"/>
      <w:i/>
      <w:sz w:val="20"/>
    </w:rPr>
  </w:style>
  <w:style w:type="paragraph" w:styleId="19">
    <w:name w:val="toc 1"/>
    <w:basedOn w:val="1"/>
    <w:next w:val="1"/>
    <w:link w:val="65"/>
    <w:qFormat/>
    <w:uiPriority w:val="0"/>
    <w:pPr>
      <w:spacing w:before="240" w:after="120"/>
      <w:jc w:val="left"/>
    </w:pPr>
    <w:rPr>
      <w:rFonts w:ascii="Calibri" w:hAnsi="Calibri"/>
    </w:rPr>
  </w:style>
  <w:style w:type="paragraph" w:styleId="20">
    <w:name w:val="Plain Text"/>
    <w:basedOn w:val="1"/>
    <w:link w:val="173"/>
    <w:qFormat/>
    <w:uiPriority w:val="0"/>
    <w:rPr>
      <w:rFonts w:ascii="宋体" w:hAnsi="Courier New"/>
    </w:rPr>
  </w:style>
  <w:style w:type="paragraph" w:styleId="21">
    <w:name w:val="toc 8"/>
    <w:basedOn w:val="1"/>
    <w:next w:val="1"/>
    <w:qFormat/>
    <w:uiPriority w:val="0"/>
    <w:pPr>
      <w:ind w:left="1470"/>
      <w:jc w:val="left"/>
    </w:pPr>
    <w:rPr>
      <w:rFonts w:ascii="Calibri" w:hAnsi="Calibri"/>
      <w:sz w:val="20"/>
    </w:rPr>
  </w:style>
  <w:style w:type="paragraph" w:styleId="22">
    <w:name w:val="index 3"/>
    <w:basedOn w:val="1"/>
    <w:next w:val="1"/>
    <w:qFormat/>
    <w:uiPriority w:val="0"/>
    <w:pPr>
      <w:ind w:left="630" w:hanging="210"/>
      <w:jc w:val="left"/>
    </w:pPr>
    <w:rPr>
      <w:rFonts w:ascii="Calibri" w:hAnsi="Calibri"/>
      <w:sz w:val="20"/>
    </w:rPr>
  </w:style>
  <w:style w:type="paragraph" w:styleId="23">
    <w:name w:val="Date"/>
    <w:basedOn w:val="1"/>
    <w:next w:val="1"/>
    <w:link w:val="59"/>
    <w:qFormat/>
    <w:uiPriority w:val="0"/>
    <w:pPr>
      <w:ind w:left="100" w:leftChars="2500"/>
    </w:pPr>
  </w:style>
  <w:style w:type="paragraph" w:styleId="24">
    <w:name w:val="Body Text Indent 2"/>
    <w:basedOn w:val="1"/>
    <w:link w:val="67"/>
    <w:qFormat/>
    <w:uiPriority w:val="0"/>
    <w:pPr>
      <w:ind w:firstLine="425"/>
    </w:pPr>
    <w:rPr>
      <w:spacing w:val="10"/>
    </w:rPr>
  </w:style>
  <w:style w:type="paragraph" w:styleId="25">
    <w:name w:val="endnote text"/>
    <w:basedOn w:val="1"/>
    <w:link w:val="160"/>
    <w:semiHidden/>
    <w:qFormat/>
    <w:uiPriority w:val="0"/>
    <w:pPr>
      <w:snapToGrid w:val="0"/>
      <w:jc w:val="left"/>
    </w:pPr>
    <w:rPr>
      <w:szCs w:val="24"/>
    </w:rPr>
  </w:style>
  <w:style w:type="paragraph" w:styleId="26">
    <w:name w:val="Balloon Text"/>
    <w:basedOn w:val="1"/>
    <w:link w:val="60"/>
    <w:qFormat/>
    <w:uiPriority w:val="0"/>
    <w:rPr>
      <w:sz w:val="18"/>
    </w:rPr>
  </w:style>
  <w:style w:type="paragraph" w:styleId="27">
    <w:name w:val="footer"/>
    <w:basedOn w:val="1"/>
    <w:link w:val="66"/>
    <w:qFormat/>
    <w:uiPriority w:val="0"/>
    <w:pPr>
      <w:tabs>
        <w:tab w:val="center" w:pos="4153"/>
        <w:tab w:val="right" w:pos="8306"/>
      </w:tabs>
      <w:snapToGrid w:val="0"/>
    </w:pPr>
    <w:rPr>
      <w:sz w:val="18"/>
    </w:rPr>
  </w:style>
  <w:style w:type="paragraph" w:styleId="28">
    <w:name w:val="header"/>
    <w:basedOn w:val="1"/>
    <w:link w:val="62"/>
    <w:qFormat/>
    <w:uiPriority w:val="99"/>
    <w:pPr>
      <w:pBdr>
        <w:bottom w:val="single" w:color="auto" w:sz="6" w:space="1"/>
      </w:pBdr>
      <w:tabs>
        <w:tab w:val="center" w:pos="4153"/>
        <w:tab w:val="right" w:pos="8306"/>
      </w:tabs>
      <w:snapToGrid w:val="0"/>
    </w:pPr>
    <w:rPr>
      <w:sz w:val="18"/>
    </w:rPr>
  </w:style>
  <w:style w:type="paragraph" w:styleId="29">
    <w:name w:val="toc 4"/>
    <w:basedOn w:val="1"/>
    <w:next w:val="1"/>
    <w:qFormat/>
    <w:uiPriority w:val="0"/>
    <w:pPr>
      <w:ind w:left="630"/>
      <w:jc w:val="left"/>
    </w:pPr>
    <w:rPr>
      <w:rFonts w:ascii="Calibri" w:hAnsi="Calibri"/>
      <w:sz w:val="20"/>
    </w:rPr>
  </w:style>
  <w:style w:type="paragraph" w:styleId="30">
    <w:name w:val="index heading"/>
    <w:basedOn w:val="1"/>
    <w:next w:val="31"/>
    <w:qFormat/>
    <w:uiPriority w:val="0"/>
    <w:pPr>
      <w:spacing w:before="120" w:after="120"/>
      <w:jc w:val="center"/>
    </w:pPr>
    <w:rPr>
      <w:rFonts w:ascii="Calibri" w:hAnsi="Calibri"/>
      <w:b/>
      <w:bCs/>
      <w:iCs/>
    </w:rPr>
  </w:style>
  <w:style w:type="paragraph" w:styleId="31">
    <w:name w:val="index 1"/>
    <w:basedOn w:val="1"/>
    <w:next w:val="32"/>
    <w:qFormat/>
    <w:uiPriority w:val="0"/>
    <w:pPr>
      <w:tabs>
        <w:tab w:val="right" w:leader="dot" w:pos="9299"/>
      </w:tabs>
      <w:jc w:val="left"/>
    </w:pPr>
    <w:rPr>
      <w:rFonts w:ascii="宋体"/>
      <w:szCs w:val="21"/>
    </w:rPr>
  </w:style>
  <w:style w:type="paragraph" w:customStyle="1" w:styleId="32">
    <w:name w:val="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3">
    <w:name w:val="Subtitle"/>
    <w:basedOn w:val="1"/>
    <w:next w:val="1"/>
    <w:link w:val="58"/>
    <w:qFormat/>
    <w:uiPriority w:val="0"/>
    <w:pPr>
      <w:spacing w:before="240" w:after="60" w:line="312" w:lineRule="auto"/>
      <w:jc w:val="center"/>
      <w:outlineLvl w:val="1"/>
    </w:pPr>
    <w:rPr>
      <w:rFonts w:ascii="Cambria" w:hAnsi="Cambria"/>
      <w:b/>
      <w:kern w:val="28"/>
      <w:sz w:val="32"/>
    </w:rPr>
  </w:style>
  <w:style w:type="paragraph" w:styleId="34">
    <w:name w:val="footnote text"/>
    <w:basedOn w:val="1"/>
    <w:link w:val="144"/>
    <w:qFormat/>
    <w:uiPriority w:val="0"/>
    <w:pPr>
      <w:numPr>
        <w:ilvl w:val="0"/>
        <w:numId w:val="1"/>
      </w:numPr>
      <w:snapToGrid w:val="0"/>
      <w:jc w:val="left"/>
    </w:pPr>
    <w:rPr>
      <w:rFonts w:ascii="宋体"/>
      <w:sz w:val="18"/>
      <w:szCs w:val="18"/>
    </w:rPr>
  </w:style>
  <w:style w:type="paragraph" w:styleId="35">
    <w:name w:val="toc 6"/>
    <w:basedOn w:val="1"/>
    <w:next w:val="1"/>
    <w:qFormat/>
    <w:uiPriority w:val="0"/>
    <w:pPr>
      <w:ind w:left="1050"/>
      <w:jc w:val="left"/>
    </w:pPr>
    <w:rPr>
      <w:rFonts w:ascii="Calibri" w:hAnsi="Calibri"/>
      <w:sz w:val="20"/>
    </w:rPr>
  </w:style>
  <w:style w:type="paragraph" w:styleId="36">
    <w:name w:val="index 7"/>
    <w:basedOn w:val="1"/>
    <w:next w:val="1"/>
    <w:qFormat/>
    <w:uiPriority w:val="0"/>
    <w:pPr>
      <w:ind w:left="1470" w:hanging="210"/>
      <w:jc w:val="left"/>
    </w:pPr>
    <w:rPr>
      <w:rFonts w:ascii="Calibri" w:hAnsi="Calibri"/>
      <w:sz w:val="20"/>
    </w:rPr>
  </w:style>
  <w:style w:type="paragraph" w:styleId="37">
    <w:name w:val="index 9"/>
    <w:basedOn w:val="1"/>
    <w:next w:val="1"/>
    <w:qFormat/>
    <w:uiPriority w:val="0"/>
    <w:pPr>
      <w:ind w:left="1890" w:hanging="210"/>
      <w:jc w:val="left"/>
    </w:pPr>
    <w:rPr>
      <w:rFonts w:ascii="Calibri" w:hAnsi="Calibri"/>
      <w:sz w:val="20"/>
    </w:rPr>
  </w:style>
  <w:style w:type="paragraph" w:styleId="38">
    <w:name w:val="toc 9"/>
    <w:basedOn w:val="1"/>
    <w:next w:val="1"/>
    <w:qFormat/>
    <w:uiPriority w:val="0"/>
    <w:pPr>
      <w:ind w:left="1680"/>
      <w:jc w:val="left"/>
    </w:pPr>
    <w:rPr>
      <w:rFonts w:ascii="Calibri" w:hAnsi="Calibri"/>
      <w:sz w:val="20"/>
    </w:rPr>
  </w:style>
  <w:style w:type="paragraph" w:styleId="39">
    <w:name w:val="Normal (Web)"/>
    <w:basedOn w:val="1"/>
    <w:qFormat/>
    <w:uiPriority w:val="99"/>
    <w:pPr>
      <w:widowControl/>
      <w:spacing w:before="100" w:beforeAutospacing="1" w:after="100" w:afterAutospacing="1"/>
    </w:pPr>
    <w:rPr>
      <w:rFonts w:ascii="宋体" w:hAnsi="宋体"/>
      <w:kern w:val="0"/>
      <w:sz w:val="24"/>
    </w:rPr>
  </w:style>
  <w:style w:type="paragraph" w:styleId="40">
    <w:name w:val="index 2"/>
    <w:basedOn w:val="1"/>
    <w:next w:val="1"/>
    <w:qFormat/>
    <w:uiPriority w:val="0"/>
    <w:pPr>
      <w:ind w:left="420" w:hanging="210"/>
      <w:jc w:val="left"/>
    </w:pPr>
    <w:rPr>
      <w:rFonts w:ascii="Calibri" w:hAnsi="Calibri"/>
      <w:sz w:val="20"/>
    </w:rPr>
  </w:style>
  <w:style w:type="paragraph" w:styleId="41">
    <w:name w:val="annotation subject"/>
    <w:basedOn w:val="12"/>
    <w:next w:val="12"/>
    <w:link w:val="61"/>
    <w:qFormat/>
    <w:uiPriority w:val="0"/>
    <w:rPr>
      <w:b/>
    </w:rPr>
  </w:style>
  <w:style w:type="table" w:styleId="43">
    <w:name w:val="Table Grid"/>
    <w:basedOn w:val="42"/>
    <w:qFormat/>
    <w:uiPriority w:val="0"/>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Table Theme"/>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rPr>
  </w:style>
  <w:style w:type="character" w:styleId="47">
    <w:name w:val="endnote reference"/>
    <w:semiHidden/>
    <w:qFormat/>
    <w:uiPriority w:val="0"/>
    <w:rPr>
      <w:vertAlign w:val="superscript"/>
    </w:rPr>
  </w:style>
  <w:style w:type="character" w:styleId="48">
    <w:name w:val="page number"/>
    <w:basedOn w:val="45"/>
    <w:qFormat/>
    <w:uiPriority w:val="0"/>
    <w:rPr>
      <w:rFonts w:ascii="Times New Roman" w:hAnsi="Times New Roman" w:eastAsia="宋体"/>
      <w:sz w:val="18"/>
    </w:rPr>
  </w:style>
  <w:style w:type="character" w:styleId="49">
    <w:name w:val="FollowedHyperlink"/>
    <w:qFormat/>
    <w:uiPriority w:val="0"/>
    <w:rPr>
      <w:color w:val="800080"/>
      <w:u w:val="single"/>
    </w:rPr>
  </w:style>
  <w:style w:type="character" w:styleId="50">
    <w:name w:val="Hyperlink"/>
    <w:qFormat/>
    <w:uiPriority w:val="99"/>
    <w:rPr>
      <w:rFonts w:hint="default" w:ascii="[%=fontname%]" w:hAnsi="[%=fontname%]"/>
      <w:color w:val="000080"/>
      <w:sz w:val="18"/>
      <w:u w:val="none"/>
    </w:rPr>
  </w:style>
  <w:style w:type="character" w:styleId="51">
    <w:name w:val="annotation reference"/>
    <w:qFormat/>
    <w:uiPriority w:val="0"/>
    <w:rPr>
      <w:sz w:val="21"/>
    </w:rPr>
  </w:style>
  <w:style w:type="character" w:styleId="52">
    <w:name w:val="footnote reference"/>
    <w:semiHidden/>
    <w:qFormat/>
    <w:uiPriority w:val="0"/>
    <w:rPr>
      <w:vertAlign w:val="superscript"/>
    </w:rPr>
  </w:style>
  <w:style w:type="character" w:customStyle="1" w:styleId="53">
    <w:name w:val="批注文字 字符"/>
    <w:link w:val="12"/>
    <w:qFormat/>
    <w:uiPriority w:val="0"/>
    <w:rPr>
      <w:kern w:val="2"/>
      <w:sz w:val="21"/>
    </w:rPr>
  </w:style>
  <w:style w:type="character" w:customStyle="1" w:styleId="54">
    <w:name w:val="文档结构图 字符"/>
    <w:link w:val="11"/>
    <w:qFormat/>
    <w:uiPriority w:val="0"/>
    <w:rPr>
      <w:rFonts w:ascii="宋体"/>
      <w:kern w:val="2"/>
      <w:sz w:val="18"/>
    </w:rPr>
  </w:style>
  <w:style w:type="character" w:customStyle="1" w:styleId="55">
    <w:name w:val="段 Char"/>
    <w:link w:val="32"/>
    <w:qFormat/>
    <w:uiPriority w:val="0"/>
    <w:rPr>
      <w:rFonts w:ascii="宋体"/>
      <w:sz w:val="21"/>
      <w:lang w:val="en-US" w:eastAsia="zh-CN" w:bidi="ar-SA"/>
    </w:rPr>
  </w:style>
  <w:style w:type="character" w:customStyle="1" w:styleId="56">
    <w:name w:val="标题 5 字符"/>
    <w:link w:val="6"/>
    <w:qFormat/>
    <w:uiPriority w:val="0"/>
    <w:rPr>
      <w:sz w:val="21"/>
      <w:lang w:val="en-US" w:eastAsia="zh-CN"/>
    </w:rPr>
  </w:style>
  <w:style w:type="character" w:customStyle="1" w:styleId="57">
    <w:name w:val="标题 4 字符"/>
    <w:link w:val="5"/>
    <w:qFormat/>
    <w:uiPriority w:val="0"/>
    <w:rPr>
      <w:sz w:val="21"/>
    </w:rPr>
  </w:style>
  <w:style w:type="character" w:customStyle="1" w:styleId="58">
    <w:name w:val="副标题 字符"/>
    <w:link w:val="33"/>
    <w:qFormat/>
    <w:uiPriority w:val="0"/>
    <w:rPr>
      <w:rFonts w:ascii="Cambria" w:hAnsi="Cambria"/>
      <w:b/>
      <w:kern w:val="28"/>
      <w:sz w:val="32"/>
    </w:rPr>
  </w:style>
  <w:style w:type="character" w:customStyle="1" w:styleId="59">
    <w:name w:val="日期 字符"/>
    <w:link w:val="23"/>
    <w:qFormat/>
    <w:uiPriority w:val="0"/>
    <w:rPr>
      <w:kern w:val="2"/>
      <w:sz w:val="21"/>
    </w:rPr>
  </w:style>
  <w:style w:type="character" w:customStyle="1" w:styleId="60">
    <w:name w:val="批注框文本 字符"/>
    <w:link w:val="26"/>
    <w:qFormat/>
    <w:uiPriority w:val="0"/>
    <w:rPr>
      <w:kern w:val="2"/>
      <w:sz w:val="18"/>
    </w:rPr>
  </w:style>
  <w:style w:type="character" w:customStyle="1" w:styleId="61">
    <w:name w:val="批注主题 字符"/>
    <w:link w:val="41"/>
    <w:qFormat/>
    <w:uiPriority w:val="0"/>
    <w:rPr>
      <w:b/>
      <w:kern w:val="2"/>
      <w:sz w:val="21"/>
    </w:rPr>
  </w:style>
  <w:style w:type="character" w:customStyle="1" w:styleId="62">
    <w:name w:val="页眉 字符"/>
    <w:link w:val="28"/>
    <w:qFormat/>
    <w:uiPriority w:val="99"/>
    <w:rPr>
      <w:kern w:val="2"/>
      <w:sz w:val="18"/>
    </w:rPr>
  </w:style>
  <w:style w:type="character" w:customStyle="1" w:styleId="63">
    <w:name w:val="标题 2 字符"/>
    <w:link w:val="3"/>
    <w:qFormat/>
    <w:uiPriority w:val="0"/>
    <w:rPr>
      <w:b/>
      <w:sz w:val="21"/>
    </w:rPr>
  </w:style>
  <w:style w:type="character" w:customStyle="1" w:styleId="64">
    <w:name w:val="标题 3 字符"/>
    <w:link w:val="4"/>
    <w:qFormat/>
    <w:uiPriority w:val="0"/>
    <w:rPr>
      <w:sz w:val="21"/>
    </w:rPr>
  </w:style>
  <w:style w:type="character" w:customStyle="1" w:styleId="65">
    <w:name w:val="TOC 1 字符"/>
    <w:link w:val="19"/>
    <w:qFormat/>
    <w:uiPriority w:val="0"/>
    <w:rPr>
      <w:rFonts w:ascii="Calibri" w:hAnsi="Calibri"/>
      <w:kern w:val="2"/>
      <w:sz w:val="21"/>
    </w:rPr>
  </w:style>
  <w:style w:type="character" w:customStyle="1" w:styleId="66">
    <w:name w:val="页脚 字符"/>
    <w:link w:val="27"/>
    <w:qFormat/>
    <w:uiPriority w:val="0"/>
    <w:rPr>
      <w:kern w:val="2"/>
      <w:sz w:val="18"/>
    </w:rPr>
  </w:style>
  <w:style w:type="character" w:customStyle="1" w:styleId="67">
    <w:name w:val="正文文本缩进 2 字符"/>
    <w:link w:val="24"/>
    <w:qFormat/>
    <w:uiPriority w:val="0"/>
    <w:rPr>
      <w:spacing w:val="10"/>
      <w:kern w:val="2"/>
      <w:sz w:val="21"/>
    </w:rPr>
  </w:style>
  <w:style w:type="character" w:customStyle="1" w:styleId="68">
    <w:name w:val="标题 1 字符"/>
    <w:link w:val="2"/>
    <w:qFormat/>
    <w:uiPriority w:val="0"/>
    <w:rPr>
      <w:b/>
      <w:sz w:val="21"/>
    </w:rPr>
  </w:style>
  <w:style w:type="character" w:customStyle="1" w:styleId="69">
    <w:name w:val="Font Style359"/>
    <w:qFormat/>
    <w:uiPriority w:val="0"/>
    <w:rPr>
      <w:rFonts w:ascii="Times New Roman" w:hAnsi="Times New Roman"/>
      <w:sz w:val="18"/>
    </w:rPr>
  </w:style>
  <w:style w:type="paragraph" w:customStyle="1" w:styleId="70">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
    <w:name w:val="五级条标题"/>
    <w:basedOn w:val="72"/>
    <w:next w:val="32"/>
    <w:qFormat/>
    <w:uiPriority w:val="0"/>
    <w:pPr>
      <w:outlineLvl w:val="6"/>
    </w:pPr>
  </w:style>
  <w:style w:type="paragraph" w:customStyle="1" w:styleId="72">
    <w:name w:val="四级条标题"/>
    <w:basedOn w:val="1"/>
    <w:next w:val="32"/>
    <w:qFormat/>
    <w:uiPriority w:val="0"/>
    <w:pPr>
      <w:widowControl/>
      <w:spacing w:beforeLines="50" w:afterLines="50"/>
      <w:jc w:val="left"/>
      <w:outlineLvl w:val="5"/>
    </w:pPr>
    <w:rPr>
      <w:rFonts w:ascii="黑体" w:eastAsia="黑体"/>
      <w:kern w:val="0"/>
    </w:rPr>
  </w:style>
  <w:style w:type="paragraph" w:customStyle="1" w:styleId="7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74">
    <w:name w:val="一级条标题"/>
    <w:next w:val="32"/>
    <w:qFormat/>
    <w:uiPriority w:val="0"/>
    <w:pPr>
      <w:numPr>
        <w:ilvl w:val="1"/>
        <w:numId w:val="3"/>
      </w:numPr>
      <w:spacing w:beforeLines="50" w:afterLines="50"/>
      <w:ind w:hanging="1135"/>
      <w:outlineLvl w:val="2"/>
    </w:pPr>
    <w:rPr>
      <w:rFonts w:ascii="黑体" w:hAnsi="Times New Roman" w:eastAsia="黑体" w:cs="Times New Roman"/>
      <w:sz w:val="21"/>
      <w:lang w:val="en-US" w:eastAsia="zh-CN" w:bidi="ar-SA"/>
    </w:rPr>
  </w:style>
  <w:style w:type="paragraph" w:customStyle="1" w:styleId="75">
    <w:name w:val="注×：（正文）"/>
    <w:qFormat/>
    <w:uiPriority w:val="0"/>
    <w:pPr>
      <w:numPr>
        <w:ilvl w:val="0"/>
        <w:numId w:val="4"/>
      </w:numPr>
      <w:jc w:val="both"/>
    </w:pPr>
    <w:rPr>
      <w:rFonts w:ascii="宋体" w:hAnsi="Times New Roman" w:eastAsia="宋体" w:cs="Times New Roman"/>
      <w:sz w:val="18"/>
      <w:lang w:val="en-US" w:eastAsia="zh-CN" w:bidi="ar-SA"/>
    </w:rPr>
  </w:style>
  <w:style w:type="paragraph" w:customStyle="1" w:styleId="76">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77">
    <w:name w:val="TOC 标题1"/>
    <w:basedOn w:val="2"/>
    <w:next w:val="1"/>
    <w:qFormat/>
    <w:uiPriority w:val="0"/>
    <w:pPr>
      <w:keepNext/>
      <w:keepLines/>
      <w:widowControl/>
      <w:adjustRightInd/>
      <w:spacing w:before="480" w:line="276" w:lineRule="auto"/>
      <w:ind w:right="0"/>
      <w:outlineLvl w:val="9"/>
    </w:pPr>
    <w:rPr>
      <w:rFonts w:ascii="Cambria" w:hAnsi="Cambria"/>
      <w:color w:val="365F91"/>
      <w:sz w:val="28"/>
    </w:rPr>
  </w:style>
  <w:style w:type="paragraph" w:customStyle="1" w:styleId="78">
    <w:name w:val="三级无"/>
    <w:basedOn w:val="79"/>
    <w:qFormat/>
    <w:uiPriority w:val="0"/>
    <w:pPr>
      <w:numPr>
        <w:ilvl w:val="0"/>
      </w:numPr>
      <w:tabs>
        <w:tab w:val="left" w:pos="0"/>
      </w:tabs>
      <w:ind w:left="630"/>
    </w:pPr>
    <w:rPr>
      <w:rFonts w:ascii="宋体" w:eastAsia="宋体"/>
    </w:rPr>
  </w:style>
  <w:style w:type="paragraph" w:customStyle="1" w:styleId="79">
    <w:name w:val="三级条标题"/>
    <w:basedOn w:val="80"/>
    <w:next w:val="32"/>
    <w:qFormat/>
    <w:uiPriority w:val="0"/>
    <w:pPr>
      <w:numPr>
        <w:numId w:val="0"/>
      </w:numPr>
      <w:tabs>
        <w:tab w:val="left" w:pos="0"/>
      </w:tabs>
      <w:ind w:left="630"/>
      <w:outlineLvl w:val="4"/>
    </w:pPr>
  </w:style>
  <w:style w:type="paragraph" w:customStyle="1" w:styleId="80">
    <w:name w:val="二级条标题"/>
    <w:basedOn w:val="74"/>
    <w:next w:val="32"/>
    <w:qFormat/>
    <w:uiPriority w:val="0"/>
    <w:pPr>
      <w:numPr>
        <w:ilvl w:val="2"/>
        <w:numId w:val="5"/>
      </w:numPr>
      <w:spacing w:beforeLines="0" w:afterLines="0"/>
      <w:ind w:firstLine="0"/>
      <w:outlineLvl w:val="3"/>
    </w:pPr>
  </w:style>
  <w:style w:type="paragraph" w:customStyle="1" w:styleId="81">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82">
    <w:name w:val="注×："/>
    <w:qFormat/>
    <w:uiPriority w:val="0"/>
    <w:pPr>
      <w:widowControl w:val="0"/>
      <w:autoSpaceDE w:val="0"/>
      <w:autoSpaceDN w:val="0"/>
      <w:ind w:left="763" w:hanging="448"/>
      <w:jc w:val="both"/>
    </w:pPr>
    <w:rPr>
      <w:rFonts w:ascii="宋体" w:hAnsi="Times New Roman" w:eastAsia="宋体" w:cs="Times New Roman"/>
      <w:sz w:val="18"/>
      <w:lang w:val="en-US" w:eastAsia="zh-CN" w:bidi="ar-SA"/>
    </w:rPr>
  </w:style>
  <w:style w:type="paragraph" w:styleId="83">
    <w:name w:val="List Paragraph"/>
    <w:basedOn w:val="1"/>
    <w:qFormat/>
    <w:uiPriority w:val="99"/>
    <w:pPr>
      <w:ind w:firstLine="420" w:firstLineChars="200"/>
    </w:pPr>
  </w:style>
  <w:style w:type="paragraph" w:customStyle="1" w:styleId="84">
    <w:name w:val="正文表标题"/>
    <w:next w:val="32"/>
    <w:qFormat/>
    <w:uiPriority w:val="0"/>
    <w:pPr>
      <w:spacing w:beforeLines="50" w:afterLines="50"/>
      <w:ind w:left="3544"/>
      <w:jc w:val="center"/>
    </w:pPr>
    <w:rPr>
      <w:rFonts w:ascii="黑体" w:hAnsi="Times New Roman" w:eastAsia="黑体" w:cs="Times New Roman"/>
      <w:sz w:val="21"/>
      <w:lang w:val="en-US" w:eastAsia="zh-CN" w:bidi="ar-SA"/>
    </w:rPr>
  </w:style>
  <w:style w:type="paragraph" w:customStyle="1" w:styleId="85">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6">
    <w:name w:val="章标题"/>
    <w:next w:val="32"/>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8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88">
    <w:name w:val="Char1 Char Char Char Char Char Char Char Char Char Char Char Char Char Char Char Char Char Char Char Char Char Char Char Char"/>
    <w:basedOn w:val="1"/>
    <w:next w:val="1"/>
    <w:qFormat/>
    <w:uiPriority w:val="0"/>
    <w:pPr>
      <w:pageBreakBefore/>
      <w:tabs>
        <w:tab w:val="left" w:pos="360"/>
      </w:tabs>
    </w:pPr>
  </w:style>
  <w:style w:type="paragraph" w:customStyle="1" w:styleId="89">
    <w:name w:val="注："/>
    <w:next w:val="32"/>
    <w:qFormat/>
    <w:uiPriority w:val="0"/>
    <w:pPr>
      <w:widowControl w:val="0"/>
      <w:autoSpaceDE w:val="0"/>
      <w:autoSpaceDN w:val="0"/>
      <w:ind w:left="726" w:hanging="363"/>
      <w:jc w:val="both"/>
    </w:pPr>
    <w:rPr>
      <w:rFonts w:ascii="宋体" w:hAnsi="Times New Roman" w:eastAsia="宋体" w:cs="Times New Roman"/>
      <w:sz w:val="18"/>
      <w:lang w:val="en-US" w:eastAsia="zh-CN" w:bidi="ar-SA"/>
    </w:rPr>
  </w:style>
  <w:style w:type="paragraph" w:customStyle="1" w:styleId="90">
    <w:name w:val="目次、标准名称标题"/>
    <w:basedOn w:val="70"/>
    <w:next w:val="32"/>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注：（正文）"/>
    <w:basedOn w:val="89"/>
    <w:next w:val="32"/>
    <w:qFormat/>
    <w:uiPriority w:val="0"/>
    <w:pPr>
      <w:ind w:left="1308"/>
    </w:pPr>
  </w:style>
  <w:style w:type="paragraph" w:customStyle="1" w:styleId="93">
    <w:name w:val="修订1"/>
    <w:qFormat/>
    <w:uiPriority w:val="0"/>
    <w:rPr>
      <w:rFonts w:ascii="Times New Roman" w:hAnsi="Times New Roman" w:eastAsia="宋体" w:cs="Times New Roman"/>
      <w:kern w:val="2"/>
      <w:sz w:val="21"/>
      <w:lang w:val="en-US" w:eastAsia="zh-CN" w:bidi="ar-SA"/>
    </w:rPr>
  </w:style>
  <w:style w:type="paragraph" w:customStyle="1" w:styleId="94">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9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8">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99">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00">
    <w:name w:val="示例"/>
    <w:next w:val="101"/>
    <w:qFormat/>
    <w:uiPriority w:val="0"/>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10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2">
    <w:name w:val="列项◆（三级）"/>
    <w:basedOn w:val="1"/>
    <w:qFormat/>
    <w:uiPriority w:val="0"/>
    <w:pPr>
      <w:numPr>
        <w:ilvl w:val="2"/>
        <w:numId w:val="6"/>
      </w:numPr>
    </w:pPr>
    <w:rPr>
      <w:rFonts w:ascii="宋体"/>
      <w:szCs w:val="21"/>
    </w:rPr>
  </w:style>
  <w:style w:type="paragraph" w:customStyle="1" w:styleId="103">
    <w:name w:val="示例×："/>
    <w:basedOn w:val="86"/>
    <w:qFormat/>
    <w:uiPriority w:val="0"/>
    <w:pPr>
      <w:numPr>
        <w:numId w:val="8"/>
      </w:numPr>
      <w:spacing w:beforeLines="0" w:afterLines="0"/>
      <w:outlineLvl w:val="9"/>
    </w:pPr>
    <w:rPr>
      <w:rFonts w:ascii="宋体" w:eastAsia="宋体"/>
      <w:sz w:val="18"/>
      <w:szCs w:val="18"/>
    </w:rPr>
  </w:style>
  <w:style w:type="paragraph" w:customStyle="1" w:styleId="104">
    <w:name w:val="二级无"/>
    <w:basedOn w:val="80"/>
    <w:qFormat/>
    <w:uiPriority w:val="0"/>
    <w:rPr>
      <w:rFonts w:ascii="宋体" w:eastAsia="宋体"/>
      <w:szCs w:val="21"/>
    </w:rPr>
  </w:style>
  <w:style w:type="paragraph" w:customStyle="1" w:styleId="10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7">
    <w:name w:val="标准书眉_偶数页"/>
    <w:basedOn w:val="96"/>
    <w:next w:val="1"/>
    <w:qFormat/>
    <w:uiPriority w:val="0"/>
    <w:pPr>
      <w:jc w:val="left"/>
    </w:pPr>
  </w:style>
  <w:style w:type="paragraph" w:customStyle="1" w:styleId="108">
    <w:name w:val="标准书眉一"/>
    <w:qFormat/>
    <w:uiPriority w:val="0"/>
    <w:pPr>
      <w:jc w:val="both"/>
    </w:pPr>
    <w:rPr>
      <w:rFonts w:ascii="Times New Roman" w:hAnsi="Times New Roman" w:eastAsia="宋体" w:cs="Times New Roman"/>
      <w:lang w:val="en-US" w:eastAsia="zh-CN" w:bidi="ar-SA"/>
    </w:rPr>
  </w:style>
  <w:style w:type="paragraph" w:customStyle="1" w:styleId="109">
    <w:name w:val="参考文献"/>
    <w:basedOn w:val="1"/>
    <w:next w:val="32"/>
    <w:qFormat/>
    <w:uiPriority w:val="0"/>
    <w:pPr>
      <w:keepNext/>
      <w:pageBreakBefore/>
      <w:widowControl/>
      <w:shd w:val="clear" w:color="FFFFFF" w:fill="FFFFFF"/>
      <w:spacing w:before="640" w:after="200"/>
      <w:jc w:val="center"/>
      <w:outlineLvl w:val="0"/>
    </w:pPr>
    <w:rPr>
      <w:rFonts w:ascii="黑体" w:eastAsia="黑体"/>
      <w:kern w:val="0"/>
    </w:rPr>
  </w:style>
  <w:style w:type="paragraph" w:customStyle="1" w:styleId="110">
    <w:name w:val="参考文献、索引标题"/>
    <w:basedOn w:val="1"/>
    <w:next w:val="32"/>
    <w:qFormat/>
    <w:uiPriority w:val="0"/>
    <w:pPr>
      <w:keepNext/>
      <w:pageBreakBefore/>
      <w:widowControl/>
      <w:shd w:val="clear" w:color="FFFFFF" w:fill="FFFFFF"/>
      <w:spacing w:before="640" w:after="200"/>
      <w:jc w:val="center"/>
      <w:outlineLvl w:val="0"/>
    </w:pPr>
    <w:rPr>
      <w:rFonts w:ascii="黑体" w:eastAsia="黑体"/>
      <w:kern w:val="0"/>
    </w:rPr>
  </w:style>
  <w:style w:type="character" w:customStyle="1" w:styleId="111">
    <w:name w:val="发布"/>
    <w:qFormat/>
    <w:uiPriority w:val="0"/>
    <w:rPr>
      <w:rFonts w:ascii="黑体" w:eastAsia="黑体"/>
      <w:spacing w:val="85"/>
      <w:w w:val="100"/>
      <w:position w:val="3"/>
      <w:sz w:val="28"/>
      <w:szCs w:val="28"/>
    </w:rPr>
  </w:style>
  <w:style w:type="paragraph" w:customStyle="1" w:styleId="112">
    <w:name w:val="发布部门"/>
    <w:next w:val="3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4">
    <w:name w:val="封面标准代替信息"/>
    <w:basedOn w:val="97"/>
    <w:qFormat/>
    <w:uiPriority w:val="0"/>
    <w:pPr>
      <w:framePr w:wrap="around"/>
      <w:spacing w:before="57" w:line="280" w:lineRule="exact"/>
      <w:jc w:val="right"/>
    </w:pPr>
    <w:rPr>
      <w:rFonts w:ascii="宋体" w:hAnsi="Times New Roman" w:eastAsia="宋体" w:cs="Times New Roman"/>
      <w:sz w:val="21"/>
      <w:szCs w:val="21"/>
      <w:lang w:val="en-US" w:eastAsia="zh-CN" w:bidi="ar-SA"/>
    </w:rPr>
  </w:style>
  <w:style w:type="paragraph" w:customStyle="1" w:styleId="11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7">
    <w:name w:val="封面标准英文名称"/>
    <w:basedOn w:val="116"/>
    <w:qFormat/>
    <w:uiPriority w:val="0"/>
    <w:pPr>
      <w:framePr w:wrap="around"/>
      <w:spacing w:before="370" w:line="400" w:lineRule="exact"/>
    </w:pPr>
    <w:rPr>
      <w:rFonts w:ascii="Times New Roman"/>
      <w:sz w:val="28"/>
      <w:szCs w:val="28"/>
    </w:rPr>
  </w:style>
  <w:style w:type="paragraph" w:customStyle="1" w:styleId="118">
    <w:name w:val="封面一致性程度标识"/>
    <w:basedOn w:val="117"/>
    <w:qFormat/>
    <w:uiPriority w:val="0"/>
    <w:pPr>
      <w:framePr w:wrap="around"/>
      <w:spacing w:before="440"/>
    </w:pPr>
    <w:rPr>
      <w:rFonts w:ascii="宋体" w:eastAsia="宋体"/>
    </w:rPr>
  </w:style>
  <w:style w:type="paragraph" w:customStyle="1" w:styleId="119">
    <w:name w:val="封面标准文稿类别"/>
    <w:basedOn w:val="118"/>
    <w:qFormat/>
    <w:uiPriority w:val="0"/>
    <w:pPr>
      <w:framePr w:wrap="around"/>
      <w:spacing w:after="160" w:line="240" w:lineRule="auto"/>
    </w:pPr>
    <w:rPr>
      <w:sz w:val="24"/>
    </w:rPr>
  </w:style>
  <w:style w:type="paragraph" w:customStyle="1" w:styleId="120">
    <w:name w:val="封面标准文稿编辑信息"/>
    <w:basedOn w:val="119"/>
    <w:qFormat/>
    <w:uiPriority w:val="0"/>
    <w:pPr>
      <w:framePr w:wrap="around"/>
      <w:spacing w:before="180" w:line="180" w:lineRule="exact"/>
    </w:pPr>
    <w:rPr>
      <w:sz w:val="21"/>
    </w:rPr>
  </w:style>
  <w:style w:type="paragraph" w:customStyle="1" w:styleId="121">
    <w:name w:val="封面正文"/>
    <w:qFormat/>
    <w:uiPriority w:val="0"/>
    <w:pPr>
      <w:jc w:val="both"/>
    </w:pPr>
    <w:rPr>
      <w:rFonts w:ascii="Times New Roman" w:hAnsi="Times New Roman" w:eastAsia="宋体" w:cs="Times New Roman"/>
      <w:lang w:val="en-US" w:eastAsia="zh-CN" w:bidi="ar-SA"/>
    </w:rPr>
  </w:style>
  <w:style w:type="paragraph" w:customStyle="1" w:styleId="122">
    <w:name w:val="附录标识"/>
    <w:basedOn w:val="1"/>
    <w:next w:val="1"/>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123">
    <w:name w:val="附录标题"/>
    <w:basedOn w:val="32"/>
    <w:next w:val="32"/>
    <w:qFormat/>
    <w:uiPriority w:val="0"/>
    <w:pPr>
      <w:tabs>
        <w:tab w:val="center" w:pos="4201"/>
        <w:tab w:val="right" w:leader="dot" w:pos="9298"/>
      </w:tabs>
      <w:ind w:firstLine="0" w:firstLineChars="0"/>
      <w:jc w:val="center"/>
    </w:pPr>
    <w:rPr>
      <w:rFonts w:ascii="黑体" w:eastAsia="黑体"/>
    </w:rPr>
  </w:style>
  <w:style w:type="paragraph" w:customStyle="1" w:styleId="124">
    <w:name w:val="附录表标号"/>
    <w:basedOn w:val="1"/>
    <w:next w:val="32"/>
    <w:qFormat/>
    <w:uiPriority w:val="0"/>
    <w:pPr>
      <w:numPr>
        <w:ilvl w:val="0"/>
        <w:numId w:val="10"/>
      </w:numPr>
      <w:tabs>
        <w:tab w:val="clear" w:pos="0"/>
      </w:tabs>
      <w:spacing w:line="14" w:lineRule="exact"/>
      <w:ind w:left="811" w:hanging="448"/>
      <w:jc w:val="center"/>
      <w:outlineLvl w:val="0"/>
    </w:pPr>
    <w:rPr>
      <w:color w:val="FFFFFF"/>
      <w:szCs w:val="24"/>
    </w:rPr>
  </w:style>
  <w:style w:type="paragraph" w:customStyle="1" w:styleId="125">
    <w:name w:val="附录表标题"/>
    <w:basedOn w:val="1"/>
    <w:next w:val="32"/>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126">
    <w:name w:val="附录二级条标题"/>
    <w:basedOn w:val="1"/>
    <w:next w:val="32"/>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127">
    <w:name w:val="附录二级无"/>
    <w:basedOn w:val="126"/>
    <w:qFormat/>
    <w:uiPriority w:val="0"/>
    <w:pPr>
      <w:tabs>
        <w:tab w:val="clear" w:pos="360"/>
      </w:tabs>
      <w:spacing w:beforeLines="0" w:afterLines="0"/>
    </w:pPr>
    <w:rPr>
      <w:rFonts w:ascii="宋体" w:eastAsia="宋体"/>
      <w:szCs w:val="21"/>
    </w:rPr>
  </w:style>
  <w:style w:type="paragraph" w:customStyle="1" w:styleId="128">
    <w:name w:val="附录公式"/>
    <w:basedOn w:val="32"/>
    <w:next w:val="32"/>
    <w:link w:val="129"/>
    <w:qFormat/>
    <w:uiPriority w:val="0"/>
    <w:pPr>
      <w:tabs>
        <w:tab w:val="center" w:pos="4201"/>
        <w:tab w:val="right" w:leader="dot" w:pos="9298"/>
      </w:tabs>
      <w:ind w:firstLine="420"/>
    </w:pPr>
  </w:style>
  <w:style w:type="character" w:customStyle="1" w:styleId="129">
    <w:name w:val="附录公式 Char"/>
    <w:basedOn w:val="55"/>
    <w:link w:val="128"/>
    <w:qFormat/>
    <w:uiPriority w:val="0"/>
    <w:rPr>
      <w:rFonts w:ascii="宋体"/>
      <w:sz w:val="21"/>
      <w:lang w:val="en-US" w:eastAsia="zh-CN" w:bidi="ar-SA"/>
    </w:rPr>
  </w:style>
  <w:style w:type="paragraph" w:customStyle="1" w:styleId="130">
    <w:name w:val="附录公式编号制表符"/>
    <w:basedOn w:val="1"/>
    <w:next w:val="32"/>
    <w:qFormat/>
    <w:uiPriority w:val="0"/>
    <w:pPr>
      <w:widowControl/>
      <w:tabs>
        <w:tab w:val="center" w:pos="4201"/>
        <w:tab w:val="right" w:leader="dot" w:pos="9298"/>
      </w:tabs>
      <w:autoSpaceDE w:val="0"/>
      <w:autoSpaceDN w:val="0"/>
    </w:pPr>
    <w:rPr>
      <w:rFonts w:ascii="宋体"/>
      <w:kern w:val="0"/>
    </w:rPr>
  </w:style>
  <w:style w:type="paragraph" w:customStyle="1" w:styleId="131">
    <w:name w:val="附录三级条标题"/>
    <w:basedOn w:val="126"/>
    <w:next w:val="32"/>
    <w:qFormat/>
    <w:uiPriority w:val="0"/>
    <w:pPr>
      <w:numPr>
        <w:ilvl w:val="4"/>
      </w:numPr>
      <w:outlineLvl w:val="4"/>
    </w:pPr>
  </w:style>
  <w:style w:type="paragraph" w:customStyle="1" w:styleId="132">
    <w:name w:val="附录三级无"/>
    <w:basedOn w:val="131"/>
    <w:qFormat/>
    <w:uiPriority w:val="0"/>
    <w:pPr>
      <w:tabs>
        <w:tab w:val="clear" w:pos="360"/>
      </w:tabs>
      <w:spacing w:beforeLines="0" w:afterLines="0"/>
    </w:pPr>
    <w:rPr>
      <w:rFonts w:ascii="宋体" w:eastAsia="宋体"/>
      <w:szCs w:val="21"/>
    </w:rPr>
  </w:style>
  <w:style w:type="paragraph" w:customStyle="1" w:styleId="133">
    <w:name w:val="附录数字编号列项（二级）"/>
    <w:qFormat/>
    <w:uiPriority w:val="0"/>
    <w:pPr>
      <w:numPr>
        <w:ilvl w:val="1"/>
        <w:numId w:val="2"/>
      </w:numPr>
    </w:pPr>
    <w:rPr>
      <w:rFonts w:ascii="宋体" w:hAnsi="Times New Roman" w:eastAsia="宋体" w:cs="Times New Roman"/>
      <w:sz w:val="21"/>
      <w:lang w:val="en-US" w:eastAsia="zh-CN" w:bidi="ar-SA"/>
    </w:rPr>
  </w:style>
  <w:style w:type="paragraph" w:customStyle="1" w:styleId="134">
    <w:name w:val="附录四级条标题"/>
    <w:basedOn w:val="131"/>
    <w:next w:val="32"/>
    <w:qFormat/>
    <w:uiPriority w:val="0"/>
    <w:pPr>
      <w:numPr>
        <w:ilvl w:val="5"/>
      </w:numPr>
      <w:outlineLvl w:val="5"/>
    </w:pPr>
  </w:style>
  <w:style w:type="paragraph" w:customStyle="1" w:styleId="135">
    <w:name w:val="附录四级无"/>
    <w:basedOn w:val="134"/>
    <w:qFormat/>
    <w:uiPriority w:val="0"/>
    <w:pPr>
      <w:tabs>
        <w:tab w:val="clear" w:pos="360"/>
      </w:tabs>
      <w:spacing w:beforeLines="0" w:afterLines="0"/>
    </w:pPr>
    <w:rPr>
      <w:rFonts w:ascii="宋体" w:eastAsia="宋体"/>
      <w:szCs w:val="21"/>
    </w:rPr>
  </w:style>
  <w:style w:type="paragraph" w:customStyle="1" w:styleId="136">
    <w:name w:val="附录图标号"/>
    <w:basedOn w:val="1"/>
    <w:next w:val="32"/>
    <w:qFormat/>
    <w:uiPriority w:val="0"/>
    <w:pPr>
      <w:keepNext/>
      <w:pageBreakBefore/>
      <w:widowControl/>
      <w:numPr>
        <w:ilvl w:val="0"/>
        <w:numId w:val="11"/>
      </w:numPr>
      <w:spacing w:line="14" w:lineRule="exact"/>
      <w:ind w:left="0" w:firstLine="363"/>
      <w:jc w:val="center"/>
      <w:outlineLvl w:val="0"/>
    </w:pPr>
    <w:rPr>
      <w:color w:val="FFFFFF"/>
      <w:szCs w:val="24"/>
    </w:rPr>
  </w:style>
  <w:style w:type="paragraph" w:customStyle="1" w:styleId="137">
    <w:name w:val="附录图标题"/>
    <w:basedOn w:val="1"/>
    <w:next w:val="32"/>
    <w:qFormat/>
    <w:uiPriority w:val="0"/>
    <w:pPr>
      <w:numPr>
        <w:ilvl w:val="1"/>
        <w:numId w:val="11"/>
      </w:numPr>
      <w:tabs>
        <w:tab w:val="left" w:pos="363"/>
      </w:tabs>
      <w:spacing w:beforeLines="50" w:afterLines="50"/>
      <w:ind w:left="0" w:firstLine="0"/>
      <w:jc w:val="center"/>
    </w:pPr>
    <w:rPr>
      <w:rFonts w:ascii="黑体" w:eastAsia="黑体"/>
      <w:szCs w:val="21"/>
    </w:rPr>
  </w:style>
  <w:style w:type="paragraph" w:customStyle="1" w:styleId="138">
    <w:name w:val="附录五级条标题"/>
    <w:basedOn w:val="134"/>
    <w:next w:val="32"/>
    <w:qFormat/>
    <w:uiPriority w:val="0"/>
    <w:pPr>
      <w:numPr>
        <w:ilvl w:val="6"/>
      </w:numPr>
      <w:outlineLvl w:val="6"/>
    </w:pPr>
  </w:style>
  <w:style w:type="paragraph" w:customStyle="1" w:styleId="139">
    <w:name w:val="附录五级无"/>
    <w:basedOn w:val="138"/>
    <w:qFormat/>
    <w:uiPriority w:val="0"/>
    <w:pPr>
      <w:tabs>
        <w:tab w:val="clear" w:pos="360"/>
      </w:tabs>
      <w:spacing w:beforeLines="0" w:afterLines="0"/>
    </w:pPr>
    <w:rPr>
      <w:rFonts w:ascii="宋体" w:eastAsia="宋体"/>
      <w:szCs w:val="21"/>
    </w:rPr>
  </w:style>
  <w:style w:type="paragraph" w:customStyle="1" w:styleId="140">
    <w:name w:val="附录章标题"/>
    <w:next w:val="32"/>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41">
    <w:name w:val="附录一级条标题"/>
    <w:basedOn w:val="140"/>
    <w:next w:val="32"/>
    <w:qFormat/>
    <w:uiPriority w:val="0"/>
    <w:pPr>
      <w:numPr>
        <w:ilvl w:val="2"/>
      </w:numPr>
      <w:autoSpaceDN w:val="0"/>
      <w:spacing w:beforeLines="50" w:afterLines="50"/>
      <w:outlineLvl w:val="2"/>
    </w:pPr>
  </w:style>
  <w:style w:type="paragraph" w:customStyle="1" w:styleId="142">
    <w:name w:val="附录一级无"/>
    <w:basedOn w:val="141"/>
    <w:qFormat/>
    <w:uiPriority w:val="0"/>
    <w:pPr>
      <w:tabs>
        <w:tab w:val="clear" w:pos="360"/>
      </w:tabs>
      <w:spacing w:beforeLines="0" w:afterLines="0"/>
    </w:pPr>
    <w:rPr>
      <w:rFonts w:ascii="宋体" w:eastAsia="宋体"/>
      <w:szCs w:val="21"/>
    </w:rPr>
  </w:style>
  <w:style w:type="paragraph" w:customStyle="1" w:styleId="143">
    <w:name w:val="附录字母编号列项（一级）"/>
    <w:qFormat/>
    <w:uiPriority w:val="0"/>
    <w:pPr>
      <w:numPr>
        <w:ilvl w:val="0"/>
        <w:numId w:val="2"/>
      </w:numPr>
    </w:pPr>
    <w:rPr>
      <w:rFonts w:ascii="宋体" w:hAnsi="Times New Roman" w:eastAsia="宋体" w:cs="Times New Roman"/>
      <w:sz w:val="21"/>
      <w:lang w:val="en-US" w:eastAsia="zh-CN" w:bidi="ar-SA"/>
    </w:rPr>
  </w:style>
  <w:style w:type="character" w:customStyle="1" w:styleId="144">
    <w:name w:val="脚注文本 字符"/>
    <w:basedOn w:val="45"/>
    <w:link w:val="34"/>
    <w:qFormat/>
    <w:uiPriority w:val="0"/>
    <w:rPr>
      <w:rFonts w:ascii="宋体"/>
      <w:kern w:val="2"/>
      <w:sz w:val="18"/>
      <w:szCs w:val="18"/>
    </w:rPr>
  </w:style>
  <w:style w:type="paragraph" w:customStyle="1" w:styleId="145">
    <w:name w:val="列项说明"/>
    <w:basedOn w:val="1"/>
    <w:qFormat/>
    <w:uiPriority w:val="0"/>
    <w:pPr>
      <w:adjustRightInd w:val="0"/>
      <w:spacing w:line="320" w:lineRule="exact"/>
      <w:ind w:left="400" w:leftChars="200" w:hanging="200" w:hangingChars="200"/>
      <w:jc w:val="left"/>
      <w:textAlignment w:val="baseline"/>
    </w:pPr>
    <w:rPr>
      <w:rFonts w:ascii="宋体"/>
      <w:kern w:val="0"/>
    </w:rPr>
  </w:style>
  <w:style w:type="paragraph" w:customStyle="1" w:styleId="14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其他标准标志"/>
    <w:basedOn w:val="105"/>
    <w:qFormat/>
    <w:uiPriority w:val="0"/>
    <w:pPr>
      <w:framePr w:w="6101" w:wrap="around" w:vAnchor="page" w:hAnchor="page" w:x="4673" w:y="942"/>
    </w:pPr>
    <w:rPr>
      <w:w w:val="130"/>
    </w:rPr>
  </w:style>
  <w:style w:type="paragraph" w:customStyle="1" w:styleId="14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0">
    <w:name w:val="其他发布部门"/>
    <w:basedOn w:val="112"/>
    <w:qFormat/>
    <w:uiPriority w:val="0"/>
    <w:pPr>
      <w:framePr w:wrap="around" w:y="15310"/>
      <w:spacing w:line="0" w:lineRule="atLeast"/>
    </w:pPr>
    <w:rPr>
      <w:rFonts w:ascii="黑体" w:eastAsia="黑体"/>
      <w:b w:val="0"/>
    </w:rPr>
  </w:style>
  <w:style w:type="paragraph" w:customStyle="1" w:styleId="151">
    <w:name w:val="实施日期"/>
    <w:basedOn w:val="113"/>
    <w:qFormat/>
    <w:uiPriority w:val="0"/>
    <w:pPr>
      <w:framePr w:wrap="around" w:vAnchor="page" w:hAnchor="text"/>
      <w:jc w:val="right"/>
    </w:pPr>
  </w:style>
  <w:style w:type="paragraph" w:customStyle="1" w:styleId="152">
    <w:name w:val="示例后文字"/>
    <w:basedOn w:val="32"/>
    <w:next w:val="32"/>
    <w:qFormat/>
    <w:uiPriority w:val="0"/>
    <w:pPr>
      <w:tabs>
        <w:tab w:val="center" w:pos="4201"/>
        <w:tab w:val="right" w:leader="dot" w:pos="9298"/>
      </w:tabs>
      <w:ind w:firstLine="360"/>
    </w:pPr>
    <w:rPr>
      <w:sz w:val="18"/>
    </w:rPr>
  </w:style>
  <w:style w:type="paragraph" w:customStyle="1" w:styleId="153">
    <w:name w:val="首示例"/>
    <w:next w:val="32"/>
    <w:link w:val="154"/>
    <w:qFormat/>
    <w:uiPriority w:val="0"/>
    <w:pPr>
      <w:tabs>
        <w:tab w:val="left" w:pos="360"/>
      </w:tabs>
    </w:pPr>
    <w:rPr>
      <w:rFonts w:ascii="宋体" w:hAnsi="宋体" w:eastAsia="宋体" w:cs="Times New Roman"/>
      <w:kern w:val="2"/>
      <w:sz w:val="18"/>
      <w:szCs w:val="18"/>
      <w:lang w:val="en-US" w:eastAsia="zh-CN" w:bidi="ar-SA"/>
    </w:rPr>
  </w:style>
  <w:style w:type="character" w:customStyle="1" w:styleId="154">
    <w:name w:val="首示例 Char"/>
    <w:link w:val="153"/>
    <w:qFormat/>
    <w:uiPriority w:val="0"/>
    <w:rPr>
      <w:rFonts w:ascii="宋体" w:hAnsi="宋体"/>
      <w:kern w:val="2"/>
      <w:sz w:val="18"/>
      <w:szCs w:val="18"/>
    </w:rPr>
  </w:style>
  <w:style w:type="paragraph" w:customStyle="1" w:styleId="155">
    <w:name w:val="四级无"/>
    <w:basedOn w:val="72"/>
    <w:qFormat/>
    <w:uiPriority w:val="0"/>
    <w:pPr>
      <w:spacing w:beforeLines="0" w:afterLines="0"/>
    </w:pPr>
    <w:rPr>
      <w:rFonts w:ascii="宋体" w:eastAsia="宋体"/>
      <w:szCs w:val="21"/>
    </w:rPr>
  </w:style>
  <w:style w:type="paragraph" w:customStyle="1" w:styleId="156">
    <w:name w:val="条文脚注"/>
    <w:basedOn w:val="34"/>
    <w:qFormat/>
    <w:uiPriority w:val="0"/>
    <w:pPr>
      <w:numPr>
        <w:numId w:val="0"/>
      </w:numPr>
      <w:jc w:val="both"/>
    </w:pPr>
  </w:style>
  <w:style w:type="paragraph" w:customStyle="1" w:styleId="157">
    <w:name w:val="图标脚注说明"/>
    <w:basedOn w:val="32"/>
    <w:qFormat/>
    <w:uiPriority w:val="0"/>
    <w:pPr>
      <w:tabs>
        <w:tab w:val="center" w:pos="4201"/>
        <w:tab w:val="right" w:leader="dot" w:pos="9298"/>
      </w:tabs>
      <w:ind w:left="840" w:hanging="420" w:firstLineChars="0"/>
    </w:pPr>
    <w:rPr>
      <w:sz w:val="18"/>
      <w:szCs w:val="18"/>
    </w:rPr>
  </w:style>
  <w:style w:type="paragraph" w:customStyle="1" w:styleId="158">
    <w:name w:val="图表脚注说明"/>
    <w:basedOn w:val="1"/>
    <w:qFormat/>
    <w:uiPriority w:val="0"/>
    <w:pPr>
      <w:ind w:left="544" w:hanging="181"/>
    </w:pPr>
    <w:rPr>
      <w:rFonts w:ascii="宋体"/>
      <w:sz w:val="18"/>
      <w:szCs w:val="18"/>
    </w:rPr>
  </w:style>
  <w:style w:type="paragraph" w:customStyle="1" w:styleId="159">
    <w:name w:val="图的脚注"/>
    <w:next w:val="3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60">
    <w:name w:val="尾注文本 字符"/>
    <w:basedOn w:val="45"/>
    <w:link w:val="25"/>
    <w:semiHidden/>
    <w:qFormat/>
    <w:uiPriority w:val="0"/>
    <w:rPr>
      <w:kern w:val="2"/>
      <w:sz w:val="21"/>
      <w:szCs w:val="24"/>
    </w:rPr>
  </w:style>
  <w:style w:type="paragraph" w:customStyle="1" w:styleId="161">
    <w:name w:val="五级无"/>
    <w:basedOn w:val="71"/>
    <w:qFormat/>
    <w:uiPriority w:val="0"/>
    <w:pPr>
      <w:spacing w:beforeLines="0" w:afterLines="0"/>
    </w:pPr>
    <w:rPr>
      <w:rFonts w:ascii="宋体" w:eastAsia="宋体"/>
      <w:szCs w:val="21"/>
    </w:rPr>
  </w:style>
  <w:style w:type="paragraph" w:customStyle="1" w:styleId="162">
    <w:name w:val="一级无"/>
    <w:basedOn w:val="74"/>
    <w:qFormat/>
    <w:uiPriority w:val="0"/>
    <w:pPr>
      <w:spacing w:beforeLines="0" w:afterLines="0"/>
      <w:ind w:left="0"/>
    </w:pPr>
    <w:rPr>
      <w:rFonts w:ascii="宋体" w:eastAsia="宋体"/>
      <w:szCs w:val="21"/>
    </w:rPr>
  </w:style>
  <w:style w:type="paragraph" w:customStyle="1" w:styleId="163">
    <w:name w:val="正文公式编号制表符"/>
    <w:basedOn w:val="32"/>
    <w:next w:val="32"/>
    <w:qFormat/>
    <w:uiPriority w:val="0"/>
    <w:pPr>
      <w:tabs>
        <w:tab w:val="center" w:pos="4201"/>
        <w:tab w:val="right" w:leader="dot" w:pos="9298"/>
      </w:tabs>
      <w:ind w:firstLine="0" w:firstLineChars="0"/>
    </w:pPr>
  </w:style>
  <w:style w:type="paragraph" w:customStyle="1" w:styleId="164">
    <w:name w:val="正文图标题"/>
    <w:next w:val="32"/>
    <w:qFormat/>
    <w:uiPriority w:val="0"/>
    <w:pPr>
      <w:numPr>
        <w:ilvl w:val="0"/>
        <w:numId w:val="12"/>
      </w:numPr>
      <w:spacing w:beforeLines="50" w:afterLines="50"/>
      <w:jc w:val="center"/>
    </w:pPr>
    <w:rPr>
      <w:rFonts w:ascii="黑体" w:hAnsi="Times New Roman" w:eastAsia="黑体" w:cs="Times New Roman"/>
      <w:sz w:val="21"/>
      <w:lang w:val="en-US" w:eastAsia="zh-CN" w:bidi="ar-SA"/>
    </w:rPr>
  </w:style>
  <w:style w:type="paragraph" w:customStyle="1" w:styleId="165">
    <w:name w:val="终结线"/>
    <w:basedOn w:val="1"/>
    <w:qFormat/>
    <w:uiPriority w:val="0"/>
    <w:pPr>
      <w:framePr w:hSpace="181" w:vSpace="181" w:wrap="around" w:vAnchor="text" w:hAnchor="margin" w:xAlign="center" w:y="285"/>
    </w:pPr>
    <w:rPr>
      <w:szCs w:val="24"/>
    </w:rPr>
  </w:style>
  <w:style w:type="paragraph" w:customStyle="1" w:styleId="166">
    <w:name w:val="其他发布日期"/>
    <w:basedOn w:val="113"/>
    <w:qFormat/>
    <w:uiPriority w:val="0"/>
    <w:pPr>
      <w:framePr w:wrap="around" w:vAnchor="page" w:hAnchor="text" w:x="1419"/>
    </w:pPr>
  </w:style>
  <w:style w:type="paragraph" w:customStyle="1" w:styleId="167">
    <w:name w:val="其他实施日期"/>
    <w:basedOn w:val="151"/>
    <w:qFormat/>
    <w:uiPriority w:val="0"/>
    <w:pPr>
      <w:framePr w:wrap="around"/>
    </w:pPr>
  </w:style>
  <w:style w:type="paragraph" w:customStyle="1" w:styleId="168">
    <w:name w:val="封面标准名称2"/>
    <w:basedOn w:val="116"/>
    <w:qFormat/>
    <w:uiPriority w:val="0"/>
    <w:pPr>
      <w:framePr w:wrap="around" w:y="4469"/>
      <w:spacing w:beforeLines="630"/>
    </w:pPr>
  </w:style>
  <w:style w:type="paragraph" w:customStyle="1" w:styleId="169">
    <w:name w:val="封面标准英文名称2"/>
    <w:basedOn w:val="117"/>
    <w:qFormat/>
    <w:uiPriority w:val="0"/>
    <w:pPr>
      <w:framePr w:wrap="around" w:y="4469"/>
    </w:pPr>
  </w:style>
  <w:style w:type="paragraph" w:customStyle="1" w:styleId="170">
    <w:name w:val="封面一致性程度标识2"/>
    <w:basedOn w:val="118"/>
    <w:qFormat/>
    <w:uiPriority w:val="0"/>
    <w:pPr>
      <w:framePr w:wrap="around" w:y="4469"/>
    </w:pPr>
  </w:style>
  <w:style w:type="paragraph" w:customStyle="1" w:styleId="171">
    <w:name w:val="封面标准文稿类别2"/>
    <w:basedOn w:val="119"/>
    <w:qFormat/>
    <w:uiPriority w:val="0"/>
    <w:pPr>
      <w:framePr w:wrap="around" w:y="4469"/>
    </w:pPr>
  </w:style>
  <w:style w:type="paragraph" w:customStyle="1" w:styleId="172">
    <w:name w:val="封面标准文稿编辑信息2"/>
    <w:basedOn w:val="120"/>
    <w:qFormat/>
    <w:uiPriority w:val="0"/>
    <w:pPr>
      <w:framePr w:wrap="around" w:y="4469"/>
    </w:pPr>
  </w:style>
  <w:style w:type="character" w:customStyle="1" w:styleId="173">
    <w:name w:val="纯文本 字符"/>
    <w:link w:val="20"/>
    <w:qFormat/>
    <w:uiPriority w:val="0"/>
    <w:rPr>
      <w:rFonts w:ascii="宋体" w:hAnsi="Courier New"/>
      <w:kern w:val="2"/>
      <w:sz w:val="21"/>
    </w:rPr>
  </w:style>
  <w:style w:type="character" w:customStyle="1" w:styleId="174">
    <w:name w:val="纯文本 Char1"/>
    <w:basedOn w:val="45"/>
    <w:qFormat/>
    <w:uiPriority w:val="0"/>
    <w:rPr>
      <w:rFonts w:ascii="宋体" w:hAnsi="Courier New" w:cs="Courier New"/>
      <w:kern w:val="2"/>
      <w:sz w:val="21"/>
      <w:szCs w:val="21"/>
    </w:rPr>
  </w:style>
  <w:style w:type="character" w:customStyle="1" w:styleId="175">
    <w:name w:val="段 Char Char"/>
    <w:qFormat/>
    <w:uiPriority w:val="0"/>
    <w:rPr>
      <w:rFonts w:ascii="宋体" w:cs="宋体"/>
      <w:kern w:val="2"/>
      <w:sz w:val="21"/>
      <w:szCs w:val="21"/>
      <w:lang w:val="en-US" w:eastAsia="zh-CN" w:bidi="ar-SA"/>
    </w:rPr>
  </w:style>
  <w:style w:type="character" w:customStyle="1" w:styleId="176">
    <w:name w:val="apple-converted-space"/>
    <w:basedOn w:val="45"/>
    <w:qFormat/>
    <w:uiPriority w:val="0"/>
  </w:style>
  <w:style w:type="paragraph" w:styleId="177">
    <w:name w:val="No Spacing"/>
    <w:link w:val="178"/>
    <w:qFormat/>
    <w:uiPriority w:val="1"/>
    <w:rPr>
      <w:rFonts w:asciiTheme="minorHAnsi" w:hAnsiTheme="minorHAnsi" w:eastAsiaTheme="minorEastAsia" w:cstheme="minorBidi"/>
      <w:sz w:val="22"/>
      <w:szCs w:val="22"/>
      <w:lang w:val="en-US" w:eastAsia="zh-CN" w:bidi="ar-SA"/>
    </w:rPr>
  </w:style>
  <w:style w:type="character" w:customStyle="1" w:styleId="178">
    <w:name w:val="无间隔 字符"/>
    <w:basedOn w:val="45"/>
    <w:link w:val="177"/>
    <w:qFormat/>
    <w:uiPriority w:val="1"/>
    <w:rPr>
      <w:rFonts w:asciiTheme="minorHAnsi" w:hAnsiTheme="minorHAnsi" w:eastAsiaTheme="minorEastAsia" w:cstheme="minorBidi"/>
      <w:sz w:val="22"/>
      <w:szCs w:val="22"/>
    </w:rPr>
  </w:style>
  <w:style w:type="paragraph" w:customStyle="1" w:styleId="179">
    <w:name w:val="列出段落1"/>
    <w:basedOn w:val="1"/>
    <w:qFormat/>
    <w:uiPriority w:val="99"/>
    <w:pPr>
      <w:ind w:firstLine="420" w:firstLineChars="200"/>
    </w:pPr>
    <w:rPr>
      <w:szCs w:val="24"/>
    </w:rPr>
  </w:style>
  <w:style w:type="paragraph" w:customStyle="1" w:styleId="180">
    <w:name w:val="标准-款"/>
    <w:basedOn w:val="20"/>
    <w:qFormat/>
    <w:uiPriority w:val="0"/>
    <w:pPr>
      <w:numPr>
        <w:ilvl w:val="3"/>
        <w:numId w:val="13"/>
      </w:numPr>
      <w:outlineLvl w:val="3"/>
    </w:pPr>
  </w:style>
  <w:style w:type="paragraph" w:customStyle="1" w:styleId="181">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182">
    <w:name w:val="Other|1"/>
    <w:basedOn w:val="1"/>
    <w:qFormat/>
    <w:uiPriority w:val="0"/>
    <w:pPr>
      <w:widowControl w:val="0"/>
      <w:shd w:val="clear" w:color="auto" w:fill="auto"/>
      <w:jc w:val="center"/>
    </w:pPr>
    <w:rPr>
      <w:sz w:val="22"/>
      <w:szCs w:val="22"/>
      <w:u w:val="none"/>
      <w:shd w:val="clear" w:color="auto" w:fill="auto"/>
      <w:lang w:val="zh-TW" w:eastAsia="zh-TW" w:bidi="zh-TW"/>
    </w:rPr>
  </w:style>
  <w:style w:type="paragraph" w:customStyle="1" w:styleId="183">
    <w:name w:val="Table Paragraph"/>
    <w:basedOn w:val="1"/>
    <w:qFormat/>
    <w:uiPriority w:val="1"/>
  </w:style>
  <w:style w:type="paragraph" w:customStyle="1" w:styleId="184">
    <w:name w:val="ICS"/>
    <w:basedOn w:val="121"/>
    <w:qFormat/>
    <w:uiPriority w:val="0"/>
    <w:pPr>
      <w:jc w:val="left"/>
    </w:pPr>
    <w:rPr>
      <w:rFonts w:ascii="黑体" w:eastAsia="黑体"/>
      <w:sz w:val="21"/>
    </w:rPr>
  </w:style>
  <w:style w:type="paragraph" w:customStyle="1" w:styleId="185">
    <w:name w:val="名称"/>
    <w:basedOn w:val="70"/>
    <w:next w:val="32"/>
    <w:qFormat/>
    <w:uiPriority w:val="0"/>
    <w:pPr>
      <w:spacing w:line="460" w:lineRule="exact"/>
      <w:outlineLvl w:val="9"/>
    </w:pPr>
  </w:style>
  <w:style w:type="paragraph" w:customStyle="1" w:styleId="186">
    <w:name w:val="术语定义一级条标题"/>
    <w:basedOn w:val="74"/>
    <w:next w:val="32"/>
    <w:qFormat/>
    <w:uiPriority w:val="0"/>
    <w:pPr>
      <w:spacing w:before="0" w:beforeLines="0" w:after="0" w:afterLines="0"/>
      <w:outlineLvl w:val="9"/>
    </w:pPr>
  </w:style>
  <w:style w:type="paragraph" w:customStyle="1" w:styleId="187">
    <w:name w:val="一级无标题条"/>
    <w:basedOn w:val="74"/>
    <w:qFormat/>
    <w:uiPriority w:val="0"/>
    <w:pPr>
      <w:spacing w:before="0" w:beforeLines="0" w:after="0" w:afterLines="0"/>
      <w:outlineLvl w:val="9"/>
    </w:pPr>
    <w:rPr>
      <w:rFonts w:eastAsiaTheme="majorEastAsia"/>
    </w:rPr>
  </w:style>
  <w:style w:type="paragraph" w:customStyle="1" w:styleId="188">
    <w:name w:val="二级无标题条"/>
    <w:basedOn w:val="80"/>
    <w:qFormat/>
    <w:uiPriority w:val="0"/>
    <w:pPr>
      <w:spacing w:before="0" w:beforeLines="0" w:after="0" w:afterLines="0"/>
    </w:pPr>
    <w:rPr>
      <w:rFonts w:eastAsiaTheme="majorEastAsia"/>
    </w:rPr>
  </w:style>
  <w:style w:type="paragraph" w:customStyle="1" w:styleId="189">
    <w:name w:val="发布TB"/>
    <w:basedOn w:val="190"/>
    <w:qFormat/>
    <w:uiPriority w:val="0"/>
    <w:pPr>
      <w:ind w:left="567"/>
    </w:pPr>
  </w:style>
  <w:style w:type="paragraph" w:customStyle="1" w:styleId="190">
    <w:name w:val="发布GB"/>
    <w:basedOn w:val="14"/>
    <w:qFormat/>
    <w:uiPriority w:val="0"/>
    <w:pPr>
      <w:spacing w:after="0" w:line="280" w:lineRule="exact"/>
      <w:ind w:left="284"/>
    </w:pPr>
    <w:rPr>
      <w:rFonts w:ascii="黑体" w:eastAsia="黑体"/>
      <w:kern w:val="3"/>
      <w:sz w:val="28"/>
    </w:rPr>
  </w:style>
  <w:style w:type="paragraph" w:customStyle="1" w:styleId="191">
    <w:name w:val="发布部门TB"/>
    <w:basedOn w:val="1"/>
    <w:qFormat/>
    <w:uiPriority w:val="0"/>
    <w:pPr>
      <w:widowControl/>
      <w:spacing w:line="360" w:lineRule="exact"/>
      <w:jc w:val="center"/>
    </w:pPr>
    <w:rPr>
      <w:rFonts w:ascii="黑体" w:hAnsi="黑体" w:eastAsia="黑体"/>
      <w:spacing w:val="20"/>
      <w:w w:val="135"/>
      <w:kern w:val="0"/>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oleObject" Target="embeddings/oleObject10.bin"/><Relationship Id="rId25" Type="http://schemas.openxmlformats.org/officeDocument/2006/relationships/oleObject" Target="embeddings/oleObject9.bin"/><Relationship Id="rId24" Type="http://schemas.openxmlformats.org/officeDocument/2006/relationships/image" Target="media/image3.wmf"/><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oleObject" Target="embeddings/oleObject6.bin"/><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8C1D8-C3F3-43D1-B637-1EAC29EF9357}">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19</Pages>
  <Words>5028</Words>
  <Characters>6203</Characters>
  <Lines>112</Lines>
  <Paragraphs>31</Paragraphs>
  <TotalTime>51</TotalTime>
  <ScaleCrop>false</ScaleCrop>
  <LinksUpToDate>false</LinksUpToDate>
  <CharactersWithSpaces>6557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2024-05-17T05:54:00Z</dcterms:created>
  <dc:creator>刘彬</dc:creator>
  <cp:lastModifiedBy>sunlin</cp:lastModifiedBy>
  <cp:lastPrinted>2012-01-30T06:48:00Z</cp:lastPrinted>
  <dcterms:modified xsi:type="dcterms:W3CDTF">2024-10-18T08:07:03Z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7433A35DA09D4E7095C2267845236CD4</vt:lpwstr>
  </property>
</Properties>
</file>