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97AF3">
      <w:pPr>
        <w:pStyle w:val="11"/>
        <w:ind w:firstLine="0" w:firstLineChars="0"/>
      </w:pPr>
    </w:p>
    <w:p w14:paraId="6EBED21F">
      <w:pPr>
        <w:pStyle w:val="11"/>
        <w:ind w:firstLine="0" w:firstLineChars="0"/>
      </w:pPr>
    </w:p>
    <w:p w14:paraId="22A18E53">
      <w:pPr>
        <w:pStyle w:val="11"/>
        <w:ind w:firstLine="0" w:firstLineChars="0"/>
      </w:pPr>
    </w:p>
    <w:p w14:paraId="42415063">
      <w:pPr>
        <w:pStyle w:val="11"/>
        <w:ind w:firstLine="0" w:firstLineChars="0"/>
      </w:pPr>
    </w:p>
    <w:p w14:paraId="2ABCD22E">
      <w:pPr>
        <w:pStyle w:val="11"/>
        <w:ind w:firstLine="0" w:firstLineChars="0"/>
      </w:pPr>
    </w:p>
    <w:p w14:paraId="3CDB05C9">
      <w:pPr>
        <w:pStyle w:val="11"/>
        <w:ind w:firstLine="0" w:firstLineChars="0"/>
      </w:pPr>
    </w:p>
    <w:p w14:paraId="17111771">
      <w:pPr>
        <w:pStyle w:val="11"/>
        <w:ind w:firstLine="0" w:firstLineChars="0"/>
      </w:pPr>
    </w:p>
    <w:p w14:paraId="4E71C6FE">
      <w:pPr>
        <w:pStyle w:val="11"/>
        <w:ind w:firstLine="0" w:firstLineChars="0"/>
      </w:pPr>
    </w:p>
    <w:p w14:paraId="162582E5">
      <w:pPr>
        <w:pStyle w:val="11"/>
        <w:ind w:firstLine="0" w:firstLineChars="0"/>
      </w:pPr>
    </w:p>
    <w:p w14:paraId="6734C49C">
      <w:pPr>
        <w:pStyle w:val="11"/>
        <w:ind w:firstLine="0" w:firstLineChars="0"/>
      </w:pPr>
    </w:p>
    <w:p w14:paraId="436693D9">
      <w:pPr>
        <w:pStyle w:val="20"/>
        <w:outlineLvl w:val="0"/>
        <w:rPr>
          <w:rFonts w:hint="default" w:ascii="Times New Roman" w:hAnsi="Times New Roman" w:cs="Times New Roman"/>
        </w:rPr>
      </w:pPr>
      <w:bookmarkStart w:id="0" w:name="_Toc10452"/>
      <w:r>
        <w:rPr>
          <w:rFonts w:hint="default" w:ascii="Times New Roman" w:hAnsi="Times New Roman" w:cs="Times New Roman"/>
        </w:rPr>
        <w:t>电动汽车车网互动平台技术规范</w:t>
      </w:r>
      <w:bookmarkEnd w:id="0"/>
    </w:p>
    <w:p w14:paraId="56B5570E">
      <w:pPr>
        <w:pStyle w:val="11"/>
        <w:ind w:firstLine="0" w:firstLineChars="0"/>
        <w:jc w:val="center"/>
        <w:rPr>
          <w:rFonts w:ascii="黑体" w:eastAsia="黑体"/>
          <w:sz w:val="44"/>
          <w:szCs w:val="44"/>
        </w:rPr>
      </w:pPr>
    </w:p>
    <w:p w14:paraId="074E455D">
      <w:pPr>
        <w:pStyle w:val="11"/>
      </w:pPr>
    </w:p>
    <w:p w14:paraId="5B8ED493">
      <w:pPr>
        <w:pStyle w:val="11"/>
      </w:pPr>
    </w:p>
    <w:p w14:paraId="685AA877">
      <w:pPr>
        <w:pStyle w:val="12"/>
        <w:numPr>
          <w:ilvl w:val="0"/>
          <w:numId w:val="0"/>
        </w:numPr>
        <w:jc w:val="center"/>
        <w:rPr>
          <w:sz w:val="28"/>
          <w:szCs w:val="28"/>
        </w:rPr>
      </w:pPr>
      <w:bookmarkStart w:id="1" w:name="_Toc298937368"/>
      <w:bookmarkStart w:id="2" w:name="_Toc298937333"/>
      <w:bookmarkStart w:id="3" w:name="_Toc304825020"/>
      <w:bookmarkStart w:id="4" w:name="_Toc318613715"/>
      <w:bookmarkStart w:id="5" w:name="_Toc298937473"/>
      <w:bookmarkStart w:id="6" w:name="_Toc304828086"/>
      <w:bookmarkStart w:id="7" w:name="_Toc298937560"/>
      <w:bookmarkStart w:id="8" w:name="_Toc309996019"/>
      <w:bookmarkStart w:id="9" w:name="_Toc309994571"/>
      <w:bookmarkStart w:id="10" w:name="_Toc298938646"/>
      <w:bookmarkStart w:id="11" w:name="_Toc298938794"/>
      <w:bookmarkStart w:id="12" w:name="_Toc298937430"/>
      <w:bookmarkStart w:id="13" w:name="_Toc309997060"/>
      <w:bookmarkStart w:id="14" w:name="_Toc320020914"/>
      <w:bookmarkStart w:id="15" w:name="_Toc309995598"/>
      <w:bookmarkStart w:id="16" w:name="_Toc309995410"/>
      <w:bookmarkStart w:id="17" w:name="_Toc304825093"/>
      <w:bookmarkStart w:id="18" w:name="_Toc304824981"/>
      <w:bookmarkStart w:id="19" w:name="_Toc309995492"/>
      <w:bookmarkStart w:id="20" w:name="_Toc298937620"/>
      <w:bookmarkStart w:id="21" w:name="_Toc309993200"/>
      <w:bookmarkStart w:id="22" w:name="_Toc304402675"/>
      <w:bookmarkStart w:id="23" w:name="_Toc310002657"/>
      <w:r>
        <w:rPr>
          <w:rFonts w:hint="eastAsia"/>
          <w:sz w:val="28"/>
          <w:szCs w:val="28"/>
        </w:rPr>
        <w:t>编 制 说</w:t>
      </w:r>
      <w:bookmarkEnd w:id="1"/>
      <w:bookmarkEnd w:id="2"/>
      <w:r>
        <w:rPr>
          <w:rFonts w:hint="eastAsia"/>
          <w:sz w:val="28"/>
          <w:szCs w:val="28"/>
        </w:rPr>
        <w:t> 明</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9B9135B">
      <w:pPr>
        <w:pStyle w:val="11"/>
        <w:ind w:firstLine="560"/>
        <w:jc w:val="center"/>
        <w:rPr>
          <w:rFonts w:ascii="黑体" w:eastAsia="黑体"/>
          <w:sz w:val="28"/>
          <w:szCs w:val="28"/>
        </w:rPr>
      </w:pPr>
    </w:p>
    <w:p w14:paraId="46D2133A">
      <w:pPr>
        <w:pStyle w:val="11"/>
        <w:sectPr>
          <w:headerReference r:id="rId3" w:type="default"/>
          <w:footerReference r:id="rId5" w:type="default"/>
          <w:headerReference r:id="rId4" w:type="even"/>
          <w:pgSz w:w="11906" w:h="16838"/>
          <w:pgMar w:top="567" w:right="1134" w:bottom="1134" w:left="1417" w:header="1418" w:footer="1134" w:gutter="0"/>
          <w:cols w:space="720" w:num="1"/>
          <w:formProt w:val="0"/>
          <w:docGrid w:type="lines" w:linePitch="312" w:charSpace="0"/>
        </w:sectPr>
      </w:pPr>
    </w:p>
    <w:p w14:paraId="37BC3A64">
      <w:pPr>
        <w:pStyle w:val="13"/>
      </w:pPr>
      <w:bookmarkStart w:id="24" w:name="_Toc513731109"/>
      <w:bookmarkStart w:id="25" w:name="_Toc309992160"/>
      <w:bookmarkStart w:id="26" w:name="_Toc513731021"/>
      <w:bookmarkStart w:id="27" w:name="_Toc26777"/>
      <w:r>
        <w:rPr>
          <w:rFonts w:hint="eastAsia"/>
        </w:rPr>
        <w:t>目次</w:t>
      </w:r>
      <w:bookmarkEnd w:id="24"/>
      <w:bookmarkEnd w:id="25"/>
      <w:bookmarkEnd w:id="26"/>
      <w:bookmarkEnd w:id="27"/>
    </w:p>
    <w:p w14:paraId="122B9985">
      <w:pPr>
        <w:pStyle w:val="4"/>
        <w:tabs>
          <w:tab w:val="right" w:leader="dot" w:pos="9355"/>
          <w:tab w:val="clear" w:pos="9241"/>
        </w:tabs>
      </w:pPr>
      <w:r>
        <w:rPr>
          <w:rFonts w:hAnsi="宋体"/>
        </w:rPr>
        <w:fldChar w:fldCharType="begin"/>
      </w:r>
      <w:r>
        <w:rPr>
          <w:rFonts w:hAnsi="宋体"/>
        </w:rPr>
        <w:instrText xml:space="preserve"> </w:instrText>
      </w:r>
      <w:r>
        <w:rPr>
          <w:rFonts w:hint="eastAsia" w:hAnsi="宋体"/>
        </w:rPr>
        <w:instrText xml:space="preserve">TOC \o "1-1" \h \z \u</w:instrText>
      </w:r>
      <w:r>
        <w:rPr>
          <w:rFonts w:hAnsi="宋体"/>
        </w:rPr>
        <w:instrText xml:space="preserve"> </w:instrText>
      </w:r>
      <w:r>
        <w:rPr>
          <w:rFonts w:hAnsi="宋体"/>
        </w:rPr>
        <w:fldChar w:fldCharType="separate"/>
      </w:r>
      <w:r>
        <w:rPr>
          <w:rFonts w:hAnsi="宋体"/>
        </w:rPr>
        <w:fldChar w:fldCharType="begin"/>
      </w:r>
      <w:r>
        <w:rPr>
          <w:rFonts w:hAnsi="宋体"/>
        </w:rPr>
        <w:instrText xml:space="preserve"> HYPERLINK \l _Toc10452 </w:instrText>
      </w:r>
      <w:r>
        <w:rPr>
          <w:rFonts w:hAnsi="宋体"/>
        </w:rPr>
        <w:fldChar w:fldCharType="separate"/>
      </w:r>
      <w:r>
        <w:rPr>
          <w:rFonts w:hint="default" w:ascii="Times New Roman" w:hAnsi="Times New Roman" w:cs="Times New Roman"/>
        </w:rPr>
        <w:t>电动汽车车网互动平台技术规范</w:t>
      </w:r>
      <w:r>
        <w:tab/>
      </w:r>
      <w:r>
        <w:fldChar w:fldCharType="begin"/>
      </w:r>
      <w:r>
        <w:instrText xml:space="preserve"> PAGEREF _Toc10452 \h </w:instrText>
      </w:r>
      <w:r>
        <w:fldChar w:fldCharType="separate"/>
      </w:r>
      <w:r>
        <w:t>1</w:t>
      </w:r>
      <w:r>
        <w:fldChar w:fldCharType="end"/>
      </w:r>
      <w:r>
        <w:rPr>
          <w:rFonts w:hAnsi="宋体"/>
        </w:rPr>
        <w:fldChar w:fldCharType="end"/>
      </w:r>
    </w:p>
    <w:p w14:paraId="169F43DE">
      <w:pPr>
        <w:pStyle w:val="4"/>
        <w:tabs>
          <w:tab w:val="right" w:leader="dot" w:pos="9355"/>
          <w:tab w:val="clear" w:pos="9241"/>
        </w:tabs>
      </w:pPr>
      <w:r>
        <w:rPr>
          <w:rFonts w:hAnsi="宋体"/>
          <w:szCs w:val="21"/>
        </w:rPr>
        <w:fldChar w:fldCharType="begin"/>
      </w:r>
      <w:r>
        <w:rPr>
          <w:rFonts w:hAnsi="宋体"/>
          <w:szCs w:val="21"/>
        </w:rPr>
        <w:instrText xml:space="preserve"> HYPERLINK \l _Toc26777 </w:instrText>
      </w:r>
      <w:r>
        <w:rPr>
          <w:rFonts w:hAnsi="宋体"/>
          <w:szCs w:val="21"/>
        </w:rPr>
        <w:fldChar w:fldCharType="separate"/>
      </w:r>
      <w:r>
        <w:rPr>
          <w:rFonts w:hint="eastAsia"/>
        </w:rPr>
        <w:t>目次</w:t>
      </w:r>
      <w:r>
        <w:tab/>
      </w:r>
      <w:r>
        <w:fldChar w:fldCharType="begin"/>
      </w:r>
      <w:r>
        <w:instrText xml:space="preserve"> PAGEREF _Toc26777 \h </w:instrText>
      </w:r>
      <w:r>
        <w:fldChar w:fldCharType="separate"/>
      </w:r>
      <w:r>
        <w:t>2</w:t>
      </w:r>
      <w:r>
        <w:fldChar w:fldCharType="end"/>
      </w:r>
      <w:r>
        <w:rPr>
          <w:rFonts w:hAnsi="宋体"/>
          <w:szCs w:val="21"/>
        </w:rPr>
        <w:fldChar w:fldCharType="end"/>
      </w:r>
    </w:p>
    <w:p w14:paraId="65B07623">
      <w:pPr>
        <w:pStyle w:val="4"/>
        <w:tabs>
          <w:tab w:val="right" w:leader="dot" w:pos="9355"/>
          <w:tab w:val="clear" w:pos="9241"/>
        </w:tabs>
      </w:pPr>
      <w:r>
        <w:rPr>
          <w:rFonts w:hAnsi="宋体"/>
          <w:szCs w:val="21"/>
        </w:rPr>
        <w:fldChar w:fldCharType="begin"/>
      </w:r>
      <w:r>
        <w:rPr>
          <w:rFonts w:hAnsi="宋体"/>
          <w:szCs w:val="21"/>
        </w:rPr>
        <w:instrText xml:space="preserve"> HYPERLINK \l _Toc2318 </w:instrText>
      </w:r>
      <w:r>
        <w:rPr>
          <w:rFonts w:hAnsi="宋体"/>
          <w:szCs w:val="21"/>
        </w:rPr>
        <w:fldChar w:fldCharType="separate"/>
      </w:r>
      <w:r>
        <w:rPr>
          <w:rFonts w:hint="eastAsia" w:ascii="宋体" w:hAnsi="宋体"/>
          <w:szCs w:val="21"/>
        </w:rPr>
        <w:t>1 编制背景</w:t>
      </w:r>
      <w:r>
        <w:tab/>
      </w:r>
      <w:r>
        <w:fldChar w:fldCharType="begin"/>
      </w:r>
      <w:r>
        <w:instrText xml:space="preserve"> PAGEREF _Toc2318 \h </w:instrText>
      </w:r>
      <w:r>
        <w:fldChar w:fldCharType="separate"/>
      </w:r>
      <w:r>
        <w:t>3</w:t>
      </w:r>
      <w:r>
        <w:fldChar w:fldCharType="end"/>
      </w:r>
      <w:r>
        <w:rPr>
          <w:rFonts w:hAnsi="宋体"/>
          <w:szCs w:val="21"/>
        </w:rPr>
        <w:fldChar w:fldCharType="end"/>
      </w:r>
    </w:p>
    <w:p w14:paraId="4F43AB32">
      <w:pPr>
        <w:pStyle w:val="4"/>
        <w:tabs>
          <w:tab w:val="right" w:leader="dot" w:pos="9355"/>
          <w:tab w:val="clear" w:pos="9241"/>
        </w:tabs>
      </w:pPr>
      <w:r>
        <w:rPr>
          <w:rFonts w:hAnsi="宋体"/>
          <w:szCs w:val="21"/>
        </w:rPr>
        <w:fldChar w:fldCharType="begin"/>
      </w:r>
      <w:r>
        <w:rPr>
          <w:rFonts w:hAnsi="宋体"/>
          <w:szCs w:val="21"/>
        </w:rPr>
        <w:instrText xml:space="preserve"> HYPERLINK \l _Toc32337 </w:instrText>
      </w:r>
      <w:r>
        <w:rPr>
          <w:rFonts w:hAnsi="宋体"/>
          <w:szCs w:val="21"/>
        </w:rPr>
        <w:fldChar w:fldCharType="separate"/>
      </w:r>
      <w:r>
        <w:rPr>
          <w:rFonts w:hint="eastAsia" w:ascii="宋体" w:hAnsi="宋体"/>
          <w:szCs w:val="21"/>
        </w:rPr>
        <w:t>2 编制主要原则</w:t>
      </w:r>
      <w:r>
        <w:tab/>
      </w:r>
      <w:r>
        <w:fldChar w:fldCharType="begin"/>
      </w:r>
      <w:r>
        <w:instrText xml:space="preserve"> PAGEREF _Toc32337 \h </w:instrText>
      </w:r>
      <w:r>
        <w:fldChar w:fldCharType="separate"/>
      </w:r>
      <w:r>
        <w:t>3</w:t>
      </w:r>
      <w:r>
        <w:fldChar w:fldCharType="end"/>
      </w:r>
      <w:r>
        <w:rPr>
          <w:rFonts w:hAnsi="宋体"/>
          <w:szCs w:val="21"/>
        </w:rPr>
        <w:fldChar w:fldCharType="end"/>
      </w:r>
    </w:p>
    <w:p w14:paraId="505B6779">
      <w:pPr>
        <w:pStyle w:val="4"/>
        <w:tabs>
          <w:tab w:val="right" w:leader="dot" w:pos="9355"/>
          <w:tab w:val="clear" w:pos="9241"/>
        </w:tabs>
      </w:pPr>
      <w:r>
        <w:rPr>
          <w:rFonts w:hAnsi="宋体"/>
          <w:szCs w:val="21"/>
        </w:rPr>
        <w:fldChar w:fldCharType="begin"/>
      </w:r>
      <w:r>
        <w:rPr>
          <w:rFonts w:hAnsi="宋体"/>
          <w:szCs w:val="21"/>
        </w:rPr>
        <w:instrText xml:space="preserve"> HYPERLINK \l _Toc30930 </w:instrText>
      </w:r>
      <w:r>
        <w:rPr>
          <w:rFonts w:hAnsi="宋体"/>
          <w:szCs w:val="21"/>
        </w:rPr>
        <w:fldChar w:fldCharType="separate"/>
      </w:r>
      <w:r>
        <w:rPr>
          <w:rFonts w:hint="eastAsia" w:ascii="宋体" w:hAnsi="宋体"/>
          <w:szCs w:val="21"/>
        </w:rPr>
        <w:t>3 主要工作过程</w:t>
      </w:r>
      <w:r>
        <w:tab/>
      </w:r>
      <w:r>
        <w:fldChar w:fldCharType="begin"/>
      </w:r>
      <w:r>
        <w:instrText xml:space="preserve"> PAGEREF _Toc30930 \h </w:instrText>
      </w:r>
      <w:r>
        <w:fldChar w:fldCharType="separate"/>
      </w:r>
      <w:r>
        <w:t>3</w:t>
      </w:r>
      <w:r>
        <w:fldChar w:fldCharType="end"/>
      </w:r>
      <w:r>
        <w:rPr>
          <w:rFonts w:hAnsi="宋体"/>
          <w:szCs w:val="21"/>
        </w:rPr>
        <w:fldChar w:fldCharType="end"/>
      </w:r>
    </w:p>
    <w:p w14:paraId="250D0D54">
      <w:pPr>
        <w:pStyle w:val="4"/>
        <w:tabs>
          <w:tab w:val="right" w:leader="dot" w:pos="9355"/>
          <w:tab w:val="clear" w:pos="9241"/>
        </w:tabs>
      </w:pPr>
      <w:r>
        <w:rPr>
          <w:rFonts w:hAnsi="宋体"/>
          <w:szCs w:val="21"/>
        </w:rPr>
        <w:fldChar w:fldCharType="begin"/>
      </w:r>
      <w:r>
        <w:rPr>
          <w:rFonts w:hAnsi="宋体"/>
          <w:szCs w:val="21"/>
        </w:rPr>
        <w:instrText xml:space="preserve"> HYPERLINK \l _Toc8161 </w:instrText>
      </w:r>
      <w:r>
        <w:rPr>
          <w:rFonts w:hAnsi="宋体"/>
          <w:szCs w:val="21"/>
        </w:rPr>
        <w:fldChar w:fldCharType="separate"/>
      </w:r>
      <w:r>
        <w:rPr>
          <w:rFonts w:hint="eastAsia" w:ascii="宋体" w:hAnsi="宋体"/>
          <w:szCs w:val="21"/>
        </w:rPr>
        <w:t>4</w:t>
      </w:r>
      <w:r>
        <w:rPr>
          <w:rFonts w:hint="eastAsia"/>
        </w:rPr>
        <w:t xml:space="preserve"> 标准结构和内容说明</w:t>
      </w:r>
      <w:r>
        <w:tab/>
      </w:r>
      <w:r>
        <w:fldChar w:fldCharType="begin"/>
      </w:r>
      <w:r>
        <w:instrText xml:space="preserve"> PAGEREF _Toc8161 \h </w:instrText>
      </w:r>
      <w:r>
        <w:fldChar w:fldCharType="separate"/>
      </w:r>
      <w:r>
        <w:t>4</w:t>
      </w:r>
      <w:r>
        <w:fldChar w:fldCharType="end"/>
      </w:r>
      <w:r>
        <w:rPr>
          <w:rFonts w:hAnsi="宋体"/>
          <w:szCs w:val="21"/>
        </w:rPr>
        <w:fldChar w:fldCharType="end"/>
      </w:r>
    </w:p>
    <w:p w14:paraId="732AAD53">
      <w:pPr>
        <w:pStyle w:val="4"/>
        <w:tabs>
          <w:tab w:val="right" w:leader="dot" w:pos="9355"/>
          <w:tab w:val="clear" w:pos="9241"/>
        </w:tabs>
      </w:pPr>
      <w:r>
        <w:rPr>
          <w:rFonts w:hAnsi="宋体"/>
          <w:szCs w:val="21"/>
        </w:rPr>
        <w:fldChar w:fldCharType="begin"/>
      </w:r>
      <w:r>
        <w:rPr>
          <w:rFonts w:hAnsi="宋体"/>
          <w:szCs w:val="21"/>
        </w:rPr>
        <w:instrText xml:space="preserve"> HYPERLINK \l _Toc14002 </w:instrText>
      </w:r>
      <w:r>
        <w:rPr>
          <w:rFonts w:hAnsi="宋体"/>
          <w:szCs w:val="21"/>
        </w:rPr>
        <w:fldChar w:fldCharType="separate"/>
      </w:r>
      <w:r>
        <w:rPr>
          <w:rFonts w:hint="eastAsia" w:ascii="宋体" w:hAnsi="宋体"/>
          <w:szCs w:val="21"/>
        </w:rPr>
        <w:t>5相关</w:t>
      </w:r>
      <w:r>
        <w:rPr>
          <w:rFonts w:hint="eastAsia"/>
        </w:rPr>
        <w:t>标准对比说明</w:t>
      </w:r>
      <w:r>
        <w:tab/>
      </w:r>
      <w:r>
        <w:fldChar w:fldCharType="begin"/>
      </w:r>
      <w:r>
        <w:instrText xml:space="preserve"> PAGEREF _Toc14002 \h </w:instrText>
      </w:r>
      <w:r>
        <w:fldChar w:fldCharType="separate"/>
      </w:r>
      <w:r>
        <w:t>4</w:t>
      </w:r>
      <w:r>
        <w:fldChar w:fldCharType="end"/>
      </w:r>
      <w:r>
        <w:rPr>
          <w:rFonts w:hAnsi="宋体"/>
          <w:szCs w:val="21"/>
        </w:rPr>
        <w:fldChar w:fldCharType="end"/>
      </w:r>
    </w:p>
    <w:p w14:paraId="251EA31B">
      <w:pPr>
        <w:pStyle w:val="11"/>
        <w:rPr>
          <w:rFonts w:hAnsi="宋体"/>
          <w:szCs w:val="21"/>
        </w:rPr>
      </w:pPr>
      <w:r>
        <w:rPr>
          <w:rFonts w:hAnsi="宋体"/>
          <w:szCs w:val="21"/>
        </w:rPr>
        <w:fldChar w:fldCharType="end"/>
      </w:r>
    </w:p>
    <w:p w14:paraId="70C41A16">
      <w:pPr>
        <w:pStyle w:val="11"/>
        <w:rPr>
          <w:rFonts w:hAnsi="宋体"/>
          <w:szCs w:val="21"/>
        </w:rPr>
      </w:pPr>
    </w:p>
    <w:p w14:paraId="7AC078A2">
      <w:pPr>
        <w:pStyle w:val="11"/>
        <w:rPr>
          <w:rFonts w:hAnsi="宋体"/>
          <w:szCs w:val="21"/>
        </w:rPr>
      </w:pPr>
    </w:p>
    <w:p w14:paraId="10A81893">
      <w:pPr>
        <w:pStyle w:val="11"/>
        <w:rPr>
          <w:rFonts w:hAnsi="宋体"/>
          <w:szCs w:val="21"/>
        </w:rPr>
      </w:pPr>
    </w:p>
    <w:p w14:paraId="61C81272">
      <w:pPr>
        <w:pStyle w:val="11"/>
        <w:rPr>
          <w:rFonts w:hAnsi="宋体"/>
          <w:szCs w:val="21"/>
        </w:rPr>
        <w:sectPr>
          <w:headerReference r:id="rId6" w:type="default"/>
          <w:footerReference r:id="rId7" w:type="default"/>
          <w:pgSz w:w="11906" w:h="16838"/>
          <w:pgMar w:top="567" w:right="1134" w:bottom="1134" w:left="1417" w:header="1418" w:footer="1134" w:gutter="0"/>
          <w:cols w:space="720" w:num="1"/>
          <w:formProt w:val="0"/>
          <w:docGrid w:type="lines" w:linePitch="312" w:charSpace="0"/>
        </w:sectPr>
      </w:pPr>
    </w:p>
    <w:p w14:paraId="38D96A30">
      <w:pPr>
        <w:pStyle w:val="15"/>
        <w:spacing w:before="312" w:after="312"/>
        <w:rPr>
          <w:rFonts w:ascii="宋体" w:hAnsi="宋体"/>
          <w:szCs w:val="21"/>
        </w:rPr>
      </w:pPr>
      <w:bookmarkStart w:id="28" w:name="_Toc2318"/>
      <w:r>
        <w:rPr>
          <w:rFonts w:hint="eastAsia" w:ascii="宋体" w:hAnsi="宋体"/>
          <w:szCs w:val="21"/>
        </w:rPr>
        <w:t>1 编制背景</w:t>
      </w:r>
      <w:bookmarkEnd w:id="28"/>
    </w:p>
    <w:p w14:paraId="4F2D6701">
      <w:pPr>
        <w:pStyle w:val="11"/>
        <w:rPr>
          <w:color w:val="auto"/>
        </w:rPr>
      </w:pPr>
      <w:r>
        <w:rPr>
          <w:rFonts w:hint="eastAsia"/>
          <w:color w:val="auto"/>
        </w:rPr>
        <w:t>本标准是根据电机咨〔2023〕512号文，</w:t>
      </w:r>
      <w:r>
        <w:rPr>
          <w:color w:val="auto"/>
        </w:rPr>
        <w:t>“</w:t>
      </w:r>
      <w:r>
        <w:rPr>
          <w:rFonts w:hint="eastAsia"/>
          <w:color w:val="auto"/>
        </w:rPr>
        <w:t>中国电机工程学会2023年标准计划（第二批）”</w:t>
      </w:r>
      <w:r>
        <w:rPr>
          <w:color w:val="auto"/>
        </w:rPr>
        <w:t>下达</w:t>
      </w:r>
      <w:r>
        <w:rPr>
          <w:rFonts w:hint="eastAsia"/>
          <w:color w:val="auto"/>
        </w:rPr>
        <w:t>的制定</w:t>
      </w:r>
      <w:r>
        <w:rPr>
          <w:color w:val="auto"/>
        </w:rPr>
        <w:t>任务</w:t>
      </w:r>
      <w:r>
        <w:rPr>
          <w:rFonts w:hint="eastAsia"/>
          <w:color w:val="auto"/>
        </w:rPr>
        <w:t>，项目序号</w:t>
      </w:r>
      <w:r>
        <w:rPr>
          <w:rFonts w:hint="eastAsia"/>
          <w:color w:val="auto"/>
          <w:lang w:val="en-US" w:eastAsia="zh-CN"/>
        </w:rPr>
        <w:t>39</w:t>
      </w:r>
      <w:r>
        <w:rPr>
          <w:rFonts w:hint="eastAsia"/>
          <w:color w:val="auto"/>
        </w:rPr>
        <w:t>对“电动汽车车网互动平台技术规范”进行制定的</w:t>
      </w:r>
      <w:r>
        <w:rPr>
          <w:color w:val="auto"/>
        </w:rPr>
        <w:t>。</w:t>
      </w:r>
      <w:r>
        <w:rPr>
          <w:rFonts w:hint="eastAsia"/>
          <w:color w:val="auto"/>
        </w:rPr>
        <w:t>由国网北京市电力公司</w:t>
      </w:r>
      <w:r>
        <w:rPr>
          <w:color w:val="auto"/>
        </w:rPr>
        <w:t>负责起草。</w:t>
      </w:r>
    </w:p>
    <w:p w14:paraId="3A4380A5">
      <w:pPr>
        <w:pStyle w:val="11"/>
        <w:rPr>
          <w:rFonts w:hint="eastAsia"/>
          <w:color w:val="auto"/>
        </w:rPr>
      </w:pPr>
      <w:r>
        <w:rPr>
          <w:rFonts w:hint="eastAsia"/>
          <w:color w:val="auto"/>
        </w:rPr>
        <w:t>根据国家发改委意见，到“十四五”末，我国电动汽车保有量将超过2000万辆。规模化电动汽车发展将给电网带来新一轮的负荷增长，但是从电动汽车充电负荷特性看，用户充电负荷曲线与电网负荷曲线高度重合，将进一步加剧负荷峰谷差，给区域电网带来负荷压力和电能质量影响。依靠传统的电网发展思路，未来几年电动汽车新增负荷容量，维持电网安全稳定运行的难度将大大增加，不仅将带来电网投资规模的巨大增长，而且将大幅提高电网的容载比，造成电网投资和运行效率未充分利用，不利于电网的安全、经济运行。为了更好地服务电动汽车产业发展，有效应对电动汽车规模化充电对电网带来的风险挑战。需要我们转变发展模式，融合大数据、云计算、物联网、移动互联等技术手段，利用车辆大数据资源，联同各车企自有车联网平台，利用“源、网、荷、储”协调优化的电力系统运营模式，建立统一的车网互动平台，推动电力系统向“源-网-荷-储”高效协同方向发展，实现电网与电动汽车能源的双向互动，响应电网侧的有序充电调控及参与用户的经济分享，在更大范围内进行资源协调、配置,推动电网与电动汽车发展的协调有序、共享互济，构建清洁、智能、高效、互动的电动汽车能源互联网。</w:t>
      </w:r>
    </w:p>
    <w:p w14:paraId="4D9682C7">
      <w:pPr>
        <w:pStyle w:val="11"/>
        <w:rPr>
          <w:rFonts w:hint="default" w:eastAsia="宋体"/>
          <w:color w:val="auto"/>
          <w:lang w:val="en-US" w:eastAsia="zh-CN"/>
        </w:rPr>
      </w:pPr>
      <w:r>
        <w:rPr>
          <w:rFonts w:hint="eastAsia"/>
          <w:color w:val="auto"/>
        </w:rPr>
        <w:t>目前，我国在电动汽车充电设施标准体系方面取得了巨大成就，标准相对完善，涵盖电动汽车充换电设施基础标准、电能补给、服务网络、建设与运行等四大类158项，有力支撑了我国新能源汽车产业的发展。但是从车网互动开展过程与环节分析，建设、运营和信息交互以及试验检验等相关标准缺失，需着重从车网互动总体需求、业务发展来开展标准预研、规划，完善标准架构。</w:t>
      </w:r>
    </w:p>
    <w:p w14:paraId="2B0EA016">
      <w:pPr>
        <w:pStyle w:val="15"/>
        <w:spacing w:before="312" w:after="312"/>
        <w:rPr>
          <w:rFonts w:ascii="宋体" w:hAnsi="宋体"/>
          <w:szCs w:val="21"/>
        </w:rPr>
      </w:pPr>
      <w:bookmarkStart w:id="29" w:name="_Toc32337"/>
      <w:r>
        <w:rPr>
          <w:rFonts w:hint="eastAsia" w:ascii="宋体" w:hAnsi="宋体"/>
          <w:szCs w:val="21"/>
        </w:rPr>
        <w:t>2 编制主要原则</w:t>
      </w:r>
      <w:bookmarkEnd w:id="29"/>
    </w:p>
    <w:p w14:paraId="20DB838E">
      <w:pPr>
        <w:pStyle w:val="11"/>
        <w:rPr>
          <w:rFonts w:hint="eastAsia" w:ascii="宋体" w:hAnsi="Times New Roman" w:eastAsia="宋体" w:cs="Times New Roman"/>
          <w:color w:val="auto"/>
        </w:rPr>
      </w:pPr>
      <w:bookmarkStart w:id="30" w:name="_Toc30930"/>
      <w:r>
        <w:rPr>
          <w:rFonts w:hint="eastAsia" w:ascii="宋体" w:hAnsi="Times New Roman" w:eastAsia="宋体" w:cs="Times New Roman"/>
          <w:color w:val="auto"/>
        </w:rPr>
        <w:t>本标准聚焦电动汽车</w:t>
      </w:r>
      <w:r>
        <w:rPr>
          <w:rFonts w:hint="eastAsia" w:ascii="宋体" w:hAnsi="Times New Roman" w:eastAsia="宋体" w:cs="Times New Roman"/>
          <w:color w:val="auto"/>
          <w:lang w:val="en-US" w:eastAsia="zh-CN"/>
        </w:rPr>
        <w:t>车网互动平台功能要求、与电网调度交易层和负荷聚合商平台层交互信息</w:t>
      </w:r>
      <w:r>
        <w:rPr>
          <w:rFonts w:hint="eastAsia" w:ascii="宋体" w:hAnsi="Times New Roman" w:eastAsia="宋体" w:cs="Times New Roman"/>
          <w:color w:val="auto"/>
        </w:rPr>
        <w:t>要求、流程要求、</w:t>
      </w:r>
      <w:r>
        <w:rPr>
          <w:rFonts w:hint="eastAsia" w:ascii="宋体" w:hAnsi="Times New Roman" w:eastAsia="宋体" w:cs="Times New Roman"/>
          <w:color w:val="auto"/>
          <w:lang w:val="en-US" w:eastAsia="zh-CN"/>
        </w:rPr>
        <w:t>性能要求、</w:t>
      </w:r>
      <w:r>
        <w:rPr>
          <w:rFonts w:hint="eastAsia" w:ascii="宋体" w:hAnsi="Times New Roman" w:eastAsia="宋体" w:cs="Times New Roman"/>
          <w:color w:val="auto"/>
        </w:rPr>
        <w:t>安全防护要求，以满足</w:t>
      </w:r>
      <w:r>
        <w:rPr>
          <w:rFonts w:hint="eastAsia" w:ascii="宋体" w:hAnsi="Times New Roman" w:eastAsia="宋体" w:cs="Times New Roman"/>
          <w:color w:val="auto"/>
          <w:lang w:val="en-US" w:eastAsia="zh-CN"/>
        </w:rPr>
        <w:t>电动汽车车网互动要求为主</w:t>
      </w:r>
      <w:r>
        <w:rPr>
          <w:rFonts w:hint="eastAsia" w:ascii="宋体" w:hAnsi="Times New Roman" w:eastAsia="宋体" w:cs="Times New Roman"/>
          <w:color w:val="auto"/>
        </w:rPr>
        <w:t>。通过</w:t>
      </w:r>
      <w:r>
        <w:rPr>
          <w:rFonts w:hint="eastAsia" w:ascii="宋体" w:hAnsi="Times New Roman" w:eastAsia="宋体" w:cs="Times New Roman"/>
          <w:color w:val="auto"/>
          <w:lang w:val="en-US" w:eastAsia="zh-CN"/>
        </w:rPr>
        <w:t>与电网调度和负荷聚合商平台的互联互通，实现规模化电动汽车资源的统一调度和管理</w:t>
      </w:r>
      <w:r>
        <w:rPr>
          <w:rFonts w:hint="eastAsia" w:ascii="宋体" w:hAnsi="Times New Roman" w:eastAsia="宋体" w:cs="Times New Roman"/>
          <w:color w:val="auto"/>
        </w:rPr>
        <w:t>，促进大规模车网互动局面的形成，具有重要的意义。</w:t>
      </w:r>
      <w:bookmarkStart w:id="33" w:name="_GoBack"/>
      <w:bookmarkEnd w:id="33"/>
    </w:p>
    <w:p w14:paraId="7E075300">
      <w:pPr>
        <w:pStyle w:val="15"/>
        <w:spacing w:before="312" w:after="312"/>
        <w:rPr>
          <w:rFonts w:ascii="宋体" w:hAnsi="宋体"/>
          <w:szCs w:val="21"/>
        </w:rPr>
      </w:pPr>
      <w:r>
        <w:rPr>
          <w:rFonts w:hint="eastAsia" w:ascii="宋体" w:hAnsi="宋体"/>
          <w:szCs w:val="21"/>
        </w:rPr>
        <w:t>3 主要工作过程</w:t>
      </w:r>
      <w:bookmarkEnd w:id="30"/>
    </w:p>
    <w:p w14:paraId="4BC094A2">
      <w:pPr>
        <w:ind w:firstLine="420" w:firstLineChars="200"/>
        <w:rPr>
          <w:rFonts w:ascii="宋体" w:hAnsi="Times New Roman"/>
          <w:kern w:val="0"/>
          <w:szCs w:val="20"/>
        </w:rPr>
      </w:pPr>
      <w:r>
        <w:rPr>
          <w:rFonts w:hint="eastAsia" w:ascii="宋体" w:hAnsi="Times New Roman"/>
          <w:kern w:val="0"/>
          <w:szCs w:val="20"/>
        </w:rPr>
        <w:t>2024年5月，由国网北京市电力公司、南方电网电动汽车服务有限公司、国网</w:t>
      </w:r>
      <w:r>
        <w:rPr>
          <w:rFonts w:hint="eastAsia" w:ascii="宋体" w:hAnsi="Times New Roman"/>
          <w:kern w:val="0"/>
          <w:szCs w:val="20"/>
          <w:lang w:val="en-US" w:eastAsia="zh-CN"/>
        </w:rPr>
        <w:t>浙江省电力</w:t>
      </w:r>
      <w:r>
        <w:rPr>
          <w:rFonts w:hint="eastAsia" w:ascii="宋体" w:hAnsi="Times New Roman"/>
          <w:kern w:val="0"/>
          <w:szCs w:val="20"/>
        </w:rPr>
        <w:t>有限公司、</w:t>
      </w:r>
      <w:r>
        <w:rPr>
          <w:rFonts w:hint="eastAsia" w:ascii="宋体" w:hAnsi="Times New Roman"/>
          <w:kern w:val="0"/>
          <w:szCs w:val="20"/>
          <w:lang w:val="en-US" w:eastAsia="zh-CN"/>
        </w:rPr>
        <w:t>华商三优</w:t>
      </w:r>
      <w:r>
        <w:rPr>
          <w:rFonts w:hint="eastAsia" w:ascii="宋体" w:hAnsi="Times New Roman"/>
          <w:kern w:val="0"/>
          <w:szCs w:val="20"/>
        </w:rPr>
        <w:t>等主要起草单位组织的编制启动会在北京召开，会上根据电动汽车充放电</w:t>
      </w:r>
      <w:r>
        <w:rPr>
          <w:rFonts w:hint="eastAsia" w:ascii="宋体" w:hAnsi="Times New Roman"/>
          <w:kern w:val="0"/>
          <w:szCs w:val="20"/>
          <w:lang w:val="en-US" w:eastAsia="zh-CN"/>
        </w:rPr>
        <w:t>接入聚合平台的</w:t>
      </w:r>
      <w:r>
        <w:rPr>
          <w:rFonts w:hint="eastAsia" w:ascii="宋体" w:hAnsi="Times New Roman"/>
          <w:kern w:val="0"/>
          <w:szCs w:val="20"/>
        </w:rPr>
        <w:t>现状及发展趋势，形成标准编制框架。</w:t>
      </w:r>
    </w:p>
    <w:p w14:paraId="7D67F7B8">
      <w:pPr>
        <w:ind w:firstLine="420" w:firstLineChars="200"/>
        <w:rPr>
          <w:rFonts w:ascii="宋体" w:hAnsi="Times New Roman"/>
          <w:kern w:val="0"/>
          <w:szCs w:val="20"/>
        </w:rPr>
      </w:pPr>
      <w:r>
        <w:rPr>
          <w:rFonts w:hint="eastAsia" w:ascii="宋体" w:hAnsi="Times New Roman"/>
          <w:kern w:val="0"/>
          <w:szCs w:val="20"/>
        </w:rPr>
        <w:t>2024年7月，由国网北京市电力公司等单位组成的编制小组在北京召开了标准工作讨论会，在标准草案的基础上对标准涵盖的范围、标准框架、术语、总则及具体技术、流程要求进行了讨论和修改，形成了标准初稿。</w:t>
      </w:r>
    </w:p>
    <w:p w14:paraId="2022D028">
      <w:pPr>
        <w:ind w:firstLine="420" w:firstLineChars="200"/>
        <w:rPr>
          <w:rFonts w:ascii="宋体" w:hAnsi="Times New Roman"/>
          <w:kern w:val="0"/>
          <w:szCs w:val="20"/>
        </w:rPr>
      </w:pPr>
      <w:r>
        <w:rPr>
          <w:rFonts w:hint="eastAsia" w:ascii="宋体" w:hAnsi="Times New Roman"/>
          <w:kern w:val="0"/>
          <w:szCs w:val="20"/>
        </w:rPr>
        <w:t>2024年9月，由国网北京市电力公司等单位组成的编制小组以线上会议形式召开了标准第二次讨论会，对征求意见稿初稿进行审定。</w:t>
      </w:r>
    </w:p>
    <w:p w14:paraId="2CB50CFB">
      <w:pPr>
        <w:ind w:firstLine="420" w:firstLineChars="200"/>
        <w:rPr>
          <w:rFonts w:hint="eastAsia" w:ascii="宋体" w:hAnsi="Times New Roman"/>
          <w:kern w:val="0"/>
          <w:szCs w:val="20"/>
        </w:rPr>
      </w:pPr>
      <w:r>
        <w:rPr>
          <w:rFonts w:hint="eastAsia" w:ascii="宋体" w:hAnsi="Times New Roman"/>
          <w:kern w:val="0"/>
          <w:szCs w:val="20"/>
        </w:rPr>
        <w:t>2024年10月12日，经过编制小组和相关专家的反复论证和修改，向中国电机工程学会提交了标准征求意见稿。</w:t>
      </w:r>
    </w:p>
    <w:p w14:paraId="5C5853CE">
      <w:pPr>
        <w:pStyle w:val="15"/>
        <w:spacing w:before="312" w:after="312"/>
      </w:pPr>
      <w:bookmarkStart w:id="31" w:name="_Toc8161"/>
      <w:r>
        <w:rPr>
          <w:rFonts w:hint="eastAsia" w:ascii="宋体" w:hAnsi="宋体"/>
          <w:szCs w:val="21"/>
        </w:rPr>
        <w:t>4</w:t>
      </w:r>
      <w:r>
        <w:rPr>
          <w:rFonts w:hint="eastAsia"/>
        </w:rPr>
        <w:t xml:space="preserve"> 标准结构和内容说明</w:t>
      </w:r>
      <w:bookmarkEnd w:id="31"/>
    </w:p>
    <w:p w14:paraId="588973C7">
      <w:pPr>
        <w:ind w:firstLine="420" w:firstLineChars="200"/>
        <w:rPr>
          <w:rFonts w:ascii="宋体" w:hAnsi="Times New Roman"/>
          <w:kern w:val="0"/>
          <w:szCs w:val="20"/>
        </w:rPr>
      </w:pPr>
      <w:r>
        <w:rPr>
          <w:rFonts w:hint="eastAsia" w:ascii="宋体" w:hAnsi="Times New Roman"/>
          <w:kern w:val="0"/>
          <w:szCs w:val="20"/>
        </w:rPr>
        <w:t>本标准按照GB/T 1.1-2020《标准化工作导则 第1部分：标准化文件的结构和起草规则》的规定起草。标准的主要结构和内容如下：</w:t>
      </w:r>
    </w:p>
    <w:p w14:paraId="22236AC7">
      <w:pPr>
        <w:pStyle w:val="17"/>
        <w:numPr>
          <w:ilvl w:val="0"/>
          <w:numId w:val="3"/>
        </w:numPr>
        <w:ind w:firstLineChars="0"/>
      </w:pPr>
      <w:r>
        <w:rPr>
          <w:rFonts w:hint="eastAsia"/>
        </w:rPr>
        <w:t>前言、目次。</w:t>
      </w:r>
    </w:p>
    <w:p w14:paraId="61ED8354">
      <w:pPr>
        <w:pStyle w:val="17"/>
        <w:ind w:left="780" w:firstLine="0" w:firstLineChars="0"/>
        <w:rPr>
          <w:rFonts w:hint="eastAsia"/>
        </w:rPr>
      </w:pPr>
      <w:r>
        <w:rPr>
          <w:rFonts w:hint="eastAsia"/>
        </w:rPr>
        <w:t>正文共分为</w:t>
      </w:r>
      <w:r>
        <w:rPr>
          <w:rFonts w:hint="eastAsia"/>
          <w:lang w:val="en-US" w:eastAsia="zh-CN"/>
        </w:rPr>
        <w:t>10</w:t>
      </w:r>
      <w:r>
        <w:rPr>
          <w:rFonts w:hint="eastAsia"/>
        </w:rPr>
        <w:t>章，包括范围、规范性引用文件、术语和定义、</w:t>
      </w:r>
      <w:r>
        <w:rPr>
          <w:rFonts w:hint="eastAsia"/>
          <w:lang w:val="en-US" w:eastAsia="zh-CN"/>
        </w:rPr>
        <w:t>通用要求</w:t>
      </w:r>
      <w:r>
        <w:rPr>
          <w:rFonts w:hint="eastAsia"/>
        </w:rPr>
        <w:t>、</w:t>
      </w:r>
      <w:r>
        <w:rPr>
          <w:rFonts w:hint="eastAsia"/>
          <w:lang w:val="en-US" w:eastAsia="zh-CN"/>
        </w:rPr>
        <w:t>应用平台</w:t>
      </w:r>
      <w:r>
        <w:rPr>
          <w:rFonts w:hint="eastAsia"/>
        </w:rPr>
        <w:t>架构、车网互动平台功能要求、车网互动平台与电网调度交易层的交互要求</w:t>
      </w:r>
      <w:r>
        <w:rPr>
          <w:rFonts w:hint="eastAsia"/>
          <w:lang w:eastAsia="zh-CN"/>
        </w:rPr>
        <w:t>、</w:t>
      </w:r>
      <w:r>
        <w:rPr>
          <w:rFonts w:hint="default" w:eastAsia="宋体" w:cs="Times New Roman"/>
        </w:rPr>
        <w:t>车网互动平台与负荷聚合</w:t>
      </w:r>
      <w:r>
        <w:rPr>
          <w:rFonts w:hint="default" w:eastAsia="宋体" w:cs="Times New Roman"/>
          <w:lang w:val="en-US" w:eastAsia="zh-CN"/>
        </w:rPr>
        <w:t>商</w:t>
      </w:r>
      <w:r>
        <w:rPr>
          <w:rFonts w:hint="default" w:eastAsia="宋体" w:cs="Times New Roman"/>
        </w:rPr>
        <w:t>平台交互要求</w:t>
      </w:r>
      <w:r>
        <w:rPr>
          <w:rFonts w:hint="eastAsia" w:eastAsia="宋体" w:cs="Times New Roman"/>
          <w:lang w:eastAsia="zh-CN"/>
        </w:rPr>
        <w:t>、车网互动平台性能要求、车网互动平台安全防护</w:t>
      </w:r>
      <w:r>
        <w:rPr>
          <w:rFonts w:hint="eastAsia"/>
        </w:rPr>
        <w:t>。本文件对电动汽车车网互动平台的功能、交互要求、性能要求和安全防护要求进行统一明确的规范。本文件适用于指导车网互动平台的设计、开发建设、运行维护、性能指标和安全机制。</w:t>
      </w:r>
    </w:p>
    <w:p w14:paraId="52BDAC9E">
      <w:pPr>
        <w:pStyle w:val="17"/>
        <w:ind w:left="780" w:firstLine="0" w:firstLineChars="0"/>
      </w:pPr>
      <w:r>
        <w:rPr>
          <w:rFonts w:hint="eastAsia"/>
        </w:rPr>
        <w:t>第4章“</w:t>
      </w:r>
      <w:r>
        <w:rPr>
          <w:rFonts w:hint="eastAsia"/>
          <w:lang w:val="en-US" w:eastAsia="zh-CN"/>
        </w:rPr>
        <w:t>通用要求</w:t>
      </w:r>
      <w:r>
        <w:rPr>
          <w:rFonts w:hint="eastAsia"/>
        </w:rPr>
        <w:t>”规定了电动汽车</w:t>
      </w:r>
      <w:r>
        <w:rPr>
          <w:rFonts w:hint="eastAsia"/>
          <w:lang w:val="en-US" w:eastAsia="zh-CN"/>
        </w:rPr>
        <w:t>车网互动平台</w:t>
      </w:r>
      <w:r>
        <w:rPr>
          <w:rFonts w:hint="eastAsia"/>
        </w:rPr>
        <w:t>的原则性要求。</w:t>
      </w:r>
    </w:p>
    <w:p w14:paraId="2CB3EB59">
      <w:pPr>
        <w:pStyle w:val="17"/>
        <w:ind w:left="780" w:firstLine="0" w:firstLineChars="0"/>
      </w:pPr>
      <w:r>
        <w:rPr>
          <w:rFonts w:hint="eastAsia"/>
        </w:rPr>
        <w:t>第5章“</w:t>
      </w:r>
      <w:r>
        <w:rPr>
          <w:rFonts w:hint="eastAsia"/>
          <w:lang w:val="en-US" w:eastAsia="zh-CN"/>
        </w:rPr>
        <w:t>应用平台</w:t>
      </w:r>
      <w:r>
        <w:rPr>
          <w:rFonts w:hint="eastAsia"/>
        </w:rPr>
        <w:t>架构”提出了电动汽车</w:t>
      </w:r>
      <w:r>
        <w:rPr>
          <w:rFonts w:hint="eastAsia"/>
          <w:lang w:val="en-US" w:eastAsia="zh-CN"/>
        </w:rPr>
        <w:t>车网互动平台与电网调度交易层、负荷聚合商层</w:t>
      </w:r>
      <w:r>
        <w:rPr>
          <w:rFonts w:hint="eastAsia"/>
        </w:rPr>
        <w:t>间交互架构和内容。</w:t>
      </w:r>
    </w:p>
    <w:p w14:paraId="71035C94">
      <w:pPr>
        <w:pStyle w:val="17"/>
        <w:ind w:left="780" w:firstLine="0" w:firstLineChars="0"/>
      </w:pPr>
      <w:r>
        <w:rPr>
          <w:rFonts w:hint="eastAsia"/>
        </w:rPr>
        <w:t>第6章“车网互动平台功能要求”提出了电动汽车</w:t>
      </w:r>
      <w:r>
        <w:rPr>
          <w:rFonts w:hint="eastAsia"/>
          <w:lang w:val="en-US" w:eastAsia="zh-CN"/>
        </w:rPr>
        <w:t>车网互动平台的相关功能</w:t>
      </w:r>
      <w:r>
        <w:rPr>
          <w:rFonts w:hint="eastAsia"/>
        </w:rPr>
        <w:t>。</w:t>
      </w:r>
    </w:p>
    <w:p w14:paraId="1B9CB373">
      <w:pPr>
        <w:pStyle w:val="17"/>
        <w:ind w:left="780" w:firstLine="0" w:firstLineChars="0"/>
        <w:rPr>
          <w:rFonts w:hint="eastAsia"/>
        </w:rPr>
      </w:pPr>
      <w:r>
        <w:rPr>
          <w:rFonts w:hint="eastAsia"/>
        </w:rPr>
        <w:t>第7章“车网互动平台与电网调度交易层的交互要求”提出了电动汽车</w:t>
      </w:r>
      <w:r>
        <w:rPr>
          <w:rFonts w:hint="eastAsia"/>
          <w:lang w:val="en-US" w:eastAsia="zh-CN"/>
        </w:rPr>
        <w:t>车网互动平台与电网调度交易层的交互信息和具体要求</w:t>
      </w:r>
      <w:r>
        <w:rPr>
          <w:rFonts w:hint="eastAsia"/>
        </w:rPr>
        <w:t>。</w:t>
      </w:r>
    </w:p>
    <w:p w14:paraId="3044B009">
      <w:pPr>
        <w:pStyle w:val="17"/>
        <w:ind w:left="780" w:firstLine="0" w:firstLineChars="0"/>
        <w:rPr>
          <w:rFonts w:hint="eastAsia"/>
        </w:rPr>
      </w:pPr>
      <w:r>
        <w:rPr>
          <w:rFonts w:hint="eastAsia"/>
        </w:rPr>
        <w:t>第</w:t>
      </w:r>
      <w:r>
        <w:rPr>
          <w:rFonts w:hint="eastAsia"/>
          <w:lang w:val="en-US" w:eastAsia="zh-CN"/>
        </w:rPr>
        <w:t>8</w:t>
      </w:r>
      <w:r>
        <w:rPr>
          <w:rFonts w:hint="eastAsia"/>
        </w:rPr>
        <w:t>章“</w:t>
      </w:r>
      <w:r>
        <w:rPr>
          <w:rFonts w:hint="default" w:eastAsia="宋体" w:cs="Times New Roman"/>
        </w:rPr>
        <w:t>车网互动平台与负荷聚合</w:t>
      </w:r>
      <w:r>
        <w:rPr>
          <w:rFonts w:hint="default" w:eastAsia="宋体" w:cs="Times New Roman"/>
          <w:lang w:val="en-US" w:eastAsia="zh-CN"/>
        </w:rPr>
        <w:t>商</w:t>
      </w:r>
      <w:r>
        <w:rPr>
          <w:rFonts w:hint="default" w:eastAsia="宋体" w:cs="Times New Roman"/>
        </w:rPr>
        <w:t>平台交互要求</w:t>
      </w:r>
      <w:r>
        <w:rPr>
          <w:rFonts w:hint="eastAsia"/>
        </w:rPr>
        <w:t>”提出了电动汽车</w:t>
      </w:r>
      <w:r>
        <w:rPr>
          <w:rFonts w:hint="eastAsia"/>
          <w:lang w:val="en-US" w:eastAsia="zh-CN"/>
        </w:rPr>
        <w:t>车网互动平台与</w:t>
      </w:r>
      <w:r>
        <w:rPr>
          <w:rFonts w:hint="default" w:eastAsia="宋体" w:cs="Times New Roman"/>
        </w:rPr>
        <w:t>负荷聚合</w:t>
      </w:r>
      <w:r>
        <w:rPr>
          <w:rFonts w:hint="default" w:eastAsia="宋体" w:cs="Times New Roman"/>
          <w:lang w:val="en-US" w:eastAsia="zh-CN"/>
        </w:rPr>
        <w:t>商</w:t>
      </w:r>
      <w:r>
        <w:rPr>
          <w:rFonts w:hint="default" w:eastAsia="宋体" w:cs="Times New Roman"/>
        </w:rPr>
        <w:t>平台</w:t>
      </w:r>
      <w:r>
        <w:rPr>
          <w:rFonts w:hint="eastAsia"/>
          <w:lang w:val="en-US" w:eastAsia="zh-CN"/>
        </w:rPr>
        <w:t>层的交互信息和具体要求</w:t>
      </w:r>
      <w:r>
        <w:rPr>
          <w:rFonts w:hint="eastAsia"/>
        </w:rPr>
        <w:t>。</w:t>
      </w:r>
    </w:p>
    <w:p w14:paraId="3AB47059">
      <w:pPr>
        <w:pStyle w:val="17"/>
        <w:ind w:left="780" w:firstLine="0" w:firstLineChars="0"/>
        <w:rPr>
          <w:rFonts w:hint="eastAsia"/>
        </w:rPr>
      </w:pPr>
      <w:r>
        <w:rPr>
          <w:rFonts w:hint="eastAsia"/>
        </w:rPr>
        <w:t>第</w:t>
      </w:r>
      <w:r>
        <w:rPr>
          <w:rFonts w:hint="eastAsia"/>
          <w:lang w:val="en-US" w:eastAsia="zh-CN"/>
        </w:rPr>
        <w:t>9</w:t>
      </w:r>
      <w:r>
        <w:rPr>
          <w:rFonts w:hint="eastAsia"/>
        </w:rPr>
        <w:t>章“</w:t>
      </w:r>
      <w:r>
        <w:rPr>
          <w:rFonts w:hint="eastAsia" w:eastAsia="宋体" w:cs="Times New Roman"/>
          <w:lang w:eastAsia="zh-CN"/>
        </w:rPr>
        <w:t>车网互动平台性能要求</w:t>
      </w:r>
      <w:r>
        <w:rPr>
          <w:rFonts w:hint="eastAsia"/>
        </w:rPr>
        <w:t>”提出了电动汽车</w:t>
      </w:r>
      <w:r>
        <w:rPr>
          <w:rFonts w:hint="eastAsia"/>
          <w:lang w:val="en-US" w:eastAsia="zh-CN"/>
        </w:rPr>
        <w:t>车网互动平台的运行性能要求</w:t>
      </w:r>
      <w:r>
        <w:rPr>
          <w:rFonts w:hint="eastAsia"/>
        </w:rPr>
        <w:t>。</w:t>
      </w:r>
    </w:p>
    <w:p w14:paraId="1C430072">
      <w:pPr>
        <w:pStyle w:val="17"/>
        <w:ind w:left="780" w:firstLine="0" w:firstLineChars="0"/>
        <w:rPr>
          <w:rFonts w:hint="eastAsia"/>
        </w:rPr>
      </w:pPr>
      <w:r>
        <w:rPr>
          <w:rFonts w:hint="eastAsia"/>
        </w:rPr>
        <w:t>第</w:t>
      </w:r>
      <w:r>
        <w:rPr>
          <w:rFonts w:hint="eastAsia"/>
          <w:lang w:val="en-US" w:eastAsia="zh-CN"/>
        </w:rPr>
        <w:t>10</w:t>
      </w:r>
      <w:r>
        <w:rPr>
          <w:rFonts w:hint="eastAsia"/>
        </w:rPr>
        <w:t>章“</w:t>
      </w:r>
      <w:r>
        <w:rPr>
          <w:rFonts w:hint="eastAsia" w:eastAsia="宋体" w:cs="Times New Roman"/>
          <w:lang w:eastAsia="zh-CN"/>
        </w:rPr>
        <w:t>车网互动平台安全防护</w:t>
      </w:r>
      <w:r>
        <w:rPr>
          <w:rFonts w:hint="eastAsia"/>
        </w:rPr>
        <w:t>”提出了电动汽车</w:t>
      </w:r>
      <w:r>
        <w:rPr>
          <w:rFonts w:hint="eastAsia"/>
          <w:lang w:val="en-US" w:eastAsia="zh-CN"/>
        </w:rPr>
        <w:t>车网互动平台的安全防护要求</w:t>
      </w:r>
      <w:r>
        <w:rPr>
          <w:rFonts w:hint="eastAsia"/>
        </w:rPr>
        <w:t>。</w:t>
      </w:r>
    </w:p>
    <w:p w14:paraId="503DDFCA">
      <w:pPr>
        <w:pStyle w:val="11"/>
      </w:pPr>
    </w:p>
    <w:p w14:paraId="27844AC9">
      <w:pPr>
        <w:pStyle w:val="15"/>
        <w:spacing w:before="312" w:after="312"/>
      </w:pPr>
      <w:bookmarkStart w:id="32" w:name="_Toc14002"/>
      <w:r>
        <w:rPr>
          <w:rFonts w:hint="eastAsia" w:ascii="宋体" w:hAnsi="宋体"/>
          <w:szCs w:val="21"/>
        </w:rPr>
        <w:t>5相关</w:t>
      </w:r>
      <w:r>
        <w:rPr>
          <w:rFonts w:hint="eastAsia"/>
        </w:rPr>
        <w:t>标准对比说明</w:t>
      </w:r>
      <w:bookmarkEnd w:id="32"/>
    </w:p>
    <w:p w14:paraId="7CF7A126">
      <w:pPr>
        <w:pStyle w:val="11"/>
      </w:pPr>
      <w:r>
        <w:rPr>
          <w:rFonts w:hint="eastAsia"/>
          <w:lang w:val="en-US" w:eastAsia="zh-CN"/>
        </w:rPr>
        <w:t>无</w:t>
      </w:r>
    </w:p>
    <w:p w14:paraId="657367B7">
      <w:pPr>
        <w:pStyle w:val="15"/>
        <w:spacing w:before="312" w:after="312"/>
      </w:pPr>
    </w:p>
    <w:p w14:paraId="12D3C6FD">
      <w:pPr>
        <w:rPr>
          <w:rFonts w:eastAsia="黑体"/>
          <w:sz w:val="36"/>
          <w:szCs w:val="24"/>
        </w:rPr>
      </w:pPr>
    </w:p>
    <w:p w14:paraId="0C8485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AF7DE">
    <w:pPr>
      <w:pStyle w:val="19"/>
      <w:jc w:val="center"/>
    </w:pPr>
    <w:r>
      <w:rPr>
        <w:kern w:val="2"/>
      </w:rPr>
      <w:fldChar w:fldCharType="begin"/>
    </w:r>
    <w:r>
      <w:rPr>
        <w:rStyle w:val="8"/>
      </w:rPr>
      <w:instrText xml:space="preserve"> PAGE </w:instrText>
    </w:r>
    <w:r>
      <w:rPr>
        <w:kern w:val="2"/>
      </w:rPr>
      <w:fldChar w:fldCharType="separate"/>
    </w:r>
    <w:r>
      <w:rPr>
        <w:rStyle w:val="8"/>
      </w:rPr>
      <w:t>26</w:t>
    </w:r>
    <w:r>
      <w:rPr>
        <w:kern w:val="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000AB">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4BDBAB56">
                          <w:pPr>
                            <w:pStyle w:val="3"/>
                          </w:pPr>
                          <w:r>
                            <w:fldChar w:fldCharType="begin"/>
                          </w:r>
                          <w:r>
                            <w:instrText xml:space="preserve"> PAGE  \* MERGEFORMAT </w:instrText>
                          </w:r>
                          <w:r>
                            <w:fldChar w:fldCharType="separate"/>
                          </w:r>
                          <w:r>
                            <w:t>33</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2WjzIKAgAAAgQAAA4AAABkcnMvZTJvRG9jLnhtbK1TzY7TMBC+I/EO&#10;lu80aWGXJWq6WrYqQlp+pIUHcB2nsYg91thtUh4A3oATF+48V59jx05TluWyBy7W2B5/833fjOeX&#10;vWnZTqHXYEs+neScKSuh0nZT8s+fVs8uOPNB2Eq0YFXJ98rzy8XTJ/POFWoGDbSVQkYg1hedK3kT&#10;giuyzMtGGeEn4JSlyxrQiEBb3GQVio7QTZvN8vw86wArhyCV93S6HC75EREfAwh1raVagtwaZcOA&#10;iqoVgST5RjvPF4ltXSsZPtS1V4G1JSelIa1UhOJ1XLPFXBQbFK7R8khBPIbCA01GaEtFT1BLEQTb&#10;ov4HymiJ4KEOEwkmG4QkR0jFNH/gzW0jnEpayGrvTqb7/wcr3+8+ItNVyV9wZoWhhh9+fD/8/H34&#10;9Y2dRXs65wvKunWUF/rX0NPQJKne3YD84pmF60bYjbpChK5RoiJ60/gyu/d0wPERZN29g4rqiG2A&#10;BNTXaKJ35AYjdGrN/tQa1QcmY8np+Sw/40zS1fT5q5d5al0mivGxQx/eKDAsBiVH6nwCF7sbHyIZ&#10;UYwpsZaFlW7b1P3W/nVAifEkkY98B+ahX/dHM9ZQ7UkGwjBM9JUoaAC/ctbRIJXc0r/hrH1ryYg4&#10;c2OAY7AeA2ElPSx54GwIr8Mwm1uHetMQ7mj1FZm10klIdHXgcGRJo5H0Hcc4zt79fcr683U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Atlo8yCgIAAAIEAAAOAAAAAAAAAAEAIAAAAB8BAABk&#10;cnMvZTJvRG9jLnhtbFBLBQYAAAAABgAGAFkBAACbBQAAAAA=&#10;">
              <v:fill on="f" focussize="0,0"/>
              <v:stroke on="f"/>
              <v:imagedata o:title=""/>
              <o:lock v:ext="edit" aspectratio="f"/>
              <v:textbox inset="0mm,0mm,0mm,0mm" style="mso-fit-shape-to-text:t;">
                <w:txbxContent>
                  <w:p w14:paraId="4BDBAB56">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080F9">
    <w:pPr>
      <w:pStyle w:val="18"/>
      <w:wordWrap w:val="0"/>
    </w:pPr>
    <w:r>
      <w:rPr>
        <w:rFonts w:hint="eastAsia"/>
      </w:rPr>
      <w:t>T</w:t>
    </w:r>
    <w:r>
      <w:t>/</w:t>
    </w:r>
    <w:r>
      <w:rPr>
        <w:rFonts w:hint="eastAsia"/>
      </w:rPr>
      <w:t>CSEE</w:t>
    </w:r>
    <w:r>
      <w:rPr>
        <w:rFonts w:hint="eastAsia" w:hAnsi="黑体"/>
      </w:rPr>
      <w:t xml:space="preserve"> XXXX-YYYY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2F48A">
    <w:pPr>
      <w:pStyle w:val="18"/>
      <w:spacing w:before="120" w:after="120"/>
      <w:jc w:val="both"/>
    </w:pPr>
    <w:r>
      <w:t>Q/</w:t>
    </w:r>
    <w:r>
      <w:rPr>
        <w:rFonts w:hint="eastAsia"/>
      </w:rPr>
      <w:t>GDW</w:t>
    </w:r>
    <w:r>
      <w:rPr>
        <w:rFonts w:hint="eastAsia" w:hAnsi="宋体"/>
      </w:rPr>
      <w:t xml:space="preserve"> </w:t>
    </w:r>
    <w:r>
      <w:rPr>
        <w:rFonts w:hint="eastAsia" w:hAnsi="黑体"/>
      </w:rPr>
      <w:t>XX-XXX</w:t>
    </w:r>
    <w:r>
      <w:rPr>
        <w:rFonts w:hAnsi="黑体"/>
      </w:rPr>
      <w:t>—</w:t>
    </w:r>
    <w:r>
      <w:rPr>
        <w:rFonts w:hint="eastAsia" w:hAnsi="黑体"/>
      </w:rPr>
      <w:t>2012-1XXXX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60630">
    <w:pPr>
      <w:pStyle w:val="18"/>
      <w:wordWrap w:val="0"/>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2"/>
      <w:suff w:val="nothing"/>
      <w:lvlText w:val="%1　"/>
      <w:lvlJc w:val="left"/>
      <w:pPr>
        <w:ind w:left="426" w:firstLine="0"/>
      </w:pPr>
      <w:rPr>
        <w:rFonts w:hint="eastAsia" w:ascii="黑体" w:hAnsi="Times New Roman" w:eastAsia="黑体"/>
        <w:b w:val="0"/>
        <w:i w:val="0"/>
        <w:sz w:val="21"/>
        <w:szCs w:val="21"/>
      </w:rPr>
    </w:lvl>
    <w:lvl w:ilvl="1" w:tentative="0">
      <w:start w:val="1"/>
      <w:numFmt w:val="decimal"/>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83241FF"/>
    <w:multiLevelType w:val="multilevel"/>
    <w:tmpl w:val="283241FF"/>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2YzAxMzkxZmQwYjA1MmE5YzgwYTI0YzFiNTc2YWIifQ=="/>
  </w:docVars>
  <w:rsids>
    <w:rsidRoot w:val="00000000"/>
    <w:rsid w:val="00BA3275"/>
    <w:rsid w:val="046C0F81"/>
    <w:rsid w:val="0A3B59B5"/>
    <w:rsid w:val="0C306B42"/>
    <w:rsid w:val="0D4C110C"/>
    <w:rsid w:val="11AE4261"/>
    <w:rsid w:val="13CC1D73"/>
    <w:rsid w:val="19555005"/>
    <w:rsid w:val="19CC03D7"/>
    <w:rsid w:val="21EB1616"/>
    <w:rsid w:val="23845FD5"/>
    <w:rsid w:val="23C245F9"/>
    <w:rsid w:val="275D77C6"/>
    <w:rsid w:val="27FB490C"/>
    <w:rsid w:val="2C1E6ABA"/>
    <w:rsid w:val="2DE76C12"/>
    <w:rsid w:val="32A55811"/>
    <w:rsid w:val="332866E6"/>
    <w:rsid w:val="346A5B09"/>
    <w:rsid w:val="35CF32D1"/>
    <w:rsid w:val="3A8655F3"/>
    <w:rsid w:val="3D9F7A2D"/>
    <w:rsid w:val="3E6A735A"/>
    <w:rsid w:val="40642868"/>
    <w:rsid w:val="41B82EBE"/>
    <w:rsid w:val="42E06D32"/>
    <w:rsid w:val="460348D1"/>
    <w:rsid w:val="4A6D6C6D"/>
    <w:rsid w:val="4A841F0D"/>
    <w:rsid w:val="52645BD4"/>
    <w:rsid w:val="576A47B0"/>
    <w:rsid w:val="6A3D7837"/>
    <w:rsid w:val="6AA95198"/>
    <w:rsid w:val="6C8148DB"/>
    <w:rsid w:val="7164006A"/>
    <w:rsid w:val="773F4EBA"/>
    <w:rsid w:val="78E8500C"/>
    <w:rsid w:val="792B744B"/>
    <w:rsid w:val="79501600"/>
    <w:rsid w:val="7B1D6D01"/>
    <w:rsid w:val="7B8A691F"/>
    <w:rsid w:val="7D3E4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kern w:val="0"/>
      <w:sz w:val="18"/>
      <w:szCs w:val="18"/>
    </w:rPr>
  </w:style>
  <w:style w:type="paragraph" w:styleId="4">
    <w:name w:val="toc 1"/>
    <w:basedOn w:val="1"/>
    <w:next w:val="1"/>
    <w:qFormat/>
    <w:uiPriority w:val="39"/>
    <w:pPr>
      <w:tabs>
        <w:tab w:val="right" w:leader="dot" w:pos="9241"/>
      </w:tabs>
      <w:spacing w:before="25" w:beforeLines="25" w:after="25" w:afterLines="25"/>
      <w:jc w:val="left"/>
    </w:pPr>
    <w:rPr>
      <w:rFonts w:ascii="宋体" w:hAnsi="Times New Roman"/>
      <w:szCs w:val="21"/>
    </w:r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character" w:styleId="8">
    <w:name w:val="page number"/>
    <w:qFormat/>
    <w:uiPriority w:val="0"/>
    <w:rPr>
      <w:rFonts w:ascii="Times New Roman" w:hAnsi="Times New Roman" w:eastAsia="宋体"/>
      <w:sz w:val="18"/>
    </w:rPr>
  </w:style>
  <w:style w:type="character" w:styleId="9">
    <w:name w:val="Emphasis"/>
    <w:basedOn w:val="7"/>
    <w:qFormat/>
    <w:uiPriority w:val="0"/>
    <w:rPr>
      <w:i/>
    </w:rPr>
  </w:style>
  <w:style w:type="character" w:styleId="10">
    <w:name w:val="Hyperlink"/>
    <w:qFormat/>
    <w:uiPriority w:val="99"/>
    <w:rPr>
      <w:rFonts w:cs="Times New Roman"/>
      <w:color w:val="0563C1"/>
      <w:u w:val="single"/>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
    <w:name w:val="章标题"/>
    <w:next w:val="11"/>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3">
    <w:name w:val="目次、标准名称标题"/>
    <w:basedOn w:val="14"/>
    <w:next w:val="11"/>
    <w:qFormat/>
    <w:uiPriority w:val="0"/>
    <w:pPr>
      <w:keepNext/>
      <w:pageBreakBefore/>
      <w:spacing w:line="460" w:lineRule="exact"/>
    </w:pPr>
  </w:style>
  <w:style w:type="paragraph" w:customStyle="1" w:styleId="1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5">
    <w:name w:val="样式 标题 1 + 非加粗"/>
    <w:basedOn w:val="2"/>
    <w:qFormat/>
    <w:uiPriority w:val="0"/>
    <w:pPr>
      <w:spacing w:before="100" w:beforeLines="100" w:after="100" w:afterLines="100" w:line="240" w:lineRule="auto"/>
    </w:pPr>
    <w:rPr>
      <w:rFonts w:eastAsia="黑体"/>
      <w:b w:val="0"/>
      <w:bCs w:val="0"/>
      <w:sz w:val="21"/>
    </w:rPr>
  </w:style>
  <w:style w:type="paragraph" w:customStyle="1" w:styleId="16">
    <w:name w:val="附录章标题"/>
    <w:next w:val="11"/>
    <w:qFormat/>
    <w:uiPriority w:val="0"/>
    <w:pPr>
      <w:numPr>
        <w:ilvl w:val="1"/>
        <w:numId w:val="2"/>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styleId="17">
    <w:name w:val="List Paragraph"/>
    <w:basedOn w:val="1"/>
    <w:qFormat/>
    <w:uiPriority w:val="34"/>
    <w:pPr>
      <w:ind w:firstLine="420" w:firstLineChars="200"/>
    </w:pPr>
  </w:style>
  <w:style w:type="paragraph" w:customStyle="1" w:styleId="1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0">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969</Words>
  <Characters>990</Characters>
  <Lines>0</Lines>
  <Paragraphs>0</Paragraphs>
  <TotalTime>6</TotalTime>
  <ScaleCrop>false</ScaleCrop>
  <LinksUpToDate>false</LinksUpToDate>
  <CharactersWithSpaces>1058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2024-10-11T03:23:00Z</dcterms:created>
  <dc:creator>97388</dc:creator>
  <cp:lastModifiedBy>One</cp:lastModifiedBy>
  <dcterms:modified xsi:type="dcterms:W3CDTF">2024-10-15T01:18:13Z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6F3317F85356407ABDBB1D78A7D00882_12</vt:lpwstr>
  </property>
</Properties>
</file>