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pPr>
      <w:bookmarkStart w:id="0" w:name="标准封面"/>
      <w:bookmarkEnd w:id="0"/>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hint="eastAsia"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hint="eastAsia"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pPr>
                        <w:pStyle w:val="504"/>
                      </w:pPr>
                      <w:r>
                        <w:rPr>
                          <w:rFonts w:hint="eastAsia"/>
                        </w:rPr>
                        <w:t>发 布</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505"/>
                              <w:rPr>
                                <w:rFonts w:hint="eastAsia"/>
                              </w:rPr>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pPr>
                        <w:pStyle w:val="505"/>
                        <w:rPr>
                          <w:rFonts w:hint="eastAsia"/>
                        </w:rPr>
                      </w:pPr>
                      <w:r>
                        <w:rPr>
                          <w:rFonts w:hint="eastAsia"/>
                        </w:rPr>
                        <w:t>中国电机工程学会</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291"/>
                              <w:rPr>
                                <w:rFonts w:hint="eastAsia"/>
                              </w:rPr>
                            </w:pPr>
                            <w:r>
                              <w:rPr>
                                <w:rFonts w:hint="eastAsia"/>
                              </w:rPr>
                              <w:t>202X</w:t>
                            </w:r>
                            <w:r>
                              <w:t>—</w:t>
                            </w:r>
                            <w:r>
                              <w:rPr>
                                <w:rFonts w:hint="eastAsia"/>
                              </w:rPr>
                              <w:t>XX</w:t>
                            </w:r>
                            <w:r>
                              <w:t>—</w:t>
                            </w:r>
                            <w:r>
                              <w:rPr>
                                <w:rFonts w:hint="eastAsia"/>
                              </w:rPr>
                              <w:t>XX</w:t>
                            </w:r>
                            <w:r>
                              <w:t>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4384;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pPr>
                        <w:pStyle w:val="291"/>
                        <w:rPr>
                          <w:rFonts w:hint="eastAsia"/>
                        </w:rPr>
                      </w:pPr>
                      <w:r>
                        <w:rPr>
                          <w:rFonts w:hint="eastAsia"/>
                        </w:rPr>
                        <w:t>202X</w:t>
                      </w:r>
                      <w:r>
                        <w:t>—</w:t>
                      </w:r>
                      <w:r>
                        <w:rPr>
                          <w:rFonts w:hint="eastAsia"/>
                        </w:rPr>
                        <w:t>XX</w:t>
                      </w:r>
                      <w:r>
                        <w:t>—</w:t>
                      </w:r>
                      <w:r>
                        <w:rPr>
                          <w:rFonts w:hint="eastAsia"/>
                        </w:rPr>
                        <w:t>XX</w:t>
                      </w:r>
                      <w:r>
                        <w:t>实施</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264"/>
                              <w:rPr>
                                <w:rFonts w:hint="eastAsia"/>
                              </w:rPr>
                            </w:pPr>
                            <w:r>
                              <w:rPr>
                                <w:rFonts w:hint="eastAsia"/>
                              </w:rPr>
                              <w:t>202X</w:t>
                            </w:r>
                            <w:r>
                              <w:t>—</w:t>
                            </w:r>
                            <w:r>
                              <w:rPr>
                                <w:rFonts w:hint="eastAsia"/>
                              </w:rPr>
                              <w:t>XX</w:t>
                            </w:r>
                            <w:r>
                              <w:t>—</w:t>
                            </w:r>
                            <w:r>
                              <w:rPr>
                                <w:rFonts w:hint="eastAsia"/>
                              </w:rPr>
                              <w:t>XX</w:t>
                            </w:r>
                            <w:r>
                              <w:t>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3360;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pPr>
                        <w:pStyle w:val="264"/>
                        <w:rPr>
                          <w:rFonts w:hint="eastAsia"/>
                        </w:rPr>
                      </w:pPr>
                      <w:r>
                        <w:rPr>
                          <w:rFonts w:hint="eastAsia"/>
                        </w:rPr>
                        <w:t>202X</w:t>
                      </w:r>
                      <w:r>
                        <w:t>—</w:t>
                      </w:r>
                      <w:r>
                        <w:rPr>
                          <w:rFonts w:hint="eastAsia"/>
                        </w:rPr>
                        <w:t>XX</w:t>
                      </w:r>
                      <w:r>
                        <w:t>—</w:t>
                      </w:r>
                      <w:r>
                        <w:rPr>
                          <w:rFonts w:hint="eastAsia"/>
                        </w:rPr>
                        <w:t>XX</w:t>
                      </w:r>
                      <w:r>
                        <w:t>发布</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268"/>
                              <w:rPr>
                                <w:bCs/>
                                <w:szCs w:val="52"/>
                              </w:rPr>
                            </w:pPr>
                            <w:r>
                              <w:rPr>
                                <w:rFonts w:hint="eastAsia"/>
                                <w:bCs/>
                                <w:szCs w:val="52"/>
                              </w:rPr>
                              <w:t>柔性低频交流输电系统高压电气设备</w:t>
                            </w:r>
                          </w:p>
                          <w:p>
                            <w:pPr>
                              <w:pStyle w:val="268"/>
                            </w:pPr>
                            <w:r>
                              <w:rPr>
                                <w:rFonts w:hint="eastAsia"/>
                                <w:bCs/>
                                <w:szCs w:val="52"/>
                              </w:rPr>
                              <w:t>第5部分</w:t>
                            </w:r>
                            <w:r>
                              <w:rPr>
                                <w:rFonts w:hint="eastAsia"/>
                                <w:bCs/>
                                <w:szCs w:val="52"/>
                                <w:lang w:val="en-US" w:eastAsia="zh-CN"/>
                              </w:rPr>
                              <w:t xml:space="preserve"> </w:t>
                            </w:r>
                            <w:r>
                              <w:rPr>
                                <w:rFonts w:hint="eastAsia"/>
                                <w:bCs/>
                                <w:szCs w:val="52"/>
                              </w:rPr>
                              <w:t>低频变压器套管技术规范</w:t>
                            </w:r>
                          </w:p>
                          <w:p>
                            <w:pPr>
                              <w:pStyle w:val="268"/>
                            </w:pPr>
                          </w:p>
                          <w:p>
                            <w:pPr>
                              <w:pStyle w:val="271"/>
                            </w:pPr>
                            <w:r>
                              <w:rPr>
                                <w:rFonts w:hint="eastAsia"/>
                              </w:rPr>
                              <w:t xml:space="preserve">High voltage electrical equipment used in low-frequency AC flexible transmission system — Part 5: </w:t>
                            </w:r>
                            <w:r>
                              <w:t xml:space="preserve">Technical specification for </w:t>
                            </w:r>
                            <w:r>
                              <w:rPr>
                                <w:rFonts w:hint="eastAsia"/>
                              </w:rPr>
                              <w:t>low-frequency transformer bushings</w:t>
                            </w:r>
                          </w:p>
                          <w:p>
                            <w:pPr>
                              <w:pStyle w:val="271"/>
                            </w:pPr>
                          </w:p>
                          <w:p>
                            <w:pPr>
                              <w:pStyle w:val="272"/>
                              <w:rPr>
                                <w:rFonts w:hint="eastAsia"/>
                              </w:rPr>
                            </w:pPr>
                            <w:r>
                              <w:t>（</w:t>
                            </w:r>
                            <w:r>
                              <w:rPr>
                                <w:rFonts w:hint="eastAsia"/>
                              </w:rPr>
                              <w:t>征求意见稿</w:t>
                            </w:r>
                            <w:r>
                              <w:t>）</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2336;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pPr>
                        <w:pStyle w:val="268"/>
                        <w:rPr>
                          <w:bCs/>
                          <w:szCs w:val="52"/>
                        </w:rPr>
                      </w:pPr>
                      <w:r>
                        <w:rPr>
                          <w:rFonts w:hint="eastAsia"/>
                          <w:bCs/>
                          <w:szCs w:val="52"/>
                        </w:rPr>
                        <w:t>柔性低频交流输电系统高压电气设备</w:t>
                      </w:r>
                    </w:p>
                    <w:p>
                      <w:pPr>
                        <w:pStyle w:val="268"/>
                      </w:pPr>
                      <w:r>
                        <w:rPr>
                          <w:rFonts w:hint="eastAsia"/>
                          <w:bCs/>
                          <w:szCs w:val="52"/>
                        </w:rPr>
                        <w:t>第5部分</w:t>
                      </w:r>
                      <w:r>
                        <w:rPr>
                          <w:rFonts w:hint="eastAsia"/>
                          <w:bCs/>
                          <w:szCs w:val="52"/>
                          <w:lang w:val="en-US" w:eastAsia="zh-CN"/>
                        </w:rPr>
                        <w:t xml:space="preserve"> </w:t>
                      </w:r>
                      <w:r>
                        <w:rPr>
                          <w:rFonts w:hint="eastAsia"/>
                          <w:bCs/>
                          <w:szCs w:val="52"/>
                        </w:rPr>
                        <w:t>低频变压器套管技术规范</w:t>
                      </w:r>
                    </w:p>
                    <w:p>
                      <w:pPr>
                        <w:pStyle w:val="268"/>
                      </w:pPr>
                    </w:p>
                    <w:p>
                      <w:pPr>
                        <w:pStyle w:val="271"/>
                      </w:pPr>
                      <w:r>
                        <w:rPr>
                          <w:rFonts w:hint="eastAsia"/>
                        </w:rPr>
                        <w:t xml:space="preserve">High voltage electrical equipment used in low-frequency AC flexible transmission system — Part 5: </w:t>
                      </w:r>
                      <w:r>
                        <w:t xml:space="preserve">Technical specification for </w:t>
                      </w:r>
                      <w:r>
                        <w:rPr>
                          <w:rFonts w:hint="eastAsia"/>
                        </w:rPr>
                        <w:t>low-frequency transformer bushings</w:t>
                      </w:r>
                    </w:p>
                    <w:p>
                      <w:pPr>
                        <w:pStyle w:val="271"/>
                      </w:pPr>
                    </w:p>
                    <w:p>
                      <w:pPr>
                        <w:pStyle w:val="272"/>
                        <w:rPr>
                          <w:rFonts w:hint="eastAsia"/>
                        </w:rPr>
                      </w:pPr>
                      <w:r>
                        <w:t>（</w:t>
                      </w:r>
                      <w:r>
                        <w:rPr>
                          <w:rFonts w:hint="eastAsia"/>
                        </w:rPr>
                        <w:t>征求意见稿</w:t>
                      </w:r>
                      <w:r>
                        <w:t>）</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265"/>
                              <w:wordWrap w:val="0"/>
                            </w:pPr>
                            <w:r>
                              <w:rPr>
                                <w:rFonts w:hint="eastAsia"/>
                                <w:bCs/>
                              </w:rPr>
                              <w:t>T/CSEE XX —202X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0288;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pPr>
                        <w:pStyle w:val="265"/>
                        <w:wordWrap w:val="0"/>
                      </w:pPr>
                      <w:r>
                        <w:rPr>
                          <w:rFonts w:hint="eastAsia"/>
                          <w:bCs/>
                        </w:rPr>
                        <w:t>T/CSEE XX —202X</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334"/>
                            </w:pPr>
                            <w:r>
                              <w:rPr>
                                <w:rFonts w:hint="eastAsia"/>
                              </w:rPr>
                              <w:t>I</w:t>
                            </w:r>
                            <w:r>
                              <w:t>CS 19.020</w:t>
                            </w:r>
                          </w:p>
                          <w:p>
                            <w:pPr>
                              <w:pStyle w:val="334"/>
                            </w:pPr>
                            <w:r>
                              <w:rPr>
                                <w:rFonts w:hint="eastAsia"/>
                              </w:rPr>
                              <w:t>C</w:t>
                            </w:r>
                            <w:r>
                              <w:t>CS K</w:t>
                            </w:r>
                            <w:r>
                              <w:rPr>
                                <w:rFonts w:hint="eastAsia"/>
                              </w:rPr>
                              <w:t>40</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pPr>
                        <w:pStyle w:val="334"/>
                      </w:pPr>
                      <w:r>
                        <w:rPr>
                          <w:rFonts w:hint="eastAsia"/>
                        </w:rPr>
                        <w:t>I</w:t>
                      </w:r>
                      <w:r>
                        <w:t>CS 19.020</w:t>
                      </w:r>
                    </w:p>
                    <w:p>
                      <w:pPr>
                        <w:pStyle w:val="334"/>
                      </w:pPr>
                      <w:r>
                        <w:rPr>
                          <w:rFonts w:hint="eastAsia"/>
                        </w:rPr>
                        <w:t>C</w:t>
                      </w:r>
                      <w:r>
                        <w:t>CS K</w:t>
                      </w:r>
                      <w:r>
                        <w:rPr>
                          <w:rFonts w:hint="eastAsia"/>
                        </w:rPr>
                        <w:t>40</w:t>
                      </w:r>
                    </w:p>
                  </w:txbxContent>
                </v:textbox>
              </v:shape>
            </w:pict>
          </mc:Fallback>
        </mc:AlternateContent>
      </w: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pPr>
        <w:pStyle w:val="286"/>
      </w:pPr>
      <w:bookmarkStart w:id="1" w:name="标准内容"/>
      <w:bookmarkEnd w:id="1"/>
      <w:bookmarkStart w:id="2" w:name="_Toc55228493"/>
      <w:bookmarkStart w:id="3" w:name="_Toc62027346"/>
      <w:bookmarkStart w:id="4" w:name="_Toc63642871"/>
      <w:r>
        <w:rPr>
          <w:rFonts w:hint="eastAsia"/>
        </w:rPr>
        <w:t>目    次</w:t>
      </w:r>
      <w:r>
        <w:rPr>
          <w:rFonts w:hAnsi="宋体"/>
        </w:rPr>
        <w:fldChar w:fldCharType="begin"/>
      </w:r>
      <w:r>
        <w:rPr>
          <w:rFonts w:hAnsi="宋体"/>
        </w:rPr>
        <w:instrText xml:space="preserve"> </w:instrText>
      </w:r>
      <w:r>
        <w:rPr>
          <w:rFonts w:hint="eastAsia" w:hAnsi="宋体"/>
        </w:rPr>
        <w:instrText xml:space="preserve">TOC \o "1-7" \h \z</w:instrText>
      </w:r>
      <w:r>
        <w:rPr>
          <w:rFonts w:hAnsi="宋体"/>
        </w:rPr>
        <w:instrText xml:space="preserve"> </w:instrText>
      </w:r>
      <w:r>
        <w:rPr>
          <w:rFonts w:hAnsi="宋体"/>
        </w:rPr>
        <w:fldChar w:fldCharType="separate"/>
      </w:r>
    </w:p>
    <w:p>
      <w:pPr>
        <w:pStyle w:val="21"/>
        <w:tabs>
          <w:tab w:val="right" w:leader="dot" w:pos="9346"/>
        </w:tabs>
        <w:spacing w:before="78" w:after="78"/>
        <w:rPr>
          <w:rFonts w:hint="eastAsia" w:asciiTheme="minorHAnsi" w:hAnsiTheme="minorHAnsi" w:eastAsiaTheme="minorEastAsia" w:cstheme="minorBidi"/>
          <w:kern w:val="2"/>
          <w:szCs w:val="22"/>
          <w14:ligatures w14:val="standardContextual"/>
        </w:rPr>
      </w:pPr>
      <w:r>
        <w:fldChar w:fldCharType="begin"/>
      </w:r>
      <w:r>
        <w:instrText xml:space="preserve"> HYPERLINK \l "_Toc180511513" </w:instrText>
      </w:r>
      <w:r>
        <w:fldChar w:fldCharType="separate"/>
      </w:r>
      <w:r>
        <w:rPr>
          <w:rStyle w:val="242"/>
          <w:rFonts w:hint="eastAsia"/>
        </w:rPr>
        <w:t>前    言</w:t>
      </w:r>
      <w:r>
        <w:rPr>
          <w:rFonts w:hint="eastAsia"/>
        </w:rPr>
        <w:tab/>
      </w:r>
      <w:r>
        <w:rPr>
          <w:rFonts w:hint="eastAsia"/>
        </w:rPr>
        <w:fldChar w:fldCharType="begin"/>
      </w:r>
      <w:r>
        <w:rPr>
          <w:rFonts w:hint="eastAsia"/>
        </w:rPr>
        <w:instrText xml:space="preserve"> </w:instrText>
      </w:r>
      <w:r>
        <w:instrText xml:space="preserve">PAGEREF _Toc180511513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20"/>
        <w:tabs>
          <w:tab w:val="right" w:leader="dot" w:pos="9346"/>
        </w:tabs>
        <w:spacing w:before="78" w:after="78"/>
        <w:rPr>
          <w:rFonts w:hint="eastAsia" w:asciiTheme="minorHAnsi" w:hAnsiTheme="minorHAnsi" w:eastAsiaTheme="minorEastAsia" w:cstheme="minorBidi"/>
          <w:kern w:val="2"/>
          <w:szCs w:val="22"/>
          <w14:ligatures w14:val="standardContextual"/>
        </w:rPr>
      </w:pPr>
      <w:r>
        <w:fldChar w:fldCharType="begin"/>
      </w:r>
      <w:r>
        <w:instrText xml:space="preserve"> HYPERLINK \l "_Toc180511514" </w:instrText>
      </w:r>
      <w:r>
        <w:fldChar w:fldCharType="separate"/>
      </w:r>
      <w:r>
        <w:rPr>
          <w:rStyle w:val="242"/>
          <w:rFonts w:hint="eastAsia"/>
        </w:rPr>
        <w:t>1 范围</w:t>
      </w:r>
      <w:r>
        <w:rPr>
          <w:rFonts w:hint="eastAsia"/>
        </w:rPr>
        <w:tab/>
      </w:r>
      <w:r>
        <w:rPr>
          <w:rFonts w:hint="eastAsia"/>
        </w:rPr>
        <w:fldChar w:fldCharType="begin"/>
      </w:r>
      <w:r>
        <w:rPr>
          <w:rFonts w:hint="eastAsia"/>
        </w:rPr>
        <w:instrText xml:space="preserve"> </w:instrText>
      </w:r>
      <w:r>
        <w:instrText xml:space="preserve">PAGEREF _Toc180511514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20"/>
        <w:tabs>
          <w:tab w:val="right" w:leader="dot" w:pos="9346"/>
        </w:tabs>
        <w:spacing w:before="78" w:after="78"/>
        <w:rPr>
          <w:rFonts w:hint="eastAsia" w:asciiTheme="minorHAnsi" w:hAnsiTheme="minorHAnsi" w:eastAsiaTheme="minorEastAsia" w:cstheme="minorBidi"/>
          <w:kern w:val="2"/>
          <w:szCs w:val="22"/>
          <w14:ligatures w14:val="standardContextual"/>
        </w:rPr>
      </w:pPr>
      <w:r>
        <w:fldChar w:fldCharType="begin"/>
      </w:r>
      <w:r>
        <w:instrText xml:space="preserve"> HYPERLINK \l "_Toc180511515" </w:instrText>
      </w:r>
      <w:r>
        <w:fldChar w:fldCharType="separate"/>
      </w:r>
      <w:r>
        <w:rPr>
          <w:rStyle w:val="24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_Toc180511515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20"/>
        <w:tabs>
          <w:tab w:val="right" w:leader="dot" w:pos="9346"/>
        </w:tabs>
        <w:spacing w:before="78" w:after="78"/>
        <w:rPr>
          <w:rFonts w:hint="eastAsia" w:asciiTheme="minorHAnsi" w:hAnsiTheme="minorHAnsi" w:eastAsiaTheme="minorEastAsia" w:cstheme="minorBidi"/>
          <w:kern w:val="2"/>
          <w:szCs w:val="22"/>
          <w14:ligatures w14:val="standardContextual"/>
        </w:rPr>
      </w:pPr>
      <w:r>
        <w:fldChar w:fldCharType="begin"/>
      </w:r>
      <w:r>
        <w:instrText xml:space="preserve"> HYPERLINK \l "_Toc180511516" </w:instrText>
      </w:r>
      <w:r>
        <w:fldChar w:fldCharType="separate"/>
      </w:r>
      <w:r>
        <w:rPr>
          <w:rStyle w:val="24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_Toc180511516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20"/>
        <w:tabs>
          <w:tab w:val="right" w:leader="dot" w:pos="9346"/>
        </w:tabs>
        <w:spacing w:before="78" w:after="78"/>
        <w:rPr>
          <w:rFonts w:hint="eastAsia" w:asciiTheme="minorHAnsi" w:hAnsiTheme="minorHAnsi" w:eastAsiaTheme="minorEastAsia" w:cstheme="minorBidi"/>
          <w:kern w:val="2"/>
          <w:szCs w:val="22"/>
          <w14:ligatures w14:val="standardContextual"/>
        </w:rPr>
      </w:pPr>
      <w:r>
        <w:fldChar w:fldCharType="begin"/>
      </w:r>
      <w:r>
        <w:instrText xml:space="preserve"> HYPERLINK \l "_Toc180511517" </w:instrText>
      </w:r>
      <w:r>
        <w:fldChar w:fldCharType="separate"/>
      </w:r>
      <w:r>
        <w:rPr>
          <w:rStyle w:val="242"/>
          <w:rFonts w:hint="eastAsia"/>
        </w:rPr>
        <w:t>4 一般使用条件</w:t>
      </w:r>
      <w:r>
        <w:rPr>
          <w:rFonts w:hint="eastAsia"/>
        </w:rPr>
        <w:tab/>
      </w:r>
      <w:r>
        <w:rPr>
          <w:rFonts w:hint="eastAsia"/>
        </w:rPr>
        <w:fldChar w:fldCharType="begin"/>
      </w:r>
      <w:r>
        <w:rPr>
          <w:rFonts w:hint="eastAsia"/>
        </w:rPr>
        <w:instrText xml:space="preserve"> </w:instrText>
      </w:r>
      <w:r>
        <w:instrText xml:space="preserve">PAGEREF _Toc180511517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"_Toc180511518" </w:instrText>
      </w:r>
      <w:r>
        <w:fldChar w:fldCharType="separate"/>
      </w:r>
      <w:r>
        <w:rPr>
          <w:rStyle w:val="242"/>
          <w:rFonts w:hint="eastAsia"/>
        </w:rPr>
        <w:t>4.1 环境温度</w:t>
      </w:r>
      <w:r>
        <w:rPr>
          <w:rFonts w:hint="eastAsia"/>
        </w:rPr>
        <w:tab/>
      </w:r>
      <w:r>
        <w:rPr>
          <w:rFonts w:hint="eastAsia"/>
        </w:rPr>
        <w:fldChar w:fldCharType="begin"/>
      </w:r>
      <w:r>
        <w:rPr>
          <w:rFonts w:hint="eastAsia"/>
        </w:rPr>
        <w:instrText xml:space="preserve"> </w:instrText>
      </w:r>
      <w:r>
        <w:instrText xml:space="preserve">PAGEREF _Toc180511518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"_Toc180511519" </w:instrText>
      </w:r>
      <w:r>
        <w:fldChar w:fldCharType="separate"/>
      </w:r>
      <w:r>
        <w:rPr>
          <w:rStyle w:val="242"/>
          <w:rFonts w:hint="eastAsia"/>
        </w:rPr>
        <w:t>4.2 海拔</w:t>
      </w:r>
      <w:r>
        <w:rPr>
          <w:rFonts w:hint="eastAsia"/>
        </w:rPr>
        <w:tab/>
      </w:r>
      <w:r>
        <w:rPr>
          <w:rFonts w:hint="eastAsia"/>
        </w:rPr>
        <w:fldChar w:fldCharType="begin"/>
      </w:r>
      <w:r>
        <w:rPr>
          <w:rFonts w:hint="eastAsia"/>
        </w:rPr>
        <w:instrText xml:space="preserve"> </w:instrText>
      </w:r>
      <w:r>
        <w:instrText xml:space="preserve">PAGEREF _Toc180511519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"_Toc180511520" </w:instrText>
      </w:r>
      <w:r>
        <w:fldChar w:fldCharType="separate"/>
      </w:r>
      <w:r>
        <w:rPr>
          <w:rStyle w:val="242"/>
          <w:rFonts w:hint="eastAsia"/>
        </w:rPr>
        <w:t>4.3 地震条件</w:t>
      </w:r>
      <w:r>
        <w:rPr>
          <w:rFonts w:hint="eastAsia"/>
        </w:rPr>
        <w:tab/>
      </w:r>
      <w:r>
        <w:rPr>
          <w:rFonts w:hint="eastAsia"/>
        </w:rPr>
        <w:fldChar w:fldCharType="begin"/>
      </w:r>
      <w:r>
        <w:rPr>
          <w:rFonts w:hint="eastAsia"/>
        </w:rPr>
        <w:instrText xml:space="preserve"> </w:instrText>
      </w:r>
      <w:r>
        <w:instrText xml:space="preserve">PAGEREF _Toc180511520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"_Toc180511521" </w:instrText>
      </w:r>
      <w:r>
        <w:fldChar w:fldCharType="separate"/>
      </w:r>
      <w:r>
        <w:rPr>
          <w:rStyle w:val="242"/>
          <w:rFonts w:hint="eastAsia"/>
        </w:rPr>
        <w:t>4.4 其他使用条件</w:t>
      </w:r>
      <w:r>
        <w:rPr>
          <w:rFonts w:hint="eastAsia"/>
        </w:rPr>
        <w:tab/>
      </w:r>
      <w:r>
        <w:rPr>
          <w:rFonts w:hint="eastAsia"/>
        </w:rPr>
        <w:fldChar w:fldCharType="begin"/>
      </w:r>
      <w:r>
        <w:rPr>
          <w:rFonts w:hint="eastAsia"/>
        </w:rPr>
        <w:instrText xml:space="preserve"> </w:instrText>
      </w:r>
      <w:r>
        <w:instrText xml:space="preserve">PAGEREF _Toc180511521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0"/>
        <w:tabs>
          <w:tab w:val="right" w:leader="dot" w:pos="9346"/>
        </w:tabs>
        <w:spacing w:before="78" w:after="78"/>
        <w:rPr>
          <w:rFonts w:hint="eastAsia" w:asciiTheme="minorHAnsi" w:hAnsiTheme="minorHAnsi" w:eastAsiaTheme="minorEastAsia" w:cstheme="minorBidi"/>
          <w:kern w:val="2"/>
          <w:szCs w:val="22"/>
          <w14:ligatures w14:val="standardContextual"/>
        </w:rPr>
      </w:pPr>
      <w:r>
        <w:fldChar w:fldCharType="begin"/>
      </w:r>
      <w:r>
        <w:instrText xml:space="preserve"> HYPERLINK \l "_Toc180511522" </w:instrText>
      </w:r>
      <w:r>
        <w:fldChar w:fldCharType="separate"/>
      </w:r>
      <w:r>
        <w:rPr>
          <w:rStyle w:val="242"/>
          <w:rFonts w:hint="eastAsia"/>
        </w:rPr>
        <w:t>5 基本技术参数</w:t>
      </w:r>
      <w:r>
        <w:rPr>
          <w:rFonts w:hint="eastAsia"/>
        </w:rPr>
        <w:tab/>
      </w:r>
      <w:r>
        <w:rPr>
          <w:rFonts w:hint="eastAsia"/>
        </w:rPr>
        <w:fldChar w:fldCharType="begin"/>
      </w:r>
      <w:r>
        <w:rPr>
          <w:rFonts w:hint="eastAsia"/>
        </w:rPr>
        <w:instrText xml:space="preserve"> </w:instrText>
      </w:r>
      <w:r>
        <w:instrText xml:space="preserve">PAGEREF _Toc180511522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"_Toc180511523" </w:instrText>
      </w:r>
      <w:r>
        <w:fldChar w:fldCharType="separate"/>
      </w:r>
      <w:r>
        <w:rPr>
          <w:rStyle w:val="242"/>
          <w:rFonts w:hint="eastAsia"/>
        </w:rPr>
        <w:t>5.1 设备最高电压</w:t>
      </w:r>
      <w:r>
        <w:rPr>
          <w:rStyle w:val="242"/>
          <w:rFonts w:hint="eastAsia"/>
          <w:b/>
          <w:bCs/>
          <w:i/>
          <w:iCs/>
        </w:rPr>
        <w:t>U</w:t>
      </w:r>
      <w:r>
        <w:rPr>
          <w:rStyle w:val="242"/>
          <w:rFonts w:hint="eastAsia"/>
          <w:b/>
          <w:bCs/>
          <w:i/>
          <w:iCs/>
          <w:vertAlign w:val="subscript"/>
        </w:rPr>
        <w:t>m</w:t>
      </w:r>
      <w:r>
        <w:rPr>
          <w:rFonts w:hint="eastAsia"/>
        </w:rPr>
        <w:tab/>
      </w:r>
      <w:r>
        <w:rPr>
          <w:rFonts w:hint="eastAsia"/>
        </w:rPr>
        <w:fldChar w:fldCharType="begin"/>
      </w:r>
      <w:r>
        <w:rPr>
          <w:rFonts w:hint="eastAsia"/>
        </w:rPr>
        <w:instrText xml:space="preserve"> </w:instrText>
      </w:r>
      <w:r>
        <w:instrText xml:space="preserve">PAGEREF _Toc180511523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"_Toc180511524" </w:instrText>
      </w:r>
      <w:r>
        <w:fldChar w:fldCharType="separate"/>
      </w:r>
      <w:r>
        <w:rPr>
          <w:rStyle w:val="242"/>
          <w:rFonts w:hint="eastAsia"/>
        </w:rPr>
        <w:t>5.2 额定电流</w:t>
      </w:r>
      <w:r>
        <w:rPr>
          <w:rStyle w:val="242"/>
          <w:rFonts w:hint="eastAsia"/>
          <w:b/>
          <w:i/>
        </w:rPr>
        <w:t>I</w:t>
      </w:r>
      <w:r>
        <w:rPr>
          <w:rStyle w:val="242"/>
          <w:rFonts w:hint="eastAsia"/>
          <w:b/>
          <w:i/>
          <w:vertAlign w:val="subscript"/>
        </w:rPr>
        <w:t>r</w:t>
      </w:r>
      <w:r>
        <w:rPr>
          <w:rFonts w:hint="eastAsia"/>
        </w:rPr>
        <w:tab/>
      </w:r>
      <w:r>
        <w:rPr>
          <w:rFonts w:hint="eastAsia"/>
        </w:rPr>
        <w:fldChar w:fldCharType="begin"/>
      </w:r>
      <w:r>
        <w:rPr>
          <w:rFonts w:hint="eastAsia"/>
        </w:rPr>
        <w:instrText xml:space="preserve"> </w:instrText>
      </w:r>
      <w:r>
        <w:instrText xml:space="preserve">PAGEREF _Toc180511524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"_Toc180511525" </w:instrText>
      </w:r>
      <w:r>
        <w:fldChar w:fldCharType="separate"/>
      </w:r>
      <w:r>
        <w:rPr>
          <w:rStyle w:val="242"/>
          <w:rFonts w:hint="eastAsia"/>
        </w:rPr>
        <w:t>5.3</w:t>
      </w:r>
      <w:r>
        <w:rPr>
          <w:rStyle w:val="242"/>
          <w:rFonts w:hint="eastAsia" w:hAnsi="黑体"/>
        </w:rPr>
        <w:t xml:space="preserve"> 额定绝缘水平</w:t>
      </w:r>
      <w:r>
        <w:rPr>
          <w:rFonts w:hint="eastAsia"/>
        </w:rPr>
        <w:tab/>
      </w:r>
      <w:r>
        <w:rPr>
          <w:rFonts w:hint="eastAsia"/>
        </w:rPr>
        <w:fldChar w:fldCharType="begin"/>
      </w:r>
      <w:r>
        <w:rPr>
          <w:rFonts w:hint="eastAsia"/>
        </w:rPr>
        <w:instrText xml:space="preserve"> </w:instrText>
      </w:r>
      <w:r>
        <w:instrText xml:space="preserve">PAGEREF _Toc180511525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0"/>
        <w:tabs>
          <w:tab w:val="right" w:leader="dot" w:pos="9346"/>
        </w:tabs>
        <w:spacing w:before="78" w:after="78"/>
        <w:rPr>
          <w:rFonts w:hint="eastAsia" w:asciiTheme="minorHAnsi" w:hAnsiTheme="minorHAnsi" w:eastAsiaTheme="minorEastAsia" w:cstheme="minorBidi"/>
          <w:kern w:val="2"/>
          <w:szCs w:val="22"/>
          <w14:ligatures w14:val="standardContextual"/>
        </w:rPr>
      </w:pPr>
      <w:r>
        <w:fldChar w:fldCharType="begin"/>
      </w:r>
      <w:r>
        <w:instrText xml:space="preserve"> HYPERLINK \l "_Toc180511526" </w:instrText>
      </w:r>
      <w:r>
        <w:fldChar w:fldCharType="separate"/>
      </w:r>
      <w:r>
        <w:rPr>
          <w:rStyle w:val="242"/>
          <w:rFonts w:hint="eastAsia"/>
        </w:rPr>
        <w:t>6 技术性能要求</w:t>
      </w:r>
      <w:r>
        <w:rPr>
          <w:rFonts w:hint="eastAsia"/>
        </w:rPr>
        <w:tab/>
      </w:r>
      <w:r>
        <w:rPr>
          <w:rFonts w:hint="eastAsia"/>
        </w:rPr>
        <w:fldChar w:fldCharType="begin"/>
      </w:r>
      <w:r>
        <w:rPr>
          <w:rFonts w:hint="eastAsia"/>
        </w:rPr>
        <w:instrText xml:space="preserve"> </w:instrText>
      </w:r>
      <w:r>
        <w:instrText xml:space="preserve">PAGEREF _Toc180511526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"_Toc180511527" </w:instrText>
      </w:r>
      <w:r>
        <w:fldChar w:fldCharType="separate"/>
      </w:r>
      <w:r>
        <w:rPr>
          <w:rStyle w:val="242"/>
          <w:rFonts w:hint="eastAsia"/>
        </w:rPr>
        <w:t>6.1 空心绝缘子性能要求</w:t>
      </w:r>
      <w:r>
        <w:rPr>
          <w:rFonts w:hint="eastAsia"/>
        </w:rPr>
        <w:tab/>
      </w:r>
      <w:r>
        <w:rPr>
          <w:rFonts w:hint="eastAsia"/>
        </w:rPr>
        <w:fldChar w:fldCharType="begin"/>
      </w:r>
      <w:r>
        <w:rPr>
          <w:rFonts w:hint="eastAsia"/>
        </w:rPr>
        <w:instrText xml:space="preserve"> </w:instrText>
      </w:r>
      <w:r>
        <w:instrText xml:space="preserve">PAGEREF _Toc180511527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"_Toc180511528" </w:instrText>
      </w:r>
      <w:r>
        <w:fldChar w:fldCharType="separate"/>
      </w:r>
      <w:r>
        <w:rPr>
          <w:rStyle w:val="242"/>
          <w:rFonts w:hint="eastAsia"/>
        </w:rPr>
        <w:t>6.2 套管的介质损耗因数（</w:t>
      </w:r>
      <w:r>
        <w:rPr>
          <w:rStyle w:val="242"/>
          <w:rFonts w:hint="eastAsia"/>
          <w:b/>
        </w:rPr>
        <w:t>tan</w:t>
      </w:r>
      <w:r>
        <w:rPr>
          <w:rStyle w:val="242"/>
          <w:rFonts w:hint="eastAsia"/>
          <w:b/>
          <w:i/>
        </w:rPr>
        <w:t>δ</w:t>
      </w:r>
      <w:r>
        <w:rPr>
          <w:rStyle w:val="242"/>
          <w:rFonts w:hint="eastAsia"/>
        </w:rPr>
        <w:t>）</w:t>
      </w:r>
      <w:r>
        <w:rPr>
          <w:rFonts w:hint="eastAsia"/>
        </w:rPr>
        <w:tab/>
      </w:r>
      <w:r>
        <w:rPr>
          <w:rFonts w:hint="eastAsia"/>
        </w:rPr>
        <w:fldChar w:fldCharType="begin"/>
      </w:r>
      <w:r>
        <w:rPr>
          <w:rFonts w:hint="eastAsia"/>
        </w:rPr>
        <w:instrText xml:space="preserve"> </w:instrText>
      </w:r>
      <w:r>
        <w:instrText xml:space="preserve">PAGEREF _Toc180511528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"_Toc180511529" </w:instrText>
      </w:r>
      <w:r>
        <w:fldChar w:fldCharType="separate"/>
      </w:r>
      <w:r>
        <w:rPr>
          <w:rStyle w:val="242"/>
          <w:rFonts w:hint="eastAsia"/>
        </w:rPr>
        <w:t>6.3 套管的局部放电量</w:t>
      </w:r>
      <w:r>
        <w:rPr>
          <w:rFonts w:hint="eastAsia"/>
        </w:rPr>
        <w:tab/>
      </w:r>
      <w:r>
        <w:rPr>
          <w:rFonts w:hint="eastAsia"/>
        </w:rPr>
        <w:fldChar w:fldCharType="begin"/>
      </w:r>
      <w:r>
        <w:rPr>
          <w:rFonts w:hint="eastAsia"/>
        </w:rPr>
        <w:instrText xml:space="preserve"> </w:instrText>
      </w:r>
      <w:r>
        <w:instrText xml:space="preserve">PAGEREF _Toc180511529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"_Toc180511530" </w:instrText>
      </w:r>
      <w:r>
        <w:fldChar w:fldCharType="separate"/>
      </w:r>
      <w:r>
        <w:rPr>
          <w:rStyle w:val="242"/>
          <w:rFonts w:hint="eastAsia"/>
        </w:rPr>
        <w:t>6.4 无线电干扰</w:t>
      </w:r>
      <w:r>
        <w:rPr>
          <w:rFonts w:hint="eastAsia"/>
        </w:rPr>
        <w:tab/>
      </w:r>
      <w:r>
        <w:rPr>
          <w:rFonts w:hint="eastAsia"/>
        </w:rPr>
        <w:fldChar w:fldCharType="begin"/>
      </w:r>
      <w:r>
        <w:rPr>
          <w:rFonts w:hint="eastAsia"/>
        </w:rPr>
        <w:instrText xml:space="preserve"> </w:instrText>
      </w:r>
      <w:r>
        <w:instrText xml:space="preserve">PAGEREF _Toc180511530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"_Toc180511531" </w:instrText>
      </w:r>
      <w:r>
        <w:fldChar w:fldCharType="separate"/>
      </w:r>
      <w:r>
        <w:rPr>
          <w:rStyle w:val="242"/>
          <w:rFonts w:hint="eastAsia"/>
        </w:rPr>
        <w:t>6.5 套管的试验抽头绝缘性能参数</w:t>
      </w:r>
      <w:r>
        <w:rPr>
          <w:rFonts w:hint="eastAsia"/>
        </w:rPr>
        <w:tab/>
      </w:r>
      <w:r>
        <w:rPr>
          <w:rFonts w:hint="eastAsia"/>
        </w:rPr>
        <w:fldChar w:fldCharType="begin"/>
      </w:r>
      <w:r>
        <w:rPr>
          <w:rFonts w:hint="eastAsia"/>
        </w:rPr>
        <w:instrText xml:space="preserve"> </w:instrText>
      </w:r>
      <w:r>
        <w:instrText xml:space="preserve">PAGEREF _Toc180511531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"_Toc180511532" </w:instrText>
      </w:r>
      <w:r>
        <w:fldChar w:fldCharType="separate"/>
      </w:r>
      <w:r>
        <w:rPr>
          <w:rStyle w:val="242"/>
          <w:rFonts w:hint="eastAsia"/>
        </w:rPr>
        <w:t>6.6 套管各部位的发热温度和温升</w:t>
      </w:r>
      <w:r>
        <w:rPr>
          <w:rFonts w:hint="eastAsia"/>
        </w:rPr>
        <w:tab/>
      </w:r>
      <w:r>
        <w:rPr>
          <w:rFonts w:hint="eastAsia"/>
        </w:rPr>
        <w:fldChar w:fldCharType="begin"/>
      </w:r>
      <w:r>
        <w:rPr>
          <w:rFonts w:hint="eastAsia"/>
        </w:rPr>
        <w:instrText xml:space="preserve"> </w:instrText>
      </w:r>
      <w:r>
        <w:instrText xml:space="preserve">PAGEREF _Toc180511532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"_Toc180511533" </w:instrText>
      </w:r>
      <w:r>
        <w:fldChar w:fldCharType="separate"/>
      </w:r>
      <w:r>
        <w:rPr>
          <w:rStyle w:val="242"/>
          <w:rFonts w:hint="eastAsia"/>
        </w:rPr>
        <w:t>6.7 套管的悬臂耐受负荷</w:t>
      </w:r>
      <w:r>
        <w:rPr>
          <w:rFonts w:hint="eastAsia"/>
        </w:rPr>
        <w:tab/>
      </w:r>
      <w:r>
        <w:rPr>
          <w:rFonts w:hint="eastAsia"/>
        </w:rPr>
        <w:fldChar w:fldCharType="begin"/>
      </w:r>
      <w:r>
        <w:rPr>
          <w:rFonts w:hint="eastAsia"/>
        </w:rPr>
        <w:instrText xml:space="preserve"> </w:instrText>
      </w:r>
      <w:r>
        <w:instrText xml:space="preserve">PAGEREF _Toc180511533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"_Toc180511534" </w:instrText>
      </w:r>
      <w:r>
        <w:fldChar w:fldCharType="separate"/>
      </w:r>
      <w:r>
        <w:rPr>
          <w:rStyle w:val="242"/>
          <w:rFonts w:hint="eastAsia"/>
        </w:rPr>
        <w:t>6.8 套管内部变压器油的性能</w:t>
      </w:r>
      <w:r>
        <w:rPr>
          <w:rFonts w:hint="eastAsia"/>
        </w:rPr>
        <w:tab/>
      </w:r>
      <w:r>
        <w:rPr>
          <w:rFonts w:hint="eastAsia"/>
        </w:rPr>
        <w:fldChar w:fldCharType="begin"/>
      </w:r>
      <w:r>
        <w:rPr>
          <w:rFonts w:hint="eastAsia"/>
        </w:rPr>
        <w:instrText xml:space="preserve"> </w:instrText>
      </w:r>
      <w:r>
        <w:instrText xml:space="preserve">PAGEREF _Toc180511534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20"/>
        <w:tabs>
          <w:tab w:val="right" w:leader="dot" w:pos="9346"/>
        </w:tabs>
        <w:spacing w:before="78" w:after="78"/>
        <w:rPr>
          <w:rFonts w:hint="eastAsia" w:asciiTheme="minorHAnsi" w:hAnsiTheme="minorHAnsi" w:eastAsiaTheme="minorEastAsia" w:cstheme="minorBidi"/>
          <w:kern w:val="2"/>
          <w:szCs w:val="22"/>
          <w14:ligatures w14:val="standardContextual"/>
        </w:rPr>
      </w:pPr>
      <w:r>
        <w:fldChar w:fldCharType="begin"/>
      </w:r>
      <w:r>
        <w:instrText xml:space="preserve"> HYPERLINK \l "_Toc180511535" </w:instrText>
      </w:r>
      <w:r>
        <w:fldChar w:fldCharType="separate"/>
      </w:r>
      <w:r>
        <w:rPr>
          <w:rStyle w:val="242"/>
          <w:rFonts w:hint="eastAsia"/>
        </w:rPr>
        <w:t>7 试验要求</w:t>
      </w:r>
      <w:r>
        <w:rPr>
          <w:rFonts w:hint="eastAsia"/>
        </w:rPr>
        <w:tab/>
      </w:r>
      <w:r>
        <w:rPr>
          <w:rFonts w:hint="eastAsia"/>
        </w:rPr>
        <w:fldChar w:fldCharType="begin"/>
      </w:r>
      <w:r>
        <w:rPr>
          <w:rFonts w:hint="eastAsia"/>
        </w:rPr>
        <w:instrText xml:space="preserve"> </w:instrText>
      </w:r>
      <w:r>
        <w:instrText xml:space="preserve">PAGEREF _Toc180511535 \h</w:instrText>
      </w:r>
      <w:r>
        <w:rPr>
          <w:rFonts w:hint="eastAsia"/>
        </w:rPr>
        <w:instrText xml:space="preserve"> </w:instrText>
      </w:r>
      <w:r>
        <w:fldChar w:fldCharType="separate"/>
      </w:r>
      <w:r>
        <w:t>6</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"_Toc180511536" </w:instrText>
      </w:r>
      <w:r>
        <w:fldChar w:fldCharType="separate"/>
      </w:r>
      <w:r>
        <w:rPr>
          <w:rStyle w:val="242"/>
          <w:rFonts w:hint="eastAsia"/>
        </w:rPr>
        <w:t>7.1 试验分类</w:t>
      </w:r>
      <w:r>
        <w:rPr>
          <w:rFonts w:hint="eastAsia"/>
        </w:rPr>
        <w:tab/>
      </w:r>
      <w:r>
        <w:rPr>
          <w:rFonts w:hint="eastAsia"/>
        </w:rPr>
        <w:fldChar w:fldCharType="begin"/>
      </w:r>
      <w:r>
        <w:rPr>
          <w:rFonts w:hint="eastAsia"/>
        </w:rPr>
        <w:instrText xml:space="preserve"> </w:instrText>
      </w:r>
      <w:r>
        <w:instrText xml:space="preserve">PAGEREF _Toc180511536 \h</w:instrText>
      </w:r>
      <w:r>
        <w:rPr>
          <w:rFonts w:hint="eastAsia"/>
        </w:rPr>
        <w:instrText xml:space="preserve"> </w:instrText>
      </w:r>
      <w:r>
        <w:fldChar w:fldCharType="separate"/>
      </w:r>
      <w:r>
        <w:t>6</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"_Toc180511537" </w:instrText>
      </w:r>
      <w:r>
        <w:fldChar w:fldCharType="separate"/>
      </w:r>
      <w:r>
        <w:rPr>
          <w:rStyle w:val="242"/>
          <w:rFonts w:hint="eastAsia"/>
        </w:rPr>
        <w:t>7.2 试验的一般要求</w:t>
      </w:r>
      <w:r>
        <w:rPr>
          <w:rFonts w:hint="eastAsia"/>
        </w:rPr>
        <w:tab/>
      </w:r>
      <w:r>
        <w:rPr>
          <w:rFonts w:hint="eastAsia"/>
        </w:rPr>
        <w:fldChar w:fldCharType="begin"/>
      </w:r>
      <w:r>
        <w:rPr>
          <w:rFonts w:hint="eastAsia"/>
        </w:rPr>
        <w:instrText xml:space="preserve"> </w:instrText>
      </w:r>
      <w:r>
        <w:instrText xml:space="preserve">PAGEREF _Toc180511537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"_Toc180511538" </w:instrText>
      </w:r>
      <w:r>
        <w:fldChar w:fldCharType="separate"/>
      </w:r>
      <w:r>
        <w:rPr>
          <w:rStyle w:val="242"/>
          <w:rFonts w:hint="eastAsia"/>
        </w:rPr>
        <w:t>7.3 外观和尺寸检查</w:t>
      </w:r>
      <w:r>
        <w:rPr>
          <w:rFonts w:hint="eastAsia"/>
        </w:rPr>
        <w:tab/>
      </w:r>
      <w:r>
        <w:rPr>
          <w:rFonts w:hint="eastAsia"/>
        </w:rPr>
        <w:fldChar w:fldCharType="begin"/>
      </w:r>
      <w:r>
        <w:rPr>
          <w:rFonts w:hint="eastAsia"/>
        </w:rPr>
        <w:instrText xml:space="preserve"> </w:instrText>
      </w:r>
      <w:r>
        <w:instrText xml:space="preserve">PAGEREF _Toc180511538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"_Toc180511539" </w:instrText>
      </w:r>
      <w:r>
        <w:fldChar w:fldCharType="separate"/>
      </w:r>
      <w:r>
        <w:rPr>
          <w:rStyle w:val="242"/>
          <w:rFonts w:hint="eastAsia"/>
        </w:rPr>
        <w:t>7.4 额定频率交流干或湿耐受电压试验</w:t>
      </w:r>
      <w:r>
        <w:rPr>
          <w:rFonts w:hint="eastAsia"/>
        </w:rPr>
        <w:tab/>
      </w:r>
      <w:r>
        <w:rPr>
          <w:rFonts w:hint="eastAsia"/>
        </w:rPr>
        <w:fldChar w:fldCharType="begin"/>
      </w:r>
      <w:r>
        <w:rPr>
          <w:rFonts w:hint="eastAsia"/>
        </w:rPr>
        <w:instrText xml:space="preserve"> </w:instrText>
      </w:r>
      <w:r>
        <w:instrText xml:space="preserve">PAGEREF _Toc180511539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"_Toc180511540" </w:instrText>
      </w:r>
      <w:r>
        <w:fldChar w:fldCharType="separate"/>
      </w:r>
      <w:r>
        <w:rPr>
          <w:rStyle w:val="242"/>
          <w:rFonts w:hint="eastAsia"/>
        </w:rPr>
        <w:t>7.5 长时额定频率交流耐受电压试验</w:t>
      </w:r>
      <w:r>
        <w:rPr>
          <w:rFonts w:hint="eastAsia"/>
        </w:rPr>
        <w:tab/>
      </w:r>
      <w:r>
        <w:rPr>
          <w:rFonts w:hint="eastAsia"/>
        </w:rPr>
        <w:fldChar w:fldCharType="begin"/>
      </w:r>
      <w:r>
        <w:rPr>
          <w:rFonts w:hint="eastAsia"/>
        </w:rPr>
        <w:instrText xml:space="preserve"> </w:instrText>
      </w:r>
      <w:r>
        <w:instrText xml:space="preserve">PAGEREF _Toc180511540 \h</w:instrText>
      </w:r>
      <w:r>
        <w:rPr>
          <w:rFonts w:hint="eastAsia"/>
        </w:rPr>
        <w:instrText xml:space="preserve"> </w:instrText>
      </w:r>
      <w:r>
        <w:fldChar w:fldCharType="separate"/>
      </w:r>
      <w:r>
        <w:t>8</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"_Toc180511541" </w:instrText>
      </w:r>
      <w:r>
        <w:fldChar w:fldCharType="separate"/>
      </w:r>
      <w:r>
        <w:rPr>
          <w:rStyle w:val="242"/>
          <w:rFonts w:hint="eastAsia"/>
        </w:rPr>
        <w:t>7.6 雷电冲击干耐受电压试验</w:t>
      </w:r>
      <w:r>
        <w:rPr>
          <w:rFonts w:hint="eastAsia"/>
        </w:rPr>
        <w:tab/>
      </w:r>
      <w:r>
        <w:rPr>
          <w:rFonts w:hint="eastAsia"/>
        </w:rPr>
        <w:fldChar w:fldCharType="begin"/>
      </w:r>
      <w:r>
        <w:rPr>
          <w:rFonts w:hint="eastAsia"/>
        </w:rPr>
        <w:instrText xml:space="preserve"> </w:instrText>
      </w:r>
      <w:r>
        <w:instrText xml:space="preserve">PAGEREF _Toc180511541 \h</w:instrText>
      </w:r>
      <w:r>
        <w:rPr>
          <w:rFonts w:hint="eastAsia"/>
        </w:rPr>
        <w:instrText xml:space="preserve"> </w:instrText>
      </w:r>
      <w:r>
        <w:fldChar w:fldCharType="separate"/>
      </w:r>
      <w:r>
        <w:t>8</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"_Toc180511542" </w:instrText>
      </w:r>
      <w:r>
        <w:fldChar w:fldCharType="separate"/>
      </w:r>
      <w:r>
        <w:rPr>
          <w:rStyle w:val="242"/>
          <w:rFonts w:hint="eastAsia"/>
        </w:rPr>
        <w:t>7.7 操作冲击干或湿耐受电压试验</w:t>
      </w:r>
      <w:r>
        <w:rPr>
          <w:rFonts w:hint="eastAsia"/>
        </w:rPr>
        <w:tab/>
      </w:r>
      <w:r>
        <w:rPr>
          <w:rFonts w:hint="eastAsia"/>
        </w:rPr>
        <w:fldChar w:fldCharType="begin"/>
      </w:r>
      <w:r>
        <w:rPr>
          <w:rFonts w:hint="eastAsia"/>
        </w:rPr>
        <w:instrText xml:space="preserve"> </w:instrText>
      </w:r>
      <w:r>
        <w:instrText xml:space="preserve">PAGEREF _Toc180511542 \h</w:instrText>
      </w:r>
      <w:r>
        <w:rPr>
          <w:rFonts w:hint="eastAsia"/>
        </w:rPr>
        <w:instrText xml:space="preserve"> </w:instrText>
      </w:r>
      <w:r>
        <w:fldChar w:fldCharType="separate"/>
      </w:r>
      <w:r>
        <w:t>8</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"_Toc180511543" </w:instrText>
      </w:r>
      <w:r>
        <w:fldChar w:fldCharType="separate"/>
      </w:r>
      <w:r>
        <w:rPr>
          <w:rStyle w:val="242"/>
          <w:rFonts w:hint="eastAsia"/>
        </w:rPr>
        <w:t>7.8 环境温度下介质损耗因数（tanδ）和电容量测量</w:t>
      </w:r>
      <w:r>
        <w:rPr>
          <w:rFonts w:hint="eastAsia"/>
        </w:rPr>
        <w:tab/>
      </w:r>
      <w:r>
        <w:rPr>
          <w:rFonts w:hint="eastAsia"/>
        </w:rPr>
        <w:fldChar w:fldCharType="begin"/>
      </w:r>
      <w:r>
        <w:rPr>
          <w:rFonts w:hint="eastAsia"/>
        </w:rPr>
        <w:instrText xml:space="preserve"> </w:instrText>
      </w:r>
      <w:r>
        <w:instrText xml:space="preserve">PAGEREF _Toc180511543 \h</w:instrText>
      </w:r>
      <w:r>
        <w:rPr>
          <w:rFonts w:hint="eastAsia"/>
        </w:rPr>
        <w:instrText xml:space="preserve"> </w:instrText>
      </w:r>
      <w:r>
        <w:fldChar w:fldCharType="separate"/>
      </w:r>
      <w:r>
        <w:t>8</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"_Toc180511544" </w:instrText>
      </w:r>
      <w:r>
        <w:fldChar w:fldCharType="separate"/>
      </w:r>
      <w:r>
        <w:rPr>
          <w:rStyle w:val="242"/>
          <w:rFonts w:hint="eastAsia"/>
        </w:rPr>
        <w:t>7.9 局部放电测量</w:t>
      </w:r>
      <w:r>
        <w:rPr>
          <w:rFonts w:hint="eastAsia"/>
        </w:rPr>
        <w:tab/>
      </w:r>
      <w:r>
        <w:rPr>
          <w:rFonts w:hint="eastAsia"/>
        </w:rPr>
        <w:fldChar w:fldCharType="begin"/>
      </w:r>
      <w:r>
        <w:rPr>
          <w:rFonts w:hint="eastAsia"/>
        </w:rPr>
        <w:instrText xml:space="preserve"> </w:instrText>
      </w:r>
      <w:r>
        <w:instrText xml:space="preserve">PAGEREF _Toc180511544 \h</w:instrText>
      </w:r>
      <w:r>
        <w:rPr>
          <w:rFonts w:hint="eastAsia"/>
        </w:rPr>
        <w:instrText xml:space="preserve"> </w:instrText>
      </w:r>
      <w:r>
        <w:fldChar w:fldCharType="separate"/>
      </w:r>
      <w:r>
        <w:t>9</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"_Toc180511545" </w:instrText>
      </w:r>
      <w:r>
        <w:fldChar w:fldCharType="separate"/>
      </w:r>
      <w:r>
        <w:rPr>
          <w:rStyle w:val="242"/>
          <w:rFonts w:hint="eastAsia"/>
        </w:rPr>
        <w:t>7.10 抽头绝缘试验</w:t>
      </w:r>
      <w:r>
        <w:rPr>
          <w:rFonts w:hint="eastAsia"/>
        </w:rPr>
        <w:tab/>
      </w:r>
      <w:r>
        <w:rPr>
          <w:rFonts w:hint="eastAsia"/>
        </w:rPr>
        <w:fldChar w:fldCharType="begin"/>
      </w:r>
      <w:r>
        <w:rPr>
          <w:rFonts w:hint="eastAsia"/>
        </w:rPr>
        <w:instrText xml:space="preserve"> </w:instrText>
      </w:r>
      <w:r>
        <w:instrText xml:space="preserve">PAGEREF _Toc180511545 \h</w:instrText>
      </w:r>
      <w:r>
        <w:rPr>
          <w:rFonts w:hint="eastAsia"/>
        </w:rPr>
        <w:instrText xml:space="preserve"> </w:instrText>
      </w:r>
      <w:r>
        <w:fldChar w:fldCharType="separate"/>
      </w:r>
      <w:r>
        <w:t>9</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"_Toc180511546" </w:instrText>
      </w:r>
      <w:r>
        <w:fldChar w:fldCharType="separate"/>
      </w:r>
      <w:r>
        <w:rPr>
          <w:rStyle w:val="242"/>
          <w:rFonts w:hint="eastAsia"/>
        </w:rPr>
        <w:t>7.11 无线电干扰电压试验</w:t>
      </w:r>
      <w:r>
        <w:rPr>
          <w:rFonts w:hint="eastAsia"/>
        </w:rPr>
        <w:tab/>
      </w:r>
      <w:r>
        <w:rPr>
          <w:rFonts w:hint="eastAsia"/>
        </w:rPr>
        <w:fldChar w:fldCharType="begin"/>
      </w:r>
      <w:r>
        <w:rPr>
          <w:rFonts w:hint="eastAsia"/>
        </w:rPr>
        <w:instrText xml:space="preserve"> </w:instrText>
      </w:r>
      <w:r>
        <w:instrText xml:space="preserve">PAGEREF _Toc180511546 \h</w:instrText>
      </w:r>
      <w:r>
        <w:rPr>
          <w:rFonts w:hint="eastAsia"/>
        </w:rPr>
        <w:instrText xml:space="preserve"> </w:instrText>
      </w:r>
      <w:r>
        <w:fldChar w:fldCharType="separate"/>
      </w:r>
      <w:r>
        <w:t>9</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"_Toc180511547" </w:instrText>
      </w:r>
      <w:r>
        <w:fldChar w:fldCharType="separate"/>
      </w:r>
      <w:r>
        <w:rPr>
          <w:rStyle w:val="242"/>
          <w:rFonts w:hint="eastAsia"/>
        </w:rPr>
        <w:t>7.12 温升试验</w:t>
      </w:r>
      <w:r>
        <w:rPr>
          <w:rFonts w:hint="eastAsia"/>
        </w:rPr>
        <w:tab/>
      </w:r>
      <w:r>
        <w:rPr>
          <w:rFonts w:hint="eastAsia"/>
        </w:rPr>
        <w:fldChar w:fldCharType="begin"/>
      </w:r>
      <w:r>
        <w:rPr>
          <w:rFonts w:hint="eastAsia"/>
        </w:rPr>
        <w:instrText xml:space="preserve"> </w:instrText>
      </w:r>
      <w:r>
        <w:instrText xml:space="preserve">PAGEREF _Toc180511547 \h</w:instrText>
      </w:r>
      <w:r>
        <w:rPr>
          <w:rFonts w:hint="eastAsia"/>
        </w:rPr>
        <w:instrText xml:space="preserve"> </w:instrText>
      </w:r>
      <w:r>
        <w:fldChar w:fldCharType="separate"/>
      </w:r>
      <w:r>
        <w:t>9</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"_Toc180511548" </w:instrText>
      </w:r>
      <w:r>
        <w:fldChar w:fldCharType="separate"/>
      </w:r>
      <w:r>
        <w:rPr>
          <w:rStyle w:val="242"/>
          <w:rFonts w:hint="eastAsia"/>
        </w:rPr>
        <w:t>7.13 热短时电流耐受验证</w:t>
      </w:r>
      <w:r>
        <w:rPr>
          <w:rFonts w:hint="eastAsia"/>
        </w:rPr>
        <w:tab/>
      </w:r>
      <w:r>
        <w:rPr>
          <w:rFonts w:hint="eastAsia"/>
        </w:rPr>
        <w:fldChar w:fldCharType="begin"/>
      </w:r>
      <w:r>
        <w:rPr>
          <w:rFonts w:hint="eastAsia"/>
        </w:rPr>
        <w:instrText xml:space="preserve"> </w:instrText>
      </w:r>
      <w:r>
        <w:instrText xml:space="preserve">PAGEREF _Toc180511548 \h</w:instrText>
      </w:r>
      <w:r>
        <w:rPr>
          <w:rFonts w:hint="eastAsia"/>
        </w:rPr>
        <w:instrText xml:space="preserve"> </w:instrText>
      </w:r>
      <w:r>
        <w:fldChar w:fldCharType="separate"/>
      </w:r>
      <w:r>
        <w:t>9</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"_Toc180511549" </w:instrText>
      </w:r>
      <w:r>
        <w:fldChar w:fldCharType="separate"/>
      </w:r>
      <w:r>
        <w:rPr>
          <w:rStyle w:val="242"/>
          <w:rFonts w:hint="eastAsia"/>
        </w:rPr>
        <w:t>7.14 悬臂负荷耐受试验</w:t>
      </w:r>
      <w:r>
        <w:rPr>
          <w:rFonts w:hint="eastAsia"/>
        </w:rPr>
        <w:tab/>
      </w:r>
      <w:r>
        <w:rPr>
          <w:rFonts w:hint="eastAsia"/>
        </w:rPr>
        <w:fldChar w:fldCharType="begin"/>
      </w:r>
      <w:r>
        <w:rPr>
          <w:rFonts w:hint="eastAsia"/>
        </w:rPr>
        <w:instrText xml:space="preserve"> </w:instrText>
      </w:r>
      <w:r>
        <w:instrText xml:space="preserve">PAGEREF _Toc180511549 \h</w:instrText>
      </w:r>
      <w:r>
        <w:rPr>
          <w:rFonts w:hint="eastAsia"/>
        </w:rPr>
        <w:instrText xml:space="preserve"> </w:instrText>
      </w:r>
      <w:r>
        <w:fldChar w:fldCharType="separate"/>
      </w:r>
      <w:r>
        <w:t>10</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"_Toc180511550" </w:instrText>
      </w:r>
      <w:r>
        <w:fldChar w:fldCharType="separate"/>
      </w:r>
      <w:r>
        <w:rPr>
          <w:rStyle w:val="242"/>
          <w:rFonts w:hint="eastAsia"/>
        </w:rPr>
        <w:t>7.15 充液体、充混合物以及液体绝缘套管的密封试验</w:t>
      </w:r>
      <w:r>
        <w:rPr>
          <w:rFonts w:hint="eastAsia"/>
        </w:rPr>
        <w:tab/>
      </w:r>
      <w:r>
        <w:rPr>
          <w:rFonts w:hint="eastAsia"/>
        </w:rPr>
        <w:fldChar w:fldCharType="begin"/>
      </w:r>
      <w:r>
        <w:rPr>
          <w:rFonts w:hint="eastAsia"/>
        </w:rPr>
        <w:instrText xml:space="preserve"> </w:instrText>
      </w:r>
      <w:r>
        <w:instrText xml:space="preserve">PAGEREF _Toc180511550 \h</w:instrText>
      </w:r>
      <w:r>
        <w:rPr>
          <w:rFonts w:hint="eastAsia"/>
        </w:rPr>
        <w:instrText xml:space="preserve"> </w:instrText>
      </w:r>
      <w:r>
        <w:fldChar w:fldCharType="separate"/>
      </w:r>
      <w:r>
        <w:t>10</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"_Toc180511551" </w:instrText>
      </w:r>
      <w:r>
        <w:fldChar w:fldCharType="separate"/>
      </w:r>
      <w:r>
        <w:rPr>
          <w:rStyle w:val="242"/>
          <w:rFonts w:hint="eastAsia"/>
        </w:rPr>
        <w:t>7.16 法兰或其它紧固件上的密封试验</w:t>
      </w:r>
      <w:r>
        <w:rPr>
          <w:rFonts w:hint="eastAsia"/>
        </w:rPr>
        <w:tab/>
      </w:r>
      <w:r>
        <w:rPr>
          <w:rFonts w:hint="eastAsia"/>
        </w:rPr>
        <w:fldChar w:fldCharType="begin"/>
      </w:r>
      <w:r>
        <w:rPr>
          <w:rFonts w:hint="eastAsia"/>
        </w:rPr>
        <w:instrText xml:space="preserve"> </w:instrText>
      </w:r>
      <w:r>
        <w:instrText xml:space="preserve">PAGEREF _Toc180511551 \h</w:instrText>
      </w:r>
      <w:r>
        <w:rPr>
          <w:rFonts w:hint="eastAsia"/>
        </w:rPr>
        <w:instrText xml:space="preserve"> </w:instrText>
      </w:r>
      <w:r>
        <w:fldChar w:fldCharType="separate"/>
      </w:r>
      <w:r>
        <w:t>10</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"_Toc180511552" </w:instrText>
      </w:r>
      <w:r>
        <w:fldChar w:fldCharType="separate"/>
      </w:r>
      <w:r>
        <w:rPr>
          <w:rStyle w:val="242"/>
          <w:rFonts w:hint="eastAsia"/>
        </w:rPr>
        <w:t>7.17 绝缘电阻测量</w:t>
      </w:r>
      <w:r>
        <w:rPr>
          <w:rFonts w:hint="eastAsia"/>
        </w:rPr>
        <w:tab/>
      </w:r>
      <w:r>
        <w:rPr>
          <w:rFonts w:hint="eastAsia"/>
        </w:rPr>
        <w:fldChar w:fldCharType="begin"/>
      </w:r>
      <w:r>
        <w:rPr>
          <w:rFonts w:hint="eastAsia"/>
        </w:rPr>
        <w:instrText xml:space="preserve"> </w:instrText>
      </w:r>
      <w:r>
        <w:instrText xml:space="preserve">PAGEREF _Toc180511552 \h</w:instrText>
      </w:r>
      <w:r>
        <w:rPr>
          <w:rFonts w:hint="eastAsia"/>
        </w:rPr>
        <w:instrText xml:space="preserve"> </w:instrText>
      </w:r>
      <w:r>
        <w:fldChar w:fldCharType="separate"/>
      </w:r>
      <w:r>
        <w:t>10</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"_Toc180511553" </w:instrText>
      </w:r>
      <w:r>
        <w:fldChar w:fldCharType="separate"/>
      </w:r>
      <w:r>
        <w:rPr>
          <w:rStyle w:val="242"/>
          <w:rFonts w:hint="eastAsia"/>
        </w:rPr>
        <w:t>7.18 10kV电压下套管主绝缘的tanδ和电容量测量</w:t>
      </w:r>
      <w:r>
        <w:rPr>
          <w:rFonts w:hint="eastAsia"/>
        </w:rPr>
        <w:tab/>
      </w:r>
      <w:r>
        <w:rPr>
          <w:rFonts w:hint="eastAsia"/>
        </w:rPr>
        <w:fldChar w:fldCharType="begin"/>
      </w:r>
      <w:r>
        <w:rPr>
          <w:rFonts w:hint="eastAsia"/>
        </w:rPr>
        <w:instrText xml:space="preserve"> </w:instrText>
      </w:r>
      <w:r>
        <w:instrText xml:space="preserve">PAGEREF _Toc180511553 \h</w:instrText>
      </w:r>
      <w:r>
        <w:rPr>
          <w:rFonts w:hint="eastAsia"/>
        </w:rPr>
        <w:instrText xml:space="preserve"> </w:instrText>
      </w:r>
      <w:r>
        <w:fldChar w:fldCharType="separate"/>
      </w:r>
      <w:r>
        <w:t>10</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"_Toc180511554" </w:instrText>
      </w:r>
      <w:r>
        <w:fldChar w:fldCharType="separate"/>
      </w:r>
      <w:r>
        <w:rPr>
          <w:rStyle w:val="242"/>
          <w:rFonts w:hint="eastAsia"/>
        </w:rPr>
        <w:t>7.19 试验抽头对地的tanδ测量</w:t>
      </w:r>
      <w:r>
        <w:rPr>
          <w:rFonts w:hint="eastAsia"/>
        </w:rPr>
        <w:tab/>
      </w:r>
      <w:r>
        <w:rPr>
          <w:rFonts w:hint="eastAsia"/>
        </w:rPr>
        <w:fldChar w:fldCharType="begin"/>
      </w:r>
      <w:r>
        <w:rPr>
          <w:rFonts w:hint="eastAsia"/>
        </w:rPr>
        <w:instrText xml:space="preserve"> </w:instrText>
      </w:r>
      <w:r>
        <w:instrText xml:space="preserve">PAGEREF _Toc180511554 \h</w:instrText>
      </w:r>
      <w:r>
        <w:rPr>
          <w:rFonts w:hint="eastAsia"/>
        </w:rPr>
        <w:instrText xml:space="preserve"> </w:instrText>
      </w:r>
      <w:r>
        <w:fldChar w:fldCharType="separate"/>
      </w:r>
      <w:r>
        <w:t>10</w:t>
      </w:r>
      <w:r>
        <w:rPr>
          <w:rFonts w:hint="eastAsia"/>
        </w:rPr>
        <w:fldChar w:fldCharType="end"/>
      </w:r>
      <w:r>
        <w:rPr>
          <w:rFonts w:hint="eastAsia"/>
        </w:rPr>
        <w:fldChar w:fldCharType="end"/>
      </w:r>
    </w:p>
    <w:p>
      <w:pPr>
        <w:pStyle w:val="20"/>
        <w:tabs>
          <w:tab w:val="right" w:leader="dot" w:pos="9346"/>
        </w:tabs>
        <w:spacing w:before="78" w:after="78"/>
        <w:rPr>
          <w:rFonts w:hint="eastAsia" w:asciiTheme="minorHAnsi" w:hAnsiTheme="minorHAnsi" w:eastAsiaTheme="minorEastAsia" w:cstheme="minorBidi"/>
          <w:kern w:val="2"/>
          <w:szCs w:val="22"/>
          <w14:ligatures w14:val="standardContextual"/>
        </w:rPr>
      </w:pPr>
      <w:r>
        <w:fldChar w:fldCharType="begin"/>
      </w:r>
      <w:r>
        <w:instrText xml:space="preserve"> HYPERLINK \l "_Toc180511555" </w:instrText>
      </w:r>
      <w:r>
        <w:fldChar w:fldCharType="separate"/>
      </w:r>
      <w:r>
        <w:rPr>
          <w:rStyle w:val="242"/>
          <w:rFonts w:hint="eastAsia"/>
        </w:rPr>
        <w:t>8 运输、存放、安装、运行和维护规则</w:t>
      </w:r>
      <w:r>
        <w:rPr>
          <w:rFonts w:hint="eastAsia"/>
        </w:rPr>
        <w:tab/>
      </w:r>
      <w:r>
        <w:rPr>
          <w:rFonts w:hint="eastAsia"/>
        </w:rPr>
        <w:fldChar w:fldCharType="begin"/>
      </w:r>
      <w:r>
        <w:rPr>
          <w:rFonts w:hint="eastAsia"/>
        </w:rPr>
        <w:instrText xml:space="preserve"> </w:instrText>
      </w:r>
      <w:r>
        <w:instrText xml:space="preserve">PAGEREF _Toc180511555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"_Toc180511556" </w:instrText>
      </w:r>
      <w:r>
        <w:fldChar w:fldCharType="separate"/>
      </w:r>
      <w:r>
        <w:rPr>
          <w:rStyle w:val="242"/>
          <w:rFonts w:hint="eastAsia"/>
        </w:rPr>
        <w:t>8.1 一般要求</w:t>
      </w:r>
      <w:r>
        <w:rPr>
          <w:rFonts w:hint="eastAsia"/>
        </w:rPr>
        <w:tab/>
      </w:r>
      <w:r>
        <w:rPr>
          <w:rFonts w:hint="eastAsia"/>
        </w:rPr>
        <w:fldChar w:fldCharType="begin"/>
      </w:r>
      <w:r>
        <w:rPr>
          <w:rFonts w:hint="eastAsia"/>
        </w:rPr>
        <w:instrText xml:space="preserve"> </w:instrText>
      </w:r>
      <w:r>
        <w:instrText xml:space="preserve">PAGEREF _Toc180511556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"_Toc180511557" </w:instrText>
      </w:r>
      <w:r>
        <w:fldChar w:fldCharType="separate"/>
      </w:r>
      <w:r>
        <w:rPr>
          <w:rStyle w:val="242"/>
          <w:rFonts w:hint="eastAsia"/>
        </w:rPr>
        <w:t>8.2 运输、存放和安装要求</w:t>
      </w:r>
      <w:r>
        <w:rPr>
          <w:rFonts w:hint="eastAsia"/>
        </w:rPr>
        <w:tab/>
      </w:r>
      <w:r>
        <w:rPr>
          <w:rFonts w:hint="eastAsia"/>
        </w:rPr>
        <w:fldChar w:fldCharType="begin"/>
      </w:r>
      <w:r>
        <w:rPr>
          <w:rFonts w:hint="eastAsia"/>
        </w:rPr>
        <w:instrText xml:space="preserve"> </w:instrText>
      </w:r>
      <w:r>
        <w:instrText xml:space="preserve">PAGEREF _Toc180511557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"_Toc180511558" </w:instrText>
      </w:r>
      <w:r>
        <w:fldChar w:fldCharType="separate"/>
      </w:r>
      <w:r>
        <w:rPr>
          <w:rStyle w:val="242"/>
          <w:rFonts w:hint="eastAsia"/>
        </w:rPr>
        <w:t>8.3 安装说明</w:t>
      </w:r>
      <w:r>
        <w:rPr>
          <w:rFonts w:hint="eastAsia"/>
        </w:rPr>
        <w:tab/>
      </w:r>
      <w:r>
        <w:rPr>
          <w:rFonts w:hint="eastAsia"/>
        </w:rPr>
        <w:fldChar w:fldCharType="begin"/>
      </w:r>
      <w:r>
        <w:rPr>
          <w:rFonts w:hint="eastAsia"/>
        </w:rPr>
        <w:instrText xml:space="preserve"> </w:instrText>
      </w:r>
      <w:r>
        <w:instrText xml:space="preserve">PAGEREF _Toc180511558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"_Toc180511559" </w:instrText>
      </w:r>
      <w:r>
        <w:fldChar w:fldCharType="separate"/>
      </w:r>
      <w:r>
        <w:rPr>
          <w:rStyle w:val="242"/>
          <w:rFonts w:hint="eastAsia"/>
        </w:rPr>
        <w:t>8.4 拆装与吊装</w:t>
      </w:r>
      <w:r>
        <w:rPr>
          <w:rFonts w:hint="eastAsia"/>
        </w:rPr>
        <w:tab/>
      </w:r>
      <w:r>
        <w:rPr>
          <w:rFonts w:hint="eastAsia"/>
        </w:rPr>
        <w:fldChar w:fldCharType="begin"/>
      </w:r>
      <w:r>
        <w:rPr>
          <w:rFonts w:hint="eastAsia"/>
        </w:rPr>
        <w:instrText xml:space="preserve"> </w:instrText>
      </w:r>
      <w:r>
        <w:instrText xml:space="preserve">PAGEREF _Toc180511559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19"/>
        <w:tabs>
          <w:tab w:val="right" w:leader="dot" w:pos="9346"/>
        </w:tabs>
        <w:spacing w:before="78" w:after="78"/>
        <w:ind w:left="210"/>
        <w:rPr>
          <w:rFonts w:hint="eastAsia" w:asciiTheme="minorHAnsi" w:hAnsiTheme="minorHAnsi" w:eastAsiaTheme="minorEastAsia" w:cstheme="minorBidi"/>
          <w:kern w:val="2"/>
          <w:szCs w:val="22"/>
          <w14:ligatures w14:val="standardContextual"/>
        </w:rPr>
      </w:pPr>
      <w:r>
        <w:fldChar w:fldCharType="begin"/>
      </w:r>
      <w:r>
        <w:instrText xml:space="preserve"> HYPERLINK \l "_Toc180511560" </w:instrText>
      </w:r>
      <w:r>
        <w:fldChar w:fldCharType="separate"/>
      </w:r>
      <w:r>
        <w:rPr>
          <w:rStyle w:val="242"/>
          <w:rFonts w:hint="eastAsia"/>
        </w:rPr>
        <w:t>8.5 组装</w:t>
      </w:r>
      <w:r>
        <w:rPr>
          <w:rFonts w:hint="eastAsia"/>
        </w:rPr>
        <w:tab/>
      </w:r>
      <w:r>
        <w:rPr>
          <w:rFonts w:hint="eastAsia"/>
        </w:rPr>
        <w:fldChar w:fldCharType="begin"/>
      </w:r>
      <w:r>
        <w:rPr>
          <w:rFonts w:hint="eastAsia"/>
        </w:rPr>
        <w:instrText xml:space="preserve"> </w:instrText>
      </w:r>
      <w:r>
        <w:instrText xml:space="preserve">PAGEREF _Toc180511560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258"/>
        <w:ind w:firstLine="420"/>
        <w:rPr>
          <w:rFonts w:hint="eastAsia" w:hAnsi="宋体"/>
        </w:rPr>
      </w:pPr>
      <w:r>
        <w:rPr>
          <w:rFonts w:hAnsi="宋体"/>
        </w:rPr>
        <w:fldChar w:fldCharType="end"/>
      </w:r>
    </w:p>
    <w:p>
      <w:pPr>
        <w:widowControl/>
        <w:jc w:val="left"/>
        <w:rPr>
          <w:rFonts w:eastAsia="黑体"/>
          <w:kern w:val="0"/>
          <w:sz w:val="32"/>
          <w:szCs w:val="20"/>
        </w:rPr>
      </w:pPr>
    </w:p>
    <w:p>
      <w:pPr>
        <w:widowControl/>
        <w:jc w:val="left"/>
        <w:rPr>
          <w:rFonts w:eastAsia="黑体"/>
          <w:kern w:val="0"/>
          <w:sz w:val="32"/>
          <w:szCs w:val="20"/>
        </w:rPr>
      </w:pPr>
      <w:r>
        <w:br w:type="page"/>
      </w:r>
    </w:p>
    <w:p>
      <w:pPr>
        <w:pStyle w:val="256"/>
        <w:rPr>
          <w:rFonts w:ascii="Times New Roman"/>
        </w:rPr>
      </w:pPr>
      <w:bookmarkStart w:id="5" w:name="_Toc180511513"/>
      <w:bookmarkStart w:id="6" w:name="_Toc13912"/>
      <w:bookmarkStart w:id="7" w:name="_Toc180492064"/>
      <w:r>
        <w:rPr>
          <w:rFonts w:ascii="Times New Roman"/>
        </w:rPr>
        <w:t>前    言</w:t>
      </w:r>
      <w:bookmarkEnd w:id="2"/>
      <w:bookmarkEnd w:id="3"/>
      <w:bookmarkEnd w:id="4"/>
      <w:bookmarkEnd w:id="5"/>
      <w:bookmarkEnd w:id="6"/>
      <w:bookmarkEnd w:id="7"/>
    </w:p>
    <w:p>
      <w:pPr>
        <w:pStyle w:val="258"/>
        <w:ind w:firstLine="420"/>
        <w:rPr>
          <w:rFonts w:hint="eastAsia" w:hAnsi="宋体"/>
        </w:rPr>
      </w:pPr>
      <w:r>
        <w:rPr>
          <w:rFonts w:hint="eastAsia" w:hAnsi="宋体"/>
        </w:rPr>
        <w:t>本文件按照《中国电机工程学会标准化管理办法》、《中国电机工程学会标准化管理办法实施细则》的要求，依据GB/T 1.1—2020《标准化工作导则 第1部分：标准化文件的结构和起草规则》的规定起草。</w:t>
      </w:r>
    </w:p>
    <w:p>
      <w:pPr>
        <w:pStyle w:val="258"/>
        <w:ind w:firstLine="420"/>
        <w:rPr>
          <w:rFonts w:hint="eastAsia" w:hAnsi="宋体"/>
        </w:rPr>
      </w:pPr>
      <w:r>
        <w:rPr>
          <w:rFonts w:hint="eastAsia" w:hAnsi="宋体"/>
        </w:rPr>
        <w:t>请注意本文件的某些内容可能涉及专利。本文件的发布机构不承担识别这些专利的责任。</w:t>
      </w:r>
    </w:p>
    <w:p>
      <w:pPr>
        <w:pStyle w:val="258"/>
        <w:ind w:firstLine="420"/>
        <w:rPr>
          <w:rFonts w:hint="eastAsia" w:hAnsi="宋体"/>
        </w:rPr>
      </w:pPr>
      <w:r>
        <w:rPr>
          <w:rFonts w:hint="eastAsia" w:hAnsi="宋体"/>
        </w:rPr>
        <w:t>本文件由中国电机工程学会提出。</w:t>
      </w:r>
    </w:p>
    <w:p>
      <w:pPr>
        <w:pStyle w:val="258"/>
        <w:ind w:firstLine="420"/>
        <w:rPr>
          <w:rFonts w:hint="eastAsia" w:hAnsi="宋体"/>
        </w:rPr>
      </w:pPr>
      <w:r>
        <w:rPr>
          <w:rFonts w:hint="eastAsia" w:hAnsi="宋体"/>
        </w:rPr>
        <w:t>本文件由中国电机工程学会XXXXXXXXXX标准专业委员会技术归口和解释。</w:t>
      </w:r>
    </w:p>
    <w:p>
      <w:pPr>
        <w:pStyle w:val="258"/>
        <w:ind w:firstLine="420"/>
        <w:rPr>
          <w:rFonts w:hint="eastAsia" w:hAnsi="宋体"/>
        </w:rPr>
      </w:pPr>
      <w:r>
        <w:rPr>
          <w:rFonts w:hint="eastAsia" w:hAnsi="宋体"/>
        </w:rPr>
        <w:t>本文件起草单位：、、、。</w:t>
      </w:r>
    </w:p>
    <w:p>
      <w:pPr>
        <w:pStyle w:val="258"/>
        <w:ind w:firstLine="420"/>
        <w:rPr>
          <w:rFonts w:hint="eastAsia" w:hAnsi="宋体"/>
        </w:rPr>
      </w:pPr>
      <w:r>
        <w:rPr>
          <w:rFonts w:hint="eastAsia" w:hAnsi="宋体"/>
        </w:rPr>
        <w:t>本文件主要起草人：、、、。</w:t>
      </w:r>
    </w:p>
    <w:p>
      <w:pPr>
        <w:pStyle w:val="258"/>
        <w:ind w:firstLine="420"/>
        <w:rPr>
          <w:rFonts w:hint="eastAsia" w:hAnsi="宋体"/>
        </w:rPr>
      </w:pPr>
      <w:r>
        <w:rPr>
          <w:rFonts w:hint="eastAsia" w:hAnsi="宋体"/>
        </w:rPr>
        <w:t>本文件首次发布。</w:t>
      </w:r>
    </w:p>
    <w:p>
      <w:pPr>
        <w:ind w:firstLine="420" w:firstLineChars="200"/>
        <w:rPr>
          <w:rFonts w:hint="eastAsia" w:ascii="宋体" w:hAnsi="宋体"/>
        </w:rPr>
      </w:pPr>
      <w:bookmarkStart w:id="8" w:name="标准目次"/>
      <w:bookmarkEnd w:id="8"/>
      <w:bookmarkStart w:id="9" w:name="标准引言"/>
      <w:bookmarkEnd w:id="9"/>
      <w:r>
        <w:rPr>
          <w:rFonts w:hint="eastAsia" w:ascii="宋体" w:hAnsi="宋体"/>
          <w:kern w:val="0"/>
          <w:szCs w:val="20"/>
        </w:rPr>
        <w:t>本文件在执行过程</w:t>
      </w:r>
      <w:r>
        <w:rPr>
          <w:rFonts w:hint="eastAsia" w:ascii="宋体" w:hAnsi="宋体"/>
        </w:rPr>
        <w:t>中的意见或建议反馈至中国电机工程学会标准执行办公室（地址：北京市西城区白广路二条1 号，100761，网址：http：//www.csee.org.cn，邮箱：</w:t>
      </w:r>
      <w:r>
        <w:fldChar w:fldCharType="begin"/>
      </w:r>
      <w:r>
        <w:instrText xml:space="preserve">HYPERLINK "mailto:cseebz@csee.org.cn"</w:instrText>
      </w:r>
      <w:r>
        <w:fldChar w:fldCharType="separate"/>
      </w:r>
      <w:r>
        <w:rPr>
          <w:rFonts w:hint="eastAsia" w:ascii="宋体" w:hAnsi="宋体"/>
        </w:rPr>
        <w:t>cseebz@csee.org.cn</w:t>
      </w:r>
      <w:r>
        <w:rPr>
          <w:rFonts w:ascii="宋体" w:hAnsi="宋体"/>
        </w:rPr>
        <w:fldChar w:fldCharType="end"/>
      </w:r>
      <w:r>
        <w:rPr>
          <w:rFonts w:hint="eastAsia" w:ascii="宋体" w:hAnsi="宋体"/>
        </w:rPr>
        <w:t>）。</w:t>
      </w:r>
    </w:p>
    <w:p>
      <w:pPr>
        <w:pStyle w:val="2"/>
      </w:pPr>
    </w:p>
    <w:p>
      <w:pPr>
        <w:pStyle w:val="2"/>
        <w:sectPr>
          <w:headerReference r:id="rId9" w:type="default"/>
          <w:footerReference r:id="rId11" w:type="default"/>
          <w:headerReference r:id="rId10" w:type="even"/>
          <w:pgSz w:w="11907" w:h="16839"/>
          <w:pgMar w:top="1417" w:right="1134" w:bottom="1134" w:left="1417" w:header="1417" w:footer="1134" w:gutter="0"/>
          <w:pgNumType w:start="1"/>
          <w:cols w:space="425" w:num="1"/>
          <w:docGrid w:type="lines" w:linePitch="312" w:charSpace="0"/>
        </w:sectPr>
      </w:pPr>
    </w:p>
    <w:p>
      <w:pPr>
        <w:pStyle w:val="316"/>
        <w:rPr>
          <w:rFonts w:ascii="Times New Roman"/>
        </w:rPr>
      </w:pPr>
      <w:r>
        <w:rPr>
          <w:rFonts w:hint="eastAsia" w:ascii="Times New Roman"/>
        </w:rPr>
        <w:t>低频变压器套管技术规范</w:t>
      </w:r>
    </w:p>
    <w:p>
      <w:pPr>
        <w:pStyle w:val="259"/>
      </w:pPr>
      <w:bookmarkStart w:id="10" w:name="_Toc279238308"/>
      <w:bookmarkStart w:id="11" w:name="_Toc287623586"/>
      <w:bookmarkStart w:id="12" w:name="_Toc13133"/>
      <w:bookmarkStart w:id="13" w:name="_Toc279234261"/>
      <w:bookmarkStart w:id="14" w:name="_Toc279248599"/>
      <w:bookmarkStart w:id="15" w:name="_Toc289676999"/>
      <w:bookmarkStart w:id="16" w:name="_Toc289698023"/>
      <w:bookmarkStart w:id="17" w:name="_Toc287623638"/>
      <w:bookmarkStart w:id="18" w:name="_Toc279238341"/>
      <w:bookmarkStart w:id="19" w:name="_Toc13570"/>
      <w:bookmarkStart w:id="20" w:name="_Toc279246771"/>
      <w:bookmarkStart w:id="21" w:name="_Toc279249665"/>
      <w:bookmarkStart w:id="22" w:name="_Toc11063"/>
      <w:bookmarkStart w:id="23" w:name="_Toc279234298"/>
      <w:bookmarkStart w:id="24" w:name="_Toc279244614"/>
      <w:bookmarkStart w:id="25" w:name="_Toc1451"/>
      <w:bookmarkStart w:id="26" w:name="_Toc180511514"/>
      <w:bookmarkStart w:id="27" w:name="_Toc63642874"/>
      <w:bookmarkStart w:id="28" w:name="_Toc62027349"/>
      <w:bookmarkStart w:id="29" w:name="_Toc55228495"/>
      <w:r>
        <w:rPr>
          <w:rFonts w:hint="eastAsia"/>
        </w:rPr>
        <w:t>范围</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Start w:id="30" w:name="pindex142"/>
      <w:bookmarkEnd w:id="30"/>
    </w:p>
    <w:p>
      <w:pPr>
        <w:autoSpaceDE w:val="0"/>
        <w:autoSpaceDN w:val="0"/>
        <w:ind w:firstLine="420" w:firstLineChars="200"/>
        <w:rPr>
          <w:rFonts w:hint="eastAsia" w:ascii="宋体" w:hAnsi="宋体"/>
          <w:szCs w:val="21"/>
        </w:rPr>
      </w:pPr>
      <w:r>
        <w:t>本文件规定了</w:t>
      </w:r>
      <w:r>
        <w:rPr>
          <w:rFonts w:hint="eastAsia"/>
        </w:rPr>
        <w:t>低频变压器套管的术语和定义、一般使用条件、基本技术参数、技术性能要求、试验要求、运输、存放、安装、运行和维护规则</w:t>
      </w:r>
      <w:r>
        <w:t>等</w:t>
      </w:r>
      <w:r>
        <w:rPr>
          <w:rFonts w:hint="eastAsia" w:ascii="宋体" w:hAnsi="宋体"/>
          <w:szCs w:val="21"/>
        </w:rPr>
        <w:t>。</w:t>
      </w:r>
    </w:p>
    <w:p>
      <w:pPr>
        <w:autoSpaceDE w:val="0"/>
        <w:autoSpaceDN w:val="0"/>
        <w:ind w:firstLine="420" w:firstLineChars="200"/>
        <w:rPr>
          <w:rFonts w:hint="eastAsia" w:hAnsi="宋体"/>
          <w:szCs w:val="21"/>
        </w:rPr>
      </w:pPr>
      <w:r>
        <w:t>本文件适用于</w:t>
      </w:r>
      <w:r>
        <w:rPr>
          <w:rFonts w:hint="eastAsia"/>
        </w:rPr>
        <w:t>在柔性低频交流输电系统使用，电压等级为10kV~220kV、额定频率为20Hz及以下的交流变压器套管</w:t>
      </w:r>
      <w:r>
        <w:t>。</w:t>
      </w:r>
    </w:p>
    <w:bookmarkEnd w:id="27"/>
    <w:bookmarkEnd w:id="28"/>
    <w:bookmarkEnd w:id="29"/>
    <w:p>
      <w:pPr>
        <w:pStyle w:val="259"/>
      </w:pPr>
      <w:bookmarkStart w:id="169" w:name="_GoBack"/>
      <w:bookmarkEnd w:id="169"/>
      <w:bookmarkStart w:id="31" w:name="_Toc279249666"/>
      <w:bookmarkStart w:id="32" w:name="_Toc279244615"/>
      <w:bookmarkStart w:id="33" w:name="_Toc287623639"/>
      <w:bookmarkStart w:id="34" w:name="_Toc279248600"/>
      <w:bookmarkStart w:id="35" w:name="_Toc31991"/>
      <w:bookmarkStart w:id="36" w:name="_Toc279238342"/>
      <w:bookmarkStart w:id="37" w:name="_Toc287623587"/>
      <w:bookmarkStart w:id="38" w:name="_Toc289677000"/>
      <w:bookmarkStart w:id="39" w:name="_Toc279234262"/>
      <w:bookmarkStart w:id="40" w:name="_Toc279238309"/>
      <w:bookmarkStart w:id="41" w:name="_Toc279246772"/>
      <w:bookmarkStart w:id="42" w:name="_Toc279234299"/>
      <w:bookmarkStart w:id="43" w:name="_Toc28154"/>
      <w:bookmarkStart w:id="44" w:name="_Toc18036"/>
      <w:bookmarkStart w:id="45" w:name="_Toc289698024"/>
      <w:bookmarkStart w:id="46" w:name="_Toc9713"/>
      <w:bookmarkStart w:id="47" w:name="_Toc180511515"/>
      <w:bookmarkStart w:id="48" w:name="_Toc63642875"/>
      <w:bookmarkStart w:id="49" w:name="_Toc62027350"/>
      <w:bookmarkStart w:id="50" w:name="_Toc55228496"/>
      <w:r>
        <w:t>规范性引用文件</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Start w:id="51" w:name="pindex145"/>
      <w:bookmarkEnd w:id="51"/>
      <w:bookmarkStart w:id="52" w:name="_Toc262826968"/>
    </w:p>
    <w:p>
      <w:pPr>
        <w:autoSpaceDE w:val="0"/>
        <w:autoSpaceDN w:val="0"/>
        <w:ind w:firstLine="420" w:firstLineChars="200"/>
        <w:rPr>
          <w:szCs w:val="21"/>
        </w:rPr>
      </w:pPr>
      <w:bookmarkStart w:id="53" w:name="_Toc309914361"/>
      <w:r>
        <w:rPr>
          <w:szCs w:val="21"/>
        </w:rPr>
        <w:t>下列文件中的内容通过文中的规范性引用而构成本文件必不可少的条款。其中，注日期的引用文件，仅该日期对应的版本适用于本文件；不注日期的引用文件，其最新版本（包括所有的修</w:t>
      </w:r>
      <w:sdt>
        <w:sdtPr>
          <w:alias w:val="易错词检查"/>
          <w:id w:val="333"/>
        </w:sdtPr>
        <w:sdtContent>
          <w:bookmarkStart w:id="54" w:name="bkReivew333"/>
          <w:r>
            <w:rPr>
              <w:szCs w:val="21"/>
            </w:rPr>
            <w:t>改单</w:t>
          </w:r>
          <w:bookmarkEnd w:id="54"/>
        </w:sdtContent>
      </w:sdt>
      <w:r>
        <w:rPr>
          <w:szCs w:val="21"/>
        </w:rPr>
        <w:t>）适用于本文件。</w:t>
      </w:r>
      <w:bookmarkEnd w:id="53"/>
    </w:p>
    <w:p>
      <w:pPr>
        <w:pStyle w:val="258"/>
        <w:ind w:firstLine="420"/>
        <w:rPr>
          <w:rFonts w:ascii="Times New Roman"/>
        </w:rPr>
      </w:pPr>
      <w:r>
        <w:rPr>
          <w:rFonts w:ascii="Times New Roman"/>
        </w:rPr>
        <w:t>GB</w:t>
      </w:r>
      <w:r>
        <w:rPr>
          <w:rFonts w:hint="eastAsia" w:ascii="Times New Roman"/>
        </w:rPr>
        <w:t xml:space="preserve"> </w:t>
      </w:r>
      <w:r>
        <w:rPr>
          <w:rFonts w:ascii="Times New Roman"/>
        </w:rPr>
        <w:t>50260</w:t>
      </w:r>
      <w:r>
        <w:rPr>
          <w:rFonts w:hint="eastAsia" w:ascii="Times New Roman"/>
        </w:rPr>
        <w:t xml:space="preserve">  电力设施抗震设计规范</w:t>
      </w:r>
    </w:p>
    <w:p>
      <w:pPr>
        <w:pStyle w:val="258"/>
        <w:ind w:firstLine="420"/>
        <w:rPr>
          <w:rFonts w:ascii="Times New Roman"/>
        </w:rPr>
      </w:pPr>
      <w:r>
        <w:rPr>
          <w:rFonts w:hint="eastAsia" w:ascii="Times New Roman"/>
        </w:rPr>
        <w:t>GB/T 2423.23  电工电子产品环境试验 试验Q：密封</w:t>
      </w:r>
    </w:p>
    <w:p>
      <w:pPr>
        <w:pStyle w:val="258"/>
        <w:ind w:firstLine="420"/>
        <w:rPr>
          <w:rFonts w:ascii="Times New Roman"/>
        </w:rPr>
      </w:pPr>
      <w:r>
        <w:rPr>
          <w:rFonts w:hint="eastAsia" w:ascii="Times New Roman"/>
        </w:rPr>
        <w:t>GB/T 2900.5  电工术语  绝缘固体、液体和气体</w:t>
      </w:r>
    </w:p>
    <w:p>
      <w:pPr>
        <w:pStyle w:val="258"/>
        <w:ind w:firstLine="420"/>
        <w:rPr>
          <w:rFonts w:ascii="Times New Roman"/>
        </w:rPr>
      </w:pPr>
      <w:r>
        <w:rPr>
          <w:rFonts w:hint="eastAsia" w:ascii="Times New Roman"/>
        </w:rPr>
        <w:t>GB/T 2900.8  电工术语  绝缘子</w:t>
      </w:r>
    </w:p>
    <w:p>
      <w:pPr>
        <w:pStyle w:val="258"/>
        <w:ind w:firstLine="420"/>
        <w:rPr>
          <w:rFonts w:ascii="Times New Roman"/>
        </w:rPr>
      </w:pPr>
      <w:r>
        <w:rPr>
          <w:rFonts w:hint="eastAsia" w:ascii="Times New Roman"/>
        </w:rPr>
        <w:t>GB/T 4109  交流电压高于1 000 V的绝缘套管</w:t>
      </w:r>
    </w:p>
    <w:p>
      <w:pPr>
        <w:pStyle w:val="258"/>
        <w:ind w:firstLine="420"/>
        <w:rPr>
          <w:rFonts w:ascii="Times New Roman"/>
        </w:rPr>
      </w:pPr>
      <w:r>
        <w:rPr>
          <w:rFonts w:ascii="Times New Roman"/>
          <w:szCs w:val="21"/>
        </w:rPr>
        <w:t>GB/T 7595</w:t>
      </w:r>
      <w:r>
        <w:rPr>
          <w:rFonts w:hint="eastAsia" w:ascii="Times New Roman"/>
          <w:szCs w:val="21"/>
        </w:rPr>
        <w:t xml:space="preserve">  运行中变压器油质量</w:t>
      </w:r>
    </w:p>
    <w:p>
      <w:pPr>
        <w:pStyle w:val="258"/>
        <w:ind w:firstLine="420"/>
        <w:rPr>
          <w:rFonts w:ascii="Times New Roman"/>
        </w:rPr>
      </w:pPr>
      <w:r>
        <w:rPr>
          <w:rFonts w:hint="eastAsia" w:ascii="Times New Roman"/>
        </w:rPr>
        <w:t>GB/T 11022  高压开关设备和控制设备标准的共用技术要求</w:t>
      </w:r>
    </w:p>
    <w:p>
      <w:pPr>
        <w:pStyle w:val="258"/>
        <w:ind w:firstLine="420"/>
        <w:rPr>
          <w:rFonts w:ascii="Times New Roman"/>
        </w:rPr>
      </w:pPr>
      <w:r>
        <w:rPr>
          <w:rFonts w:hint="eastAsia" w:ascii="Times New Roman"/>
        </w:rPr>
        <w:t>GB/T 11026.2  确定电气绝缘材料耐热性的导则 第2部分：试验判断标准的选择</w:t>
      </w:r>
    </w:p>
    <w:p>
      <w:pPr>
        <w:pStyle w:val="258"/>
        <w:ind w:firstLine="420"/>
        <w:rPr>
          <w:rFonts w:ascii="Times New Roman"/>
        </w:rPr>
      </w:pPr>
      <w:r>
        <w:rPr>
          <w:rFonts w:hint="eastAsia" w:ascii="Times New Roman"/>
        </w:rPr>
        <w:t>GB/T 14597  电工产品不同海拔的气候环境条件</w:t>
      </w:r>
    </w:p>
    <w:p>
      <w:pPr>
        <w:pStyle w:val="258"/>
        <w:ind w:firstLine="420"/>
        <w:rPr>
          <w:rFonts w:ascii="Times New Roman"/>
        </w:rPr>
      </w:pPr>
      <w:r>
        <w:rPr>
          <w:rFonts w:hint="eastAsia" w:ascii="Times New Roman"/>
        </w:rPr>
        <w:t>GB/T 20112  电气绝缘系统的评定与鉴别</w:t>
      </w:r>
    </w:p>
    <w:p>
      <w:pPr>
        <w:pStyle w:val="258"/>
        <w:ind w:firstLine="420"/>
        <w:rPr>
          <w:rFonts w:ascii="Times New Roman"/>
        </w:rPr>
      </w:pPr>
      <w:r>
        <w:rPr>
          <w:rFonts w:hint="eastAsia" w:ascii="Times New Roman"/>
        </w:rPr>
        <w:t>GB/T 21429  户外和户内电气设备用空心复合绝缘子——定义、试验方法、接收准则和设计推荐</w:t>
      </w:r>
    </w:p>
    <w:p>
      <w:pPr>
        <w:pStyle w:val="258"/>
        <w:ind w:firstLine="420"/>
        <w:rPr>
          <w:rFonts w:ascii="Times New Roman"/>
        </w:rPr>
      </w:pPr>
      <w:r>
        <w:rPr>
          <w:rFonts w:hint="eastAsia" w:ascii="Times New Roman"/>
        </w:rPr>
        <w:t>GB/T 23752  额定电压高于1 000V的电器设备用承压和非承压空心瓷和玻璃绝缘子</w:t>
      </w:r>
    </w:p>
    <w:p>
      <w:pPr>
        <w:pStyle w:val="258"/>
        <w:ind w:firstLine="420"/>
        <w:rPr>
          <w:rFonts w:ascii="Times New Roman"/>
        </w:rPr>
      </w:pPr>
      <w:r>
        <w:rPr>
          <w:rFonts w:hint="eastAsia" w:ascii="Times New Roman"/>
        </w:rPr>
        <w:t>GB/T 24840</w:t>
      </w:r>
      <w:r>
        <w:rPr>
          <w:rFonts w:ascii="Times New Roman"/>
        </w:rPr>
        <w:t xml:space="preserve"> </w:t>
      </w:r>
      <w:r>
        <w:rPr>
          <w:rFonts w:hint="eastAsia" w:ascii="Times New Roman"/>
        </w:rPr>
        <w:t xml:space="preserve"> 1 000kV交流系统用套管技术规范</w:t>
      </w:r>
    </w:p>
    <w:p>
      <w:pPr>
        <w:pStyle w:val="258"/>
        <w:ind w:firstLine="420"/>
        <w:rPr>
          <w:rFonts w:ascii="Times New Roman"/>
        </w:rPr>
      </w:pPr>
      <w:r>
        <w:rPr>
          <w:rFonts w:ascii="Times New Roman"/>
        </w:rPr>
        <w:t>GB/T</w:t>
      </w:r>
      <w:r>
        <w:rPr>
          <w:rFonts w:hint="eastAsia" w:ascii="Times New Roman"/>
        </w:rPr>
        <w:t xml:space="preserve"> </w:t>
      </w:r>
      <w:r>
        <w:rPr>
          <w:rFonts w:ascii="Times New Roman"/>
        </w:rPr>
        <w:t>25840</w:t>
      </w:r>
      <w:r>
        <w:rPr>
          <w:rFonts w:hint="eastAsia" w:ascii="Times New Roman"/>
        </w:rPr>
        <w:t xml:space="preserve">  规定电气设备部件(特别是接线端子)允许温升的导则</w:t>
      </w:r>
    </w:p>
    <w:p>
      <w:pPr>
        <w:pStyle w:val="258"/>
        <w:ind w:firstLine="420"/>
        <w:rPr>
          <w:rFonts w:ascii="Times New Roman"/>
        </w:rPr>
      </w:pPr>
      <w:r>
        <w:rPr>
          <w:rFonts w:hint="eastAsia" w:ascii="Times New Roman"/>
        </w:rPr>
        <w:t>GB/T 26218（所有部分）  污秽条件下使用的高压绝缘子的选择和尺寸确定</w:t>
      </w:r>
    </w:p>
    <w:p>
      <w:pPr>
        <w:pStyle w:val="258"/>
        <w:ind w:firstLine="420"/>
        <w:rPr>
          <w:rFonts w:ascii="Times New Roman"/>
        </w:rPr>
      </w:pPr>
      <w:r>
        <w:rPr>
          <w:rFonts w:ascii="Times New Roman"/>
          <w:szCs w:val="21"/>
        </w:rPr>
        <w:t>DL/T 722</w:t>
      </w:r>
      <w:r>
        <w:rPr>
          <w:rFonts w:hint="eastAsia" w:ascii="Times New Roman"/>
          <w:szCs w:val="21"/>
        </w:rPr>
        <w:t xml:space="preserve">  变压器油中溶解气体分析和判断导则</w:t>
      </w:r>
    </w:p>
    <w:bookmarkEnd w:id="48"/>
    <w:bookmarkEnd w:id="49"/>
    <w:bookmarkEnd w:id="50"/>
    <w:bookmarkEnd w:id="52"/>
    <w:p>
      <w:pPr>
        <w:pStyle w:val="259"/>
      </w:pPr>
      <w:bookmarkStart w:id="55" w:name="_Toc21172"/>
      <w:bookmarkStart w:id="56" w:name="_Toc180511516"/>
      <w:bookmarkStart w:id="57" w:name="_Toc12950278"/>
      <w:bookmarkStart w:id="58" w:name="_Toc2782726"/>
      <w:bookmarkStart w:id="59" w:name="_Toc12892082"/>
      <w:r>
        <w:rPr>
          <w:rFonts w:hint="eastAsia"/>
        </w:rPr>
        <w:t>术语和定义</w:t>
      </w:r>
      <w:bookmarkEnd w:id="55"/>
      <w:bookmarkEnd w:id="56"/>
    </w:p>
    <w:p>
      <w:pPr>
        <w:tabs>
          <w:tab w:val="center" w:pos="4201"/>
          <w:tab w:val="right" w:leader="dot" w:pos="9298"/>
        </w:tabs>
        <w:autoSpaceDE w:val="0"/>
        <w:autoSpaceDN w:val="0"/>
        <w:ind w:firstLine="420" w:firstLineChars="200"/>
        <w:rPr>
          <w:rFonts w:ascii="宋体"/>
          <w:color w:val="000000"/>
        </w:rPr>
      </w:pPr>
      <w:r>
        <w:t>GB/T 4109、GB/T 2900.5和GB/T 2900.8</w:t>
      </w:r>
      <w:r>
        <w:rPr>
          <w:rFonts w:hint="eastAsia" w:ascii="宋体"/>
          <w:color w:val="000000"/>
        </w:rPr>
        <w:t>界定以及下列术语和定义适用于本文件。</w:t>
      </w:r>
    </w:p>
    <w:p>
      <w:pPr>
        <w:tabs>
          <w:tab w:val="center" w:pos="4201"/>
          <w:tab w:val="right" w:leader="dot" w:pos="9298"/>
        </w:tabs>
        <w:autoSpaceDE w:val="0"/>
        <w:autoSpaceDN w:val="0"/>
        <w:ind w:firstLine="422" w:firstLineChars="200"/>
      </w:pPr>
      <w:r>
        <w:rPr>
          <w:rFonts w:hint="eastAsia" w:ascii="宋体"/>
          <w:b/>
          <w:bCs/>
          <w:color w:val="000000"/>
        </w:rPr>
        <w:t>低频变压器套管</w:t>
      </w:r>
      <w:r>
        <w:rPr>
          <w:rFonts w:hint="eastAsia"/>
        </w:rPr>
        <w:t xml:space="preserve"> </w:t>
      </w:r>
      <w:r>
        <w:rPr>
          <w:rFonts w:hint="eastAsia"/>
          <w:b/>
          <w:bCs/>
        </w:rPr>
        <w:t>low-frequency transformer</w:t>
      </w:r>
      <w:r>
        <w:rPr>
          <w:rFonts w:hint="eastAsia"/>
        </w:rPr>
        <w:t xml:space="preserve"> </w:t>
      </w:r>
      <w:r>
        <w:rPr>
          <w:rFonts w:hint="eastAsia"/>
          <w:b/>
          <w:bCs/>
        </w:rPr>
        <w:t>bushing</w:t>
      </w:r>
    </w:p>
    <w:p>
      <w:pPr>
        <w:tabs>
          <w:tab w:val="center" w:pos="4201"/>
          <w:tab w:val="right" w:leader="dot" w:pos="9298"/>
        </w:tabs>
        <w:autoSpaceDE w:val="0"/>
        <w:autoSpaceDN w:val="0"/>
        <w:ind w:firstLine="420" w:firstLineChars="200"/>
      </w:pPr>
      <w:r>
        <w:rPr>
          <w:rFonts w:hint="eastAsia"/>
        </w:rPr>
        <w:t>安装于低频变压器上的额定频率等于或小于20Hz的交流电容式套管。</w:t>
      </w:r>
    </w:p>
    <w:bookmarkEnd w:id="57"/>
    <w:bookmarkEnd w:id="58"/>
    <w:bookmarkEnd w:id="59"/>
    <w:p>
      <w:pPr>
        <w:pStyle w:val="259"/>
      </w:pPr>
      <w:bookmarkStart w:id="60" w:name="_Toc32629"/>
      <w:bookmarkStart w:id="61" w:name="_Toc25892"/>
      <w:bookmarkStart w:id="62" w:name="_Toc21919"/>
      <w:bookmarkStart w:id="63" w:name="_Toc170918020"/>
      <w:bookmarkStart w:id="64" w:name="_Toc279249668"/>
      <w:bookmarkStart w:id="65" w:name="_Toc279244617"/>
      <w:bookmarkStart w:id="66" w:name="_Toc2260"/>
      <w:bookmarkStart w:id="67" w:name="_Toc279246774"/>
      <w:bookmarkStart w:id="68" w:name="_Toc287623594"/>
      <w:bookmarkStart w:id="69" w:name="_Toc287623641"/>
      <w:bookmarkStart w:id="70" w:name="_Toc289677002"/>
      <w:bookmarkStart w:id="71" w:name="_Toc279248602"/>
      <w:bookmarkStart w:id="72" w:name="_Toc289698026"/>
      <w:bookmarkStart w:id="73" w:name="_Toc180511517"/>
      <w:r>
        <w:rPr>
          <w:rFonts w:hint="eastAsia"/>
        </w:rPr>
        <w:t>一般使用条件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Start w:id="74" w:name="pindex180"/>
      <w:bookmarkEnd w:id="74"/>
    </w:p>
    <w:p>
      <w:pPr>
        <w:pStyle w:val="260"/>
      </w:pPr>
      <w:bookmarkStart w:id="75" w:name="_Toc180511518"/>
      <w:r>
        <w:rPr>
          <w:rFonts w:hint="eastAsia"/>
        </w:rPr>
        <w:t>环境温度</w:t>
      </w:r>
      <w:bookmarkEnd w:id="75"/>
    </w:p>
    <w:p>
      <w:pPr>
        <w:pStyle w:val="258"/>
        <w:ind w:firstLine="420"/>
      </w:pPr>
      <w:r>
        <w:rPr>
          <w:rFonts w:hint="eastAsia" w:ascii="Times New Roman"/>
        </w:rPr>
        <w:t>套管应能在不超过表1规定的温度限值下运行</w:t>
      </w:r>
      <w:r>
        <w:rPr>
          <w:rFonts w:hint="eastAsia"/>
        </w:rPr>
        <w:t>。</w:t>
      </w:r>
    </w:p>
    <w:p>
      <w:pPr>
        <w:tabs>
          <w:tab w:val="left" w:pos="360"/>
        </w:tabs>
        <w:spacing w:before="156" w:beforeLines="50" w:after="156" w:afterLines="50"/>
        <w:jc w:val="center"/>
        <w:rPr>
          <w:rFonts w:ascii="黑体" w:eastAsia="黑体"/>
          <w:szCs w:val="21"/>
        </w:rPr>
      </w:pPr>
      <w:r>
        <w:rPr>
          <w:rFonts w:hint="eastAsia" w:ascii="黑体" w:eastAsia="黑体"/>
          <w:szCs w:val="21"/>
        </w:rPr>
        <w:t>表1 周围空气和浸入介质的温度</w:t>
      </w:r>
    </w:p>
    <w:tbl>
      <w:tblPr>
        <w:tblStyle w:val="88"/>
        <w:tblW w:w="43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976"/>
        <w:gridCol w:w="2192"/>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17" w:type="pct"/>
            <w:vAlign w:val="center"/>
          </w:tcPr>
          <w:p>
            <w:pPr>
              <w:snapToGrid w:val="0"/>
              <w:jc w:val="center"/>
              <w:rPr>
                <w:bCs/>
                <w:color w:val="000000"/>
                <w:sz w:val="18"/>
                <w:szCs w:val="18"/>
              </w:rPr>
            </w:pPr>
            <w:r>
              <w:rPr>
                <w:bCs/>
                <w:color w:val="000000"/>
                <w:sz w:val="18"/>
                <w:szCs w:val="18"/>
              </w:rPr>
              <w:t>序号</w:t>
            </w:r>
          </w:p>
        </w:tc>
        <w:tc>
          <w:tcPr>
            <w:tcW w:w="2529" w:type="pct"/>
            <w:gridSpan w:val="2"/>
            <w:vAlign w:val="center"/>
          </w:tcPr>
          <w:p>
            <w:pPr>
              <w:snapToGrid w:val="0"/>
              <w:jc w:val="center"/>
              <w:rPr>
                <w:bCs/>
                <w:color w:val="000000"/>
                <w:sz w:val="18"/>
                <w:szCs w:val="18"/>
              </w:rPr>
            </w:pPr>
            <w:r>
              <w:rPr>
                <w:rFonts w:hint="eastAsia"/>
                <w:bCs/>
                <w:color w:val="000000"/>
                <w:sz w:val="18"/>
                <w:szCs w:val="18"/>
              </w:rPr>
              <w:t>类别</w:t>
            </w:r>
          </w:p>
        </w:tc>
        <w:tc>
          <w:tcPr>
            <w:tcW w:w="2054" w:type="pct"/>
            <w:vAlign w:val="center"/>
          </w:tcPr>
          <w:p>
            <w:pPr>
              <w:snapToGrid w:val="0"/>
              <w:jc w:val="center"/>
              <w:rPr>
                <w:bCs/>
                <w:color w:val="000000"/>
                <w:sz w:val="18"/>
                <w:szCs w:val="18"/>
              </w:rPr>
            </w:pPr>
            <w:r>
              <w:rPr>
                <w:rFonts w:hint="eastAsia"/>
                <w:bCs/>
                <w:color w:val="000000"/>
                <w:sz w:val="18"/>
                <w:szCs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7" w:type="pct"/>
            <w:vMerge w:val="restart"/>
            <w:vAlign w:val="center"/>
          </w:tcPr>
          <w:p>
            <w:pPr>
              <w:snapToGrid w:val="0"/>
              <w:jc w:val="center"/>
              <w:rPr>
                <w:color w:val="000000"/>
                <w:sz w:val="18"/>
                <w:szCs w:val="18"/>
              </w:rPr>
            </w:pPr>
            <w:r>
              <w:rPr>
                <w:color w:val="000000"/>
                <w:sz w:val="18"/>
                <w:szCs w:val="18"/>
              </w:rPr>
              <w:t>1</w:t>
            </w:r>
          </w:p>
        </w:tc>
        <w:tc>
          <w:tcPr>
            <w:tcW w:w="1199" w:type="pct"/>
            <w:vMerge w:val="restart"/>
            <w:vAlign w:val="center"/>
          </w:tcPr>
          <w:p>
            <w:pPr>
              <w:snapToGrid w:val="0"/>
              <w:rPr>
                <w:bCs/>
                <w:color w:val="000000"/>
                <w:sz w:val="18"/>
                <w:szCs w:val="18"/>
              </w:rPr>
            </w:pPr>
            <w:r>
              <w:rPr>
                <w:color w:val="000000"/>
                <w:sz w:val="18"/>
                <w:szCs w:val="18"/>
              </w:rPr>
              <w:t>周围空气温度</w:t>
            </w:r>
          </w:p>
        </w:tc>
        <w:tc>
          <w:tcPr>
            <w:tcW w:w="1330" w:type="pct"/>
            <w:vAlign w:val="center"/>
          </w:tcPr>
          <w:p>
            <w:pPr>
              <w:snapToGrid w:val="0"/>
              <w:rPr>
                <w:bCs/>
                <w:color w:val="000000"/>
                <w:sz w:val="18"/>
                <w:szCs w:val="18"/>
              </w:rPr>
            </w:pPr>
            <w:r>
              <w:rPr>
                <w:color w:val="000000"/>
                <w:sz w:val="18"/>
                <w:szCs w:val="18"/>
              </w:rPr>
              <w:t>最高气温</w:t>
            </w:r>
          </w:p>
        </w:tc>
        <w:tc>
          <w:tcPr>
            <w:tcW w:w="2054" w:type="pct"/>
            <w:vAlign w:val="center"/>
          </w:tcPr>
          <w:p>
            <w:pPr>
              <w:snapToGrid w:val="0"/>
              <w:jc w:val="center"/>
              <w:rPr>
                <w:color w:val="000000"/>
                <w:sz w:val="18"/>
                <w:szCs w:val="18"/>
              </w:rPr>
            </w:pPr>
            <w:r>
              <w:rPr>
                <w:color w:val="000000"/>
                <w:sz w:val="18"/>
                <w:szCs w:val="18"/>
              </w:rPr>
              <w:t>40</w:t>
            </w:r>
            <w:r>
              <w:rPr>
                <w:rFonts w:eastAsia="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7" w:type="pct"/>
            <w:vMerge w:val="continue"/>
            <w:vAlign w:val="center"/>
          </w:tcPr>
          <w:p>
            <w:pPr>
              <w:snapToGrid w:val="0"/>
              <w:ind w:firstLine="360"/>
              <w:jc w:val="center"/>
              <w:rPr>
                <w:color w:val="000000"/>
                <w:sz w:val="18"/>
                <w:szCs w:val="18"/>
              </w:rPr>
            </w:pPr>
          </w:p>
        </w:tc>
        <w:tc>
          <w:tcPr>
            <w:tcW w:w="1199" w:type="pct"/>
            <w:vMerge w:val="continue"/>
            <w:vAlign w:val="center"/>
          </w:tcPr>
          <w:p>
            <w:pPr>
              <w:snapToGrid w:val="0"/>
              <w:ind w:firstLine="360"/>
              <w:rPr>
                <w:color w:val="000000"/>
                <w:sz w:val="18"/>
                <w:szCs w:val="18"/>
              </w:rPr>
            </w:pPr>
          </w:p>
        </w:tc>
        <w:tc>
          <w:tcPr>
            <w:tcW w:w="1330" w:type="pct"/>
            <w:vAlign w:val="center"/>
          </w:tcPr>
          <w:p>
            <w:pPr>
              <w:snapToGrid w:val="0"/>
              <w:rPr>
                <w:bCs/>
                <w:color w:val="000000"/>
                <w:sz w:val="18"/>
                <w:szCs w:val="18"/>
              </w:rPr>
            </w:pPr>
            <w:r>
              <w:rPr>
                <w:color w:val="000000"/>
                <w:sz w:val="18"/>
                <w:szCs w:val="18"/>
              </w:rPr>
              <w:t>最低气温</w:t>
            </w:r>
          </w:p>
        </w:tc>
        <w:tc>
          <w:tcPr>
            <w:tcW w:w="2054" w:type="pct"/>
            <w:vAlign w:val="center"/>
          </w:tcPr>
          <w:p>
            <w:pPr>
              <w:snapToGrid w:val="0"/>
              <w:jc w:val="center"/>
              <w:rPr>
                <w:color w:val="000000"/>
                <w:sz w:val="18"/>
                <w:szCs w:val="18"/>
              </w:rPr>
            </w:pPr>
            <w:r>
              <w:rPr>
                <w:color w:val="000000"/>
                <w:sz w:val="18"/>
                <w:szCs w:val="18"/>
              </w:rPr>
              <w:t>–40</w:t>
            </w:r>
            <w:r>
              <w:rPr>
                <w:rFonts w:eastAsia="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7" w:type="pct"/>
            <w:vMerge w:val="continue"/>
            <w:vAlign w:val="center"/>
          </w:tcPr>
          <w:p>
            <w:pPr>
              <w:snapToGrid w:val="0"/>
              <w:ind w:firstLine="360"/>
              <w:jc w:val="center"/>
              <w:rPr>
                <w:color w:val="000000"/>
                <w:sz w:val="18"/>
                <w:szCs w:val="18"/>
              </w:rPr>
            </w:pPr>
          </w:p>
        </w:tc>
        <w:tc>
          <w:tcPr>
            <w:tcW w:w="1199" w:type="pct"/>
            <w:vMerge w:val="continue"/>
            <w:vAlign w:val="center"/>
          </w:tcPr>
          <w:p>
            <w:pPr>
              <w:snapToGrid w:val="0"/>
              <w:ind w:firstLine="360"/>
              <w:rPr>
                <w:color w:val="000000"/>
                <w:sz w:val="18"/>
                <w:szCs w:val="18"/>
              </w:rPr>
            </w:pPr>
          </w:p>
        </w:tc>
        <w:tc>
          <w:tcPr>
            <w:tcW w:w="1330" w:type="pct"/>
            <w:vAlign w:val="center"/>
          </w:tcPr>
          <w:p>
            <w:pPr>
              <w:snapToGrid w:val="0"/>
              <w:rPr>
                <w:color w:val="000000"/>
                <w:sz w:val="18"/>
                <w:szCs w:val="18"/>
              </w:rPr>
            </w:pPr>
            <w:r>
              <w:rPr>
                <w:rFonts w:hint="eastAsia"/>
                <w:color w:val="000000"/>
                <w:sz w:val="18"/>
                <w:szCs w:val="18"/>
              </w:rPr>
              <w:t>最高日平均气温</w:t>
            </w:r>
          </w:p>
        </w:tc>
        <w:tc>
          <w:tcPr>
            <w:tcW w:w="2054" w:type="pct"/>
            <w:vAlign w:val="center"/>
          </w:tcPr>
          <w:p>
            <w:pPr>
              <w:snapToGrid w:val="0"/>
              <w:jc w:val="center"/>
              <w:rPr>
                <w:color w:val="000000"/>
                <w:sz w:val="18"/>
                <w:szCs w:val="18"/>
              </w:rPr>
            </w:pPr>
            <w:r>
              <w:rPr>
                <w:rFonts w:hint="eastAsia"/>
                <w:color w:val="000000"/>
                <w:sz w:val="18"/>
                <w:szCs w:val="18"/>
              </w:rPr>
              <w:t>30</w:t>
            </w:r>
            <w:r>
              <w:rPr>
                <w:rFonts w:eastAsia="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7" w:type="pct"/>
            <w:vMerge w:val="continue"/>
            <w:vAlign w:val="center"/>
          </w:tcPr>
          <w:p>
            <w:pPr>
              <w:snapToGrid w:val="0"/>
              <w:ind w:firstLine="360"/>
              <w:jc w:val="center"/>
              <w:rPr>
                <w:color w:val="000000"/>
                <w:sz w:val="18"/>
                <w:szCs w:val="18"/>
              </w:rPr>
            </w:pPr>
          </w:p>
        </w:tc>
        <w:tc>
          <w:tcPr>
            <w:tcW w:w="1199" w:type="pct"/>
            <w:vMerge w:val="continue"/>
            <w:vAlign w:val="center"/>
          </w:tcPr>
          <w:p>
            <w:pPr>
              <w:snapToGrid w:val="0"/>
              <w:ind w:firstLine="360"/>
              <w:rPr>
                <w:color w:val="000000"/>
                <w:sz w:val="18"/>
                <w:szCs w:val="18"/>
              </w:rPr>
            </w:pPr>
          </w:p>
        </w:tc>
        <w:tc>
          <w:tcPr>
            <w:tcW w:w="1330" w:type="pct"/>
            <w:vAlign w:val="center"/>
          </w:tcPr>
          <w:p>
            <w:pPr>
              <w:snapToGrid w:val="0"/>
              <w:rPr>
                <w:color w:val="000000"/>
                <w:sz w:val="18"/>
                <w:szCs w:val="18"/>
              </w:rPr>
            </w:pPr>
            <w:r>
              <w:rPr>
                <w:sz w:val="18"/>
                <w:szCs w:val="18"/>
              </w:rPr>
              <w:t>最</w:t>
            </w:r>
            <w:r>
              <w:rPr>
                <w:rFonts w:hint="eastAsia"/>
                <w:sz w:val="18"/>
                <w:szCs w:val="18"/>
              </w:rPr>
              <w:t>高年</w:t>
            </w:r>
            <w:r>
              <w:rPr>
                <w:sz w:val="18"/>
                <w:szCs w:val="18"/>
              </w:rPr>
              <w:t>平均气温</w:t>
            </w:r>
          </w:p>
        </w:tc>
        <w:tc>
          <w:tcPr>
            <w:tcW w:w="2054" w:type="pct"/>
            <w:vAlign w:val="center"/>
          </w:tcPr>
          <w:p>
            <w:pPr>
              <w:snapToGrid w:val="0"/>
              <w:jc w:val="center"/>
              <w:rPr>
                <w:color w:val="000000"/>
                <w:sz w:val="18"/>
                <w:szCs w:val="18"/>
              </w:rPr>
            </w:pPr>
            <w:r>
              <w:rPr>
                <w:rFonts w:hint="eastAsia"/>
                <w:color w:val="000000"/>
                <w:sz w:val="18"/>
                <w:szCs w:val="18"/>
              </w:rPr>
              <w:t>20</w:t>
            </w:r>
            <w:r>
              <w:rPr>
                <w:rFonts w:eastAsia="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7" w:type="pct"/>
            <w:vMerge w:val="restart"/>
            <w:vAlign w:val="center"/>
          </w:tcPr>
          <w:p>
            <w:pPr>
              <w:snapToGrid w:val="0"/>
              <w:jc w:val="center"/>
              <w:rPr>
                <w:color w:val="000000"/>
                <w:sz w:val="18"/>
                <w:szCs w:val="18"/>
              </w:rPr>
            </w:pPr>
            <w:r>
              <w:rPr>
                <w:rFonts w:hint="eastAsia"/>
                <w:color w:val="000000"/>
                <w:sz w:val="18"/>
                <w:szCs w:val="18"/>
              </w:rPr>
              <w:t>2</w:t>
            </w:r>
          </w:p>
        </w:tc>
        <w:tc>
          <w:tcPr>
            <w:tcW w:w="1199" w:type="pct"/>
            <w:vMerge w:val="restart"/>
            <w:vAlign w:val="center"/>
          </w:tcPr>
          <w:p>
            <w:pPr>
              <w:snapToGrid w:val="0"/>
              <w:rPr>
                <w:color w:val="000000"/>
                <w:sz w:val="18"/>
                <w:szCs w:val="18"/>
              </w:rPr>
            </w:pPr>
            <w:r>
              <w:rPr>
                <w:rFonts w:hint="eastAsia"/>
                <w:color w:val="000000"/>
                <w:sz w:val="18"/>
                <w:szCs w:val="18"/>
              </w:rPr>
              <w:t>变压器中的矿物油</w:t>
            </w:r>
          </w:p>
        </w:tc>
        <w:tc>
          <w:tcPr>
            <w:tcW w:w="1330" w:type="pct"/>
            <w:vAlign w:val="center"/>
          </w:tcPr>
          <w:p>
            <w:pPr>
              <w:snapToGrid w:val="0"/>
              <w:rPr>
                <w:sz w:val="18"/>
                <w:szCs w:val="18"/>
              </w:rPr>
            </w:pPr>
            <w:r>
              <w:rPr>
                <w:rFonts w:hint="eastAsia"/>
                <w:sz w:val="18"/>
                <w:szCs w:val="18"/>
              </w:rPr>
              <w:t>正常负载时最高温度</w:t>
            </w:r>
          </w:p>
        </w:tc>
        <w:tc>
          <w:tcPr>
            <w:tcW w:w="2054" w:type="pct"/>
            <w:vAlign w:val="center"/>
          </w:tcPr>
          <w:p>
            <w:pPr>
              <w:snapToGrid w:val="0"/>
              <w:jc w:val="center"/>
              <w:rPr>
                <w:color w:val="000000"/>
                <w:sz w:val="18"/>
                <w:szCs w:val="18"/>
              </w:rPr>
            </w:pPr>
            <w:r>
              <w:rPr>
                <w:rFonts w:hint="eastAsia"/>
                <w:color w:val="000000"/>
                <w:sz w:val="18"/>
                <w:szCs w:val="18"/>
              </w:rPr>
              <w:t>100</w:t>
            </w:r>
            <w:r>
              <w:rPr>
                <w:rFonts w:eastAsia="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7" w:type="pct"/>
            <w:vMerge w:val="continue"/>
            <w:vAlign w:val="center"/>
          </w:tcPr>
          <w:p>
            <w:pPr>
              <w:snapToGrid w:val="0"/>
              <w:ind w:firstLine="360"/>
              <w:jc w:val="center"/>
              <w:rPr>
                <w:color w:val="000000"/>
                <w:sz w:val="18"/>
                <w:szCs w:val="18"/>
              </w:rPr>
            </w:pPr>
          </w:p>
        </w:tc>
        <w:tc>
          <w:tcPr>
            <w:tcW w:w="1199" w:type="pct"/>
            <w:vMerge w:val="continue"/>
            <w:vAlign w:val="center"/>
          </w:tcPr>
          <w:p>
            <w:pPr>
              <w:snapToGrid w:val="0"/>
              <w:ind w:firstLine="360"/>
              <w:rPr>
                <w:color w:val="000000"/>
                <w:sz w:val="18"/>
                <w:szCs w:val="18"/>
              </w:rPr>
            </w:pPr>
          </w:p>
        </w:tc>
        <w:tc>
          <w:tcPr>
            <w:tcW w:w="1330" w:type="pct"/>
            <w:vAlign w:val="center"/>
          </w:tcPr>
          <w:p>
            <w:pPr>
              <w:snapToGrid w:val="0"/>
              <w:rPr>
                <w:sz w:val="18"/>
                <w:szCs w:val="18"/>
              </w:rPr>
            </w:pPr>
            <w:r>
              <w:rPr>
                <w:rFonts w:hint="eastAsia"/>
                <w:sz w:val="18"/>
                <w:szCs w:val="18"/>
              </w:rPr>
              <w:t>故障负荷时最高温度</w:t>
            </w:r>
          </w:p>
        </w:tc>
        <w:tc>
          <w:tcPr>
            <w:tcW w:w="2054" w:type="pct"/>
            <w:vAlign w:val="center"/>
          </w:tcPr>
          <w:p>
            <w:pPr>
              <w:snapToGrid w:val="0"/>
              <w:jc w:val="center"/>
              <w:rPr>
                <w:color w:val="000000"/>
                <w:sz w:val="18"/>
                <w:szCs w:val="18"/>
              </w:rPr>
            </w:pPr>
            <w:r>
              <w:rPr>
                <w:rFonts w:hint="eastAsia"/>
                <w:color w:val="000000"/>
                <w:sz w:val="18"/>
                <w:szCs w:val="18"/>
              </w:rPr>
              <w:t>115</w:t>
            </w:r>
            <w:r>
              <w:rPr>
                <w:rFonts w:eastAsia="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7" w:type="pct"/>
            <w:vMerge w:val="continue"/>
            <w:vAlign w:val="center"/>
          </w:tcPr>
          <w:p>
            <w:pPr>
              <w:snapToGrid w:val="0"/>
              <w:ind w:firstLine="360"/>
              <w:jc w:val="center"/>
              <w:rPr>
                <w:color w:val="000000"/>
                <w:sz w:val="18"/>
                <w:szCs w:val="18"/>
              </w:rPr>
            </w:pPr>
          </w:p>
        </w:tc>
        <w:tc>
          <w:tcPr>
            <w:tcW w:w="1199" w:type="pct"/>
            <w:vMerge w:val="continue"/>
            <w:vAlign w:val="center"/>
          </w:tcPr>
          <w:p>
            <w:pPr>
              <w:snapToGrid w:val="0"/>
              <w:ind w:firstLine="360"/>
              <w:rPr>
                <w:color w:val="000000"/>
                <w:sz w:val="18"/>
                <w:szCs w:val="18"/>
              </w:rPr>
            </w:pPr>
          </w:p>
        </w:tc>
        <w:tc>
          <w:tcPr>
            <w:tcW w:w="1330" w:type="pct"/>
            <w:vAlign w:val="center"/>
          </w:tcPr>
          <w:p>
            <w:pPr>
              <w:snapToGrid w:val="0"/>
              <w:rPr>
                <w:sz w:val="18"/>
                <w:szCs w:val="18"/>
              </w:rPr>
            </w:pPr>
            <w:r>
              <w:rPr>
                <w:rFonts w:hint="eastAsia"/>
                <w:sz w:val="18"/>
                <w:szCs w:val="18"/>
              </w:rPr>
              <w:t>最高日平均温度</w:t>
            </w:r>
          </w:p>
        </w:tc>
        <w:tc>
          <w:tcPr>
            <w:tcW w:w="2054" w:type="pct"/>
            <w:vAlign w:val="center"/>
          </w:tcPr>
          <w:p>
            <w:pPr>
              <w:snapToGrid w:val="0"/>
              <w:jc w:val="center"/>
              <w:rPr>
                <w:color w:val="000000"/>
                <w:sz w:val="18"/>
                <w:szCs w:val="18"/>
              </w:rPr>
            </w:pPr>
            <w:r>
              <w:rPr>
                <w:rFonts w:hint="eastAsia"/>
                <w:color w:val="000000"/>
                <w:sz w:val="18"/>
                <w:szCs w:val="18"/>
              </w:rPr>
              <w:t>90</w:t>
            </w:r>
            <w:r>
              <w:rPr>
                <w:rFonts w:eastAsia="微软雅黑"/>
                <w:color w:val="000000"/>
                <w:sz w:val="18"/>
                <w:szCs w:val="18"/>
              </w:rPr>
              <w:t>℃</w:t>
            </w:r>
          </w:p>
        </w:tc>
      </w:tr>
    </w:tbl>
    <w:p>
      <w:pPr>
        <w:pStyle w:val="260"/>
      </w:pPr>
      <w:bookmarkStart w:id="76" w:name="_Toc180511519"/>
      <w:r>
        <w:rPr>
          <w:rFonts w:hint="eastAsia"/>
        </w:rPr>
        <w:t>海拔</w:t>
      </w:r>
      <w:bookmarkEnd w:id="76"/>
    </w:p>
    <w:p>
      <w:pPr>
        <w:pStyle w:val="258"/>
        <w:ind w:firstLine="420"/>
      </w:pPr>
      <w:r>
        <w:rPr>
          <w:rFonts w:hint="eastAsia" w:ascii="Times New Roman"/>
        </w:rPr>
        <w:t>符合本文件的套管适用于在海拔不超过1000m的任何海拔运行。</w:t>
      </w:r>
      <w:r>
        <w:rPr>
          <w:rFonts w:hint="eastAsia"/>
        </w:rPr>
        <w:t>海拔超</w:t>
      </w:r>
      <w:r>
        <w:rPr>
          <w:rFonts w:hint="eastAsia" w:ascii="Times New Roman"/>
        </w:rPr>
        <w:t>过</w:t>
      </w:r>
      <w:r>
        <w:rPr>
          <w:rFonts w:ascii="Times New Roman"/>
        </w:rPr>
        <w:t>1000m</w:t>
      </w:r>
      <w:r>
        <w:rPr>
          <w:rFonts w:hint="eastAsia" w:ascii="Times New Roman"/>
        </w:rPr>
        <w:t>时</w:t>
      </w:r>
      <w:r>
        <w:rPr>
          <w:rFonts w:hint="eastAsia"/>
        </w:rPr>
        <w:t>，套管的外绝缘参数应按照</w:t>
      </w:r>
      <w:r>
        <w:rPr>
          <w:rFonts w:hint="eastAsia" w:ascii="Times New Roman"/>
        </w:rPr>
        <w:t>GB/T 4109—</w:t>
      </w:r>
      <w:r>
        <w:rPr>
          <w:rFonts w:ascii="Times New Roman"/>
        </w:rPr>
        <w:t>20</w:t>
      </w:r>
      <w:r>
        <w:rPr>
          <w:rFonts w:hint="eastAsia" w:ascii="Times New Roman"/>
        </w:rPr>
        <w:t>22进</w:t>
      </w:r>
      <w:r>
        <w:rPr>
          <w:rFonts w:hint="eastAsia"/>
        </w:rPr>
        <w:t>行海拔修正。</w:t>
      </w:r>
    </w:p>
    <w:p>
      <w:pPr>
        <w:pStyle w:val="260"/>
      </w:pPr>
      <w:bookmarkStart w:id="77" w:name="_Toc180511520"/>
      <w:r>
        <w:rPr>
          <w:rFonts w:hint="eastAsia"/>
        </w:rPr>
        <w:t>地震条件</w:t>
      </w:r>
      <w:bookmarkEnd w:id="77"/>
    </w:p>
    <w:p>
      <w:pPr>
        <w:pStyle w:val="258"/>
        <w:ind w:firstLine="420"/>
        <w:rPr>
          <w:rFonts w:ascii="Times New Roman"/>
        </w:rPr>
      </w:pPr>
      <w:r>
        <w:rPr>
          <w:rFonts w:hint="eastAsia" w:ascii="Times New Roman"/>
        </w:rPr>
        <w:t>地震条件应符合</w:t>
      </w:r>
      <w:r>
        <w:rPr>
          <w:rFonts w:ascii="Times New Roman"/>
        </w:rPr>
        <w:t>GB</w:t>
      </w:r>
      <w:r>
        <w:rPr>
          <w:rFonts w:hint="eastAsia" w:ascii="Times New Roman"/>
        </w:rPr>
        <w:t xml:space="preserve"> </w:t>
      </w:r>
      <w:r>
        <w:rPr>
          <w:rFonts w:ascii="Times New Roman"/>
        </w:rPr>
        <w:t>50260</w:t>
      </w:r>
      <w:r>
        <w:rPr>
          <w:rFonts w:hint="eastAsia" w:ascii="Times New Roman"/>
        </w:rPr>
        <w:t>—</w:t>
      </w:r>
      <w:r>
        <w:rPr>
          <w:rFonts w:ascii="Times New Roman"/>
        </w:rPr>
        <w:t>2013</w:t>
      </w:r>
      <w:r>
        <w:rPr>
          <w:rFonts w:hint="eastAsia" w:ascii="Times New Roman"/>
        </w:rPr>
        <w:t>的要求或供需双方协议。</w:t>
      </w:r>
    </w:p>
    <w:p>
      <w:pPr>
        <w:pStyle w:val="260"/>
      </w:pPr>
      <w:bookmarkStart w:id="78" w:name="_Toc180511521"/>
      <w:r>
        <w:rPr>
          <w:rFonts w:hint="eastAsia"/>
        </w:rPr>
        <w:t>其他使用条件</w:t>
      </w:r>
      <w:bookmarkEnd w:id="78"/>
    </w:p>
    <w:p>
      <w:pPr>
        <w:pStyle w:val="258"/>
        <w:ind w:firstLine="420"/>
      </w:pPr>
      <w:r>
        <w:rPr>
          <w:rFonts w:hint="eastAsia"/>
        </w:rPr>
        <w:t>低频变压器套管的其他使用条件如下：</w:t>
      </w:r>
    </w:p>
    <w:p>
      <w:pPr>
        <w:numPr>
          <w:ilvl w:val="0"/>
          <w:numId w:val="29"/>
        </w:numPr>
        <w:ind w:right="420" w:rightChars="200"/>
        <w:rPr>
          <w:szCs w:val="21"/>
        </w:rPr>
      </w:pPr>
      <w:r>
        <w:rPr>
          <w:rFonts w:hint="eastAsia"/>
          <w:szCs w:val="21"/>
        </w:rPr>
        <w:t>太阳辐射强度不应超过</w:t>
      </w:r>
      <w:r>
        <w:rPr>
          <w:szCs w:val="21"/>
        </w:rPr>
        <w:t>0.1 W/cm</w:t>
      </w:r>
      <w:r>
        <w:rPr>
          <w:szCs w:val="21"/>
          <w:vertAlign w:val="superscript"/>
        </w:rPr>
        <w:t>2</w:t>
      </w:r>
      <w:r>
        <w:rPr>
          <w:rFonts w:hint="eastAsia"/>
          <w:szCs w:val="21"/>
        </w:rPr>
        <w:t>；</w:t>
      </w:r>
    </w:p>
    <w:p>
      <w:pPr>
        <w:numPr>
          <w:ilvl w:val="0"/>
          <w:numId w:val="29"/>
        </w:numPr>
        <w:ind w:right="420" w:rightChars="200"/>
        <w:rPr>
          <w:szCs w:val="21"/>
        </w:rPr>
      </w:pPr>
      <w:r>
        <w:rPr>
          <w:rFonts w:hint="eastAsia"/>
          <w:szCs w:val="21"/>
        </w:rPr>
        <w:t>运行现场污秽度不超过</w:t>
      </w:r>
      <w:r>
        <w:rPr>
          <w:szCs w:val="21"/>
        </w:rPr>
        <w:t>GB</w:t>
      </w:r>
      <w:r>
        <w:rPr>
          <w:rFonts w:hint="eastAsia"/>
          <w:szCs w:val="21"/>
        </w:rPr>
        <w:t>/T 262</w:t>
      </w:r>
      <w:r>
        <w:rPr>
          <w:szCs w:val="21"/>
        </w:rPr>
        <w:t>18.1</w:t>
      </w:r>
      <w:r>
        <w:rPr>
          <w:rFonts w:hint="eastAsia"/>
          <w:szCs w:val="21"/>
        </w:rPr>
        <w:t>规定的</w:t>
      </w:r>
      <w:r>
        <w:rPr>
          <w:szCs w:val="21"/>
        </w:rPr>
        <w:t>污</w:t>
      </w:r>
      <w:r>
        <w:rPr>
          <w:rFonts w:hint="eastAsia"/>
          <w:szCs w:val="21"/>
        </w:rPr>
        <w:t>秽等级</w:t>
      </w:r>
      <w:r>
        <w:rPr>
          <w:szCs w:val="21"/>
        </w:rPr>
        <w:t>；</w:t>
      </w:r>
    </w:p>
    <w:p>
      <w:pPr>
        <w:numPr>
          <w:ilvl w:val="0"/>
          <w:numId w:val="29"/>
        </w:numPr>
        <w:ind w:right="420" w:rightChars="200"/>
        <w:rPr>
          <w:szCs w:val="21"/>
        </w:rPr>
      </w:pPr>
      <w:r>
        <w:rPr>
          <w:rFonts w:hint="eastAsia"/>
          <w:szCs w:val="21"/>
        </w:rPr>
        <w:t>覆冰厚度不超过</w:t>
      </w:r>
      <w:r>
        <w:rPr>
          <w:szCs w:val="21"/>
        </w:rPr>
        <w:t>20 mm</w:t>
      </w:r>
      <w:r>
        <w:rPr>
          <w:rFonts w:hint="eastAsia"/>
          <w:szCs w:val="21"/>
        </w:rPr>
        <w:t>；</w:t>
      </w:r>
    </w:p>
    <w:p>
      <w:pPr>
        <w:numPr>
          <w:ilvl w:val="0"/>
          <w:numId w:val="29"/>
        </w:numPr>
        <w:ind w:right="420" w:rightChars="200"/>
        <w:rPr>
          <w:szCs w:val="21"/>
        </w:rPr>
      </w:pPr>
      <w:r>
        <w:rPr>
          <w:rFonts w:hint="eastAsia"/>
          <w:szCs w:val="21"/>
        </w:rPr>
        <w:t>风速不应超过35 m/s；</w:t>
      </w:r>
    </w:p>
    <w:p>
      <w:pPr>
        <w:numPr>
          <w:ilvl w:val="0"/>
          <w:numId w:val="29"/>
        </w:numPr>
        <w:ind w:right="420" w:rightChars="200"/>
        <w:rPr>
          <w:szCs w:val="21"/>
        </w:rPr>
      </w:pPr>
      <w:r>
        <w:rPr>
          <w:rFonts w:hint="eastAsia"/>
          <w:szCs w:val="21"/>
        </w:rPr>
        <w:t>安装角度：</w:t>
      </w:r>
      <w:r>
        <w:rPr>
          <w:szCs w:val="21"/>
        </w:rPr>
        <w:t>套管轴线与铅垂线夹角不超过30º</w:t>
      </w:r>
      <w:r>
        <w:rPr>
          <w:rFonts w:hint="eastAsia"/>
          <w:szCs w:val="21"/>
        </w:rPr>
        <w:t>。</w:t>
      </w:r>
    </w:p>
    <w:p>
      <w:pPr>
        <w:pStyle w:val="259"/>
      </w:pPr>
      <w:bookmarkStart w:id="79" w:name="_Toc180511522"/>
      <w:r>
        <w:rPr>
          <w:rFonts w:hint="eastAsia"/>
        </w:rPr>
        <w:t>基本技术参数</w:t>
      </w:r>
      <w:bookmarkEnd w:id="79"/>
    </w:p>
    <w:p>
      <w:pPr>
        <w:pStyle w:val="260"/>
      </w:pPr>
      <w:bookmarkStart w:id="80" w:name="_Toc475092987"/>
      <w:bookmarkStart w:id="81" w:name="_Toc129097025"/>
      <w:bookmarkStart w:id="82" w:name="_Toc180511523"/>
      <w:r>
        <w:rPr>
          <w:rFonts w:hint="eastAsia"/>
        </w:rPr>
        <w:t>设备最高电压</w:t>
      </w:r>
      <w:bookmarkEnd w:id="80"/>
      <w:r>
        <w:rPr>
          <w:rFonts w:ascii="Times New Roman"/>
          <w:b/>
          <w:bCs/>
          <w:i/>
          <w:iCs/>
        </w:rPr>
        <w:t>U</w:t>
      </w:r>
      <w:r>
        <w:rPr>
          <w:rFonts w:ascii="Times New Roman"/>
          <w:b/>
          <w:bCs/>
          <w:i/>
          <w:iCs/>
          <w:vertAlign w:val="subscript"/>
        </w:rPr>
        <w:t>m</w:t>
      </w:r>
      <w:bookmarkEnd w:id="81"/>
      <w:bookmarkEnd w:id="82"/>
    </w:p>
    <w:p>
      <w:pPr>
        <w:pStyle w:val="258"/>
        <w:ind w:firstLine="420"/>
        <w:rPr>
          <w:rFonts w:ascii="Times New Roman"/>
        </w:rPr>
      </w:pPr>
      <w:r>
        <w:rPr>
          <w:rFonts w:ascii="Times New Roman"/>
        </w:rPr>
        <w:t>套管的</w:t>
      </w:r>
      <w:r>
        <w:rPr>
          <w:rFonts w:ascii="Times New Roman"/>
          <w:i/>
        </w:rPr>
        <w:t>U</w:t>
      </w:r>
      <w:r>
        <w:rPr>
          <w:rFonts w:ascii="Times New Roman"/>
          <w:vertAlign w:val="subscript"/>
        </w:rPr>
        <w:t>m</w:t>
      </w:r>
      <w:r>
        <w:rPr>
          <w:rFonts w:ascii="Times New Roman"/>
        </w:rPr>
        <w:t>值应从以下设备最高电压的标准值中选取，单位为kV：</w:t>
      </w:r>
    </w:p>
    <w:p>
      <w:pPr>
        <w:pStyle w:val="258"/>
        <w:ind w:firstLine="420"/>
        <w:rPr>
          <w:rFonts w:ascii="Times New Roman"/>
        </w:rPr>
      </w:pPr>
      <w:r>
        <w:rPr>
          <w:rFonts w:ascii="Times New Roman"/>
        </w:rPr>
        <w:t>12—17.5 (18) —24—36—40.5—52—72.5—100—123 (126) —145—170—245 (252)。</w:t>
      </w:r>
    </w:p>
    <w:p>
      <w:pPr>
        <w:pStyle w:val="260"/>
        <w:ind w:left="0" w:firstLine="0"/>
      </w:pPr>
      <w:bookmarkStart w:id="83" w:name="_Toc129097026"/>
      <w:bookmarkStart w:id="84" w:name="_Toc180511524"/>
      <w:r>
        <w:t>额定电流</w:t>
      </w:r>
      <w:r>
        <w:rPr>
          <w:rFonts w:ascii="Times New Roman" w:eastAsia="宋体"/>
          <w:b/>
          <w:i/>
        </w:rPr>
        <w:t>I</w:t>
      </w:r>
      <w:r>
        <w:rPr>
          <w:rFonts w:ascii="Times New Roman"/>
          <w:b/>
          <w:i/>
          <w:vertAlign w:val="subscript"/>
        </w:rPr>
        <w:t>r</w:t>
      </w:r>
      <w:bookmarkEnd w:id="83"/>
      <w:bookmarkEnd w:id="84"/>
    </w:p>
    <w:p>
      <w:pPr>
        <w:pStyle w:val="258"/>
        <w:ind w:firstLine="420"/>
        <w:rPr>
          <w:rFonts w:ascii="Times New Roman"/>
        </w:rPr>
      </w:pPr>
      <w:r>
        <w:rPr>
          <w:rFonts w:ascii="Times New Roman"/>
        </w:rPr>
        <w:t>套管的</w:t>
      </w:r>
      <w:r>
        <w:rPr>
          <w:rFonts w:ascii="Times New Roman"/>
          <w:i/>
        </w:rPr>
        <w:t>I</w:t>
      </w:r>
      <w:r>
        <w:rPr>
          <w:rFonts w:ascii="Times New Roman"/>
          <w:i/>
          <w:vertAlign w:val="subscript"/>
        </w:rPr>
        <w:t>r</w:t>
      </w:r>
      <w:r>
        <w:rPr>
          <w:rFonts w:ascii="Times New Roman"/>
        </w:rPr>
        <w:t>值应</w:t>
      </w:r>
      <w:r>
        <w:rPr>
          <w:rFonts w:hint="eastAsia" w:ascii="Times New Roman"/>
        </w:rPr>
        <w:t>从下面给出的标准值中选取，单位为</w:t>
      </w:r>
      <w:r>
        <w:rPr>
          <w:rFonts w:ascii="Times New Roman"/>
        </w:rPr>
        <w:t>A：</w:t>
      </w:r>
    </w:p>
    <w:p>
      <w:pPr>
        <w:pStyle w:val="258"/>
        <w:ind w:firstLine="420"/>
        <w:rPr>
          <w:rFonts w:ascii="Times New Roman"/>
        </w:rPr>
      </w:pPr>
      <w:r>
        <w:rPr>
          <w:rFonts w:ascii="Times New Roman"/>
        </w:rPr>
        <w:t>100—250—315—400—500—630—800—1 000—1 250—1 600—2 000—</w:t>
      </w:r>
      <w:r>
        <w:rPr>
          <w:rFonts w:hint="eastAsia" w:ascii="Times New Roman"/>
        </w:rPr>
        <w:t>2 50</w:t>
      </w:r>
      <w:r>
        <w:rPr>
          <w:rFonts w:ascii="Times New Roman"/>
        </w:rPr>
        <w:t>0—</w:t>
      </w:r>
      <w:r>
        <w:rPr>
          <w:rFonts w:hint="eastAsia" w:ascii="Times New Roman"/>
        </w:rPr>
        <w:t>3 15</w:t>
      </w:r>
      <w:r>
        <w:rPr>
          <w:rFonts w:ascii="Times New Roman"/>
        </w:rPr>
        <w:t>0—</w:t>
      </w:r>
      <w:r>
        <w:rPr>
          <w:rFonts w:hint="eastAsia" w:ascii="Times New Roman"/>
        </w:rPr>
        <w:t>4</w:t>
      </w:r>
      <w:r>
        <w:rPr>
          <w:rFonts w:ascii="Times New Roman"/>
        </w:rPr>
        <w:t xml:space="preserve"> 000。</w:t>
      </w:r>
    </w:p>
    <w:p>
      <w:pPr>
        <w:pStyle w:val="258"/>
        <w:ind w:firstLine="420"/>
        <w:rPr>
          <w:rFonts w:ascii="Times New Roman"/>
        </w:rPr>
      </w:pPr>
      <w:r>
        <w:rPr>
          <w:rFonts w:ascii="Times New Roman"/>
        </w:rPr>
        <w:t>对于载流导体穿入中心管的变压器套管(穿缆或穿杆式套管)</w:t>
      </w:r>
      <w:r>
        <w:rPr>
          <w:rFonts w:hint="eastAsia" w:ascii="Times New Roman"/>
        </w:rPr>
        <w:t>，</w:t>
      </w:r>
      <w:r>
        <w:rPr>
          <w:rFonts w:ascii="Times New Roman"/>
        </w:rPr>
        <w:t>为使相应的</w:t>
      </w:r>
      <w:r>
        <w:rPr>
          <w:rFonts w:ascii="Times New Roman"/>
          <w:i/>
        </w:rPr>
        <w:t>I</w:t>
      </w:r>
      <w:r>
        <w:rPr>
          <w:rFonts w:ascii="Times New Roman"/>
          <w:i/>
          <w:vertAlign w:val="subscript"/>
        </w:rPr>
        <w:t>r</w:t>
      </w:r>
      <w:r>
        <w:rPr>
          <w:rFonts w:ascii="Times New Roman"/>
        </w:rPr>
        <w:t>符合6.</w:t>
      </w:r>
      <w:r>
        <w:rPr>
          <w:rFonts w:hint="eastAsia" w:ascii="Times New Roman"/>
        </w:rPr>
        <w:t>6</w:t>
      </w:r>
      <w:r>
        <w:rPr>
          <w:rFonts w:ascii="Times New Roman"/>
        </w:rPr>
        <w:t>的要求</w:t>
      </w:r>
      <w:r>
        <w:rPr>
          <w:rFonts w:hint="eastAsia" w:ascii="Times New Roman"/>
        </w:rPr>
        <w:t>，</w:t>
      </w:r>
      <w:r>
        <w:rPr>
          <w:rFonts w:ascii="Times New Roman"/>
        </w:rPr>
        <w:t>套管供方应规定载流导体的横截面积、最大直径和材质</w:t>
      </w:r>
      <w:r>
        <w:rPr>
          <w:rFonts w:hint="eastAsia" w:ascii="Times New Roman"/>
        </w:rPr>
        <w:t>，</w:t>
      </w:r>
      <w:r>
        <w:rPr>
          <w:rFonts w:ascii="Times New Roman"/>
        </w:rPr>
        <w:t>以及绝缘材料和厚度。</w:t>
      </w:r>
    </w:p>
    <w:p>
      <w:pPr>
        <w:pStyle w:val="260"/>
        <w:ind w:left="0" w:firstLine="0"/>
        <w:rPr>
          <w:rFonts w:hint="eastAsia" w:hAnsi="黑体"/>
        </w:rPr>
      </w:pPr>
      <w:bookmarkStart w:id="85" w:name="_Toc129097027"/>
      <w:bookmarkStart w:id="86" w:name="_Toc180511525"/>
      <w:bookmarkStart w:id="87" w:name="_Toc475092988"/>
      <w:r>
        <w:rPr>
          <w:rFonts w:hAnsi="黑体"/>
        </w:rPr>
        <w:t>额定绝缘</w:t>
      </w:r>
      <w:r>
        <w:rPr>
          <w:rFonts w:hint="eastAsia" w:hAnsi="黑体"/>
        </w:rPr>
        <w:t>水平</w:t>
      </w:r>
      <w:bookmarkEnd w:id="85"/>
      <w:bookmarkEnd w:id="86"/>
      <w:bookmarkEnd w:id="87"/>
    </w:p>
    <w:p>
      <w:pPr>
        <w:pStyle w:val="258"/>
        <w:ind w:firstLine="412"/>
        <w:rPr>
          <w:rFonts w:ascii="Times New Roman"/>
        </w:rPr>
      </w:pPr>
      <w:r>
        <w:rPr>
          <w:rFonts w:ascii="Times New Roman"/>
          <w:spacing w:val="-2"/>
        </w:rPr>
        <w:t>套管</w:t>
      </w:r>
      <w:r>
        <w:rPr>
          <w:rFonts w:ascii="Times New Roman"/>
        </w:rPr>
        <w:t>的额定绝缘水平应符合表2的规定。</w:t>
      </w:r>
    </w:p>
    <w:p>
      <w:pPr>
        <w:pStyle w:val="258"/>
        <w:ind w:firstLine="420"/>
        <w:rPr>
          <w:rFonts w:ascii="Times New Roman"/>
        </w:rPr>
      </w:pPr>
    </w:p>
    <w:p>
      <w:pPr>
        <w:pStyle w:val="258"/>
        <w:ind w:firstLine="420"/>
        <w:rPr>
          <w:rFonts w:ascii="Times New Roman"/>
        </w:rPr>
      </w:pPr>
    </w:p>
    <w:p>
      <w:pPr>
        <w:tabs>
          <w:tab w:val="left" w:pos="360"/>
        </w:tabs>
        <w:spacing w:before="156" w:beforeLines="50" w:after="156" w:afterLines="50"/>
        <w:jc w:val="center"/>
        <w:rPr>
          <w:rFonts w:ascii="黑体" w:eastAsia="黑体"/>
          <w:szCs w:val="21"/>
        </w:rPr>
      </w:pPr>
      <w:r>
        <w:rPr>
          <w:rFonts w:hint="eastAsia" w:ascii="黑体" w:eastAsia="黑体"/>
          <w:szCs w:val="21"/>
        </w:rPr>
        <w:t>表2 套管的额定绝缘水平</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2378"/>
        <w:gridCol w:w="2379"/>
        <w:gridCol w:w="1189"/>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restart"/>
            <w:vAlign w:val="center"/>
          </w:tcPr>
          <w:p>
            <w:pPr>
              <w:pStyle w:val="258"/>
              <w:snapToGrid w:val="0"/>
              <w:ind w:firstLine="0" w:firstLineChars="0"/>
              <w:jc w:val="center"/>
              <w:rPr>
                <w:rFonts w:ascii="Times New Roman"/>
                <w:sz w:val="18"/>
                <w:szCs w:val="18"/>
              </w:rPr>
            </w:pPr>
            <w:r>
              <w:rPr>
                <w:rFonts w:ascii="Times New Roman"/>
                <w:sz w:val="18"/>
                <w:szCs w:val="18"/>
              </w:rPr>
              <w:t>设备最高电压U</w:t>
            </w:r>
            <w:r>
              <w:rPr>
                <w:rFonts w:ascii="Times New Roman"/>
                <w:sz w:val="18"/>
                <w:szCs w:val="18"/>
                <w:vertAlign w:val="subscript"/>
              </w:rPr>
              <w:t>m</w:t>
            </w:r>
          </w:p>
          <w:p>
            <w:pPr>
              <w:pStyle w:val="258"/>
              <w:snapToGrid w:val="0"/>
              <w:ind w:firstLine="0" w:firstLineChars="0"/>
              <w:jc w:val="center"/>
              <w:rPr>
                <w:rFonts w:ascii="Times New Roman"/>
                <w:sz w:val="18"/>
                <w:szCs w:val="18"/>
              </w:rPr>
            </w:pPr>
            <w:r>
              <w:rPr>
                <w:rFonts w:ascii="Times New Roman"/>
                <w:sz w:val="18"/>
                <w:szCs w:val="18"/>
              </w:rPr>
              <w:t>kV</w:t>
            </w:r>
          </w:p>
          <w:p>
            <w:pPr>
              <w:pStyle w:val="258"/>
              <w:snapToGrid w:val="0"/>
              <w:ind w:firstLine="0" w:firstLineChars="0"/>
              <w:jc w:val="center"/>
              <w:rPr>
                <w:rFonts w:ascii="Times New Roman"/>
                <w:sz w:val="18"/>
                <w:szCs w:val="18"/>
              </w:rPr>
            </w:pPr>
            <w:r>
              <w:rPr>
                <w:rFonts w:ascii="Times New Roman"/>
                <w:sz w:val="18"/>
                <w:szCs w:val="18"/>
              </w:rPr>
              <w:t>（r.m.s.）</w:t>
            </w:r>
          </w:p>
        </w:tc>
        <w:tc>
          <w:tcPr>
            <w:tcW w:w="2378" w:type="dxa"/>
            <w:vMerge w:val="restart"/>
            <w:vAlign w:val="center"/>
          </w:tcPr>
          <w:p>
            <w:pPr>
              <w:pStyle w:val="258"/>
              <w:snapToGrid w:val="0"/>
              <w:ind w:firstLine="0" w:firstLineChars="0"/>
              <w:jc w:val="center"/>
              <w:rPr>
                <w:rFonts w:ascii="Times New Roman"/>
                <w:sz w:val="18"/>
                <w:szCs w:val="18"/>
              </w:rPr>
            </w:pPr>
            <w:r>
              <w:rPr>
                <w:rFonts w:ascii="Times New Roman"/>
                <w:sz w:val="18"/>
                <w:szCs w:val="18"/>
              </w:rPr>
              <w:t>额定雷电冲击耐受电压（BIL）</w:t>
            </w:r>
          </w:p>
          <w:p>
            <w:pPr>
              <w:pStyle w:val="258"/>
              <w:snapToGrid w:val="0"/>
              <w:ind w:firstLine="0" w:firstLineChars="0"/>
              <w:jc w:val="center"/>
              <w:rPr>
                <w:rFonts w:ascii="Times New Roman"/>
                <w:sz w:val="18"/>
                <w:szCs w:val="18"/>
              </w:rPr>
            </w:pPr>
            <w:r>
              <w:rPr>
                <w:rFonts w:ascii="Times New Roman"/>
                <w:sz w:val="18"/>
                <w:szCs w:val="18"/>
              </w:rPr>
              <w:t>kV（峰值）</w:t>
            </w:r>
          </w:p>
        </w:tc>
        <w:tc>
          <w:tcPr>
            <w:tcW w:w="2379" w:type="dxa"/>
            <w:vMerge w:val="restart"/>
            <w:vAlign w:val="center"/>
          </w:tcPr>
          <w:p>
            <w:pPr>
              <w:pStyle w:val="258"/>
              <w:snapToGrid w:val="0"/>
              <w:ind w:firstLine="0" w:firstLineChars="0"/>
              <w:jc w:val="center"/>
              <w:rPr>
                <w:rFonts w:ascii="Times New Roman"/>
                <w:sz w:val="18"/>
                <w:szCs w:val="18"/>
              </w:rPr>
            </w:pPr>
            <w:r>
              <w:rPr>
                <w:rFonts w:ascii="Times New Roman"/>
                <w:sz w:val="18"/>
                <w:szCs w:val="18"/>
              </w:rPr>
              <w:t>额定操作冲击耐受电压</w:t>
            </w:r>
          </w:p>
          <w:p>
            <w:pPr>
              <w:pStyle w:val="258"/>
              <w:snapToGrid w:val="0"/>
              <w:ind w:firstLine="0" w:firstLineChars="0"/>
              <w:jc w:val="center"/>
              <w:rPr>
                <w:rFonts w:ascii="Times New Roman"/>
                <w:sz w:val="18"/>
                <w:szCs w:val="18"/>
              </w:rPr>
            </w:pPr>
            <w:r>
              <w:rPr>
                <w:rFonts w:ascii="Times New Roman"/>
                <w:sz w:val="18"/>
                <w:szCs w:val="18"/>
              </w:rPr>
              <w:t>（SIL）</w:t>
            </w:r>
          </w:p>
          <w:p>
            <w:pPr>
              <w:pStyle w:val="258"/>
              <w:snapToGrid w:val="0"/>
              <w:ind w:firstLine="0" w:firstLineChars="0"/>
              <w:jc w:val="center"/>
              <w:rPr>
                <w:rFonts w:ascii="Times New Roman"/>
                <w:sz w:val="18"/>
                <w:szCs w:val="18"/>
              </w:rPr>
            </w:pPr>
            <w:r>
              <w:rPr>
                <w:rFonts w:ascii="Times New Roman"/>
                <w:sz w:val="18"/>
                <w:szCs w:val="18"/>
              </w:rPr>
              <w:t>kV（峰值）</w:t>
            </w:r>
          </w:p>
        </w:tc>
        <w:tc>
          <w:tcPr>
            <w:tcW w:w="2379" w:type="dxa"/>
            <w:gridSpan w:val="2"/>
          </w:tcPr>
          <w:p>
            <w:pPr>
              <w:pStyle w:val="258"/>
              <w:snapToGrid w:val="0"/>
              <w:ind w:firstLine="0" w:firstLineChars="0"/>
              <w:jc w:val="center"/>
              <w:rPr>
                <w:rFonts w:ascii="Times New Roman"/>
                <w:sz w:val="18"/>
                <w:szCs w:val="18"/>
              </w:rPr>
            </w:pPr>
            <w:r>
              <w:rPr>
                <w:rFonts w:hint="eastAsia" w:ascii="Times New Roman"/>
                <w:sz w:val="18"/>
                <w:szCs w:val="18"/>
              </w:rPr>
              <w:t>额定频率交流</w:t>
            </w:r>
            <w:r>
              <w:rPr>
                <w:rFonts w:ascii="Times New Roman"/>
                <w:sz w:val="18"/>
                <w:szCs w:val="18"/>
              </w:rPr>
              <w:t>耐受电压</w:t>
            </w:r>
          </w:p>
          <w:p>
            <w:pPr>
              <w:pStyle w:val="258"/>
              <w:snapToGrid w:val="0"/>
              <w:ind w:firstLine="0" w:firstLineChars="0"/>
              <w:jc w:val="center"/>
              <w:rPr>
                <w:rFonts w:ascii="Times New Roman"/>
                <w:sz w:val="18"/>
                <w:szCs w:val="18"/>
              </w:rPr>
            </w:pPr>
            <w:r>
              <w:rPr>
                <w:rFonts w:ascii="Times New Roman"/>
                <w:sz w:val="18"/>
                <w:szCs w:val="18"/>
              </w:rPr>
              <w:t>kV</w:t>
            </w:r>
          </w:p>
          <w:p>
            <w:pPr>
              <w:pStyle w:val="258"/>
              <w:snapToGrid w:val="0"/>
              <w:ind w:firstLine="0" w:firstLineChars="0"/>
              <w:jc w:val="center"/>
              <w:rPr>
                <w:rFonts w:ascii="Times New Roman"/>
                <w:sz w:val="18"/>
                <w:szCs w:val="18"/>
              </w:rPr>
            </w:pPr>
            <w:r>
              <w:rPr>
                <w:rFonts w:ascii="Times New Roman"/>
                <w:sz w:val="18"/>
                <w:szCs w:val="18"/>
              </w:rPr>
              <w:t>（r.m.s.）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tcPr>
          <w:p>
            <w:pPr>
              <w:pStyle w:val="258"/>
              <w:ind w:firstLine="0" w:firstLineChars="0"/>
              <w:rPr>
                <w:sz w:val="18"/>
                <w:szCs w:val="18"/>
              </w:rPr>
            </w:pPr>
          </w:p>
        </w:tc>
        <w:tc>
          <w:tcPr>
            <w:tcW w:w="2378" w:type="dxa"/>
            <w:vMerge w:val="continue"/>
          </w:tcPr>
          <w:p>
            <w:pPr>
              <w:pStyle w:val="258"/>
              <w:ind w:firstLine="0" w:firstLineChars="0"/>
              <w:rPr>
                <w:sz w:val="18"/>
                <w:szCs w:val="18"/>
              </w:rPr>
            </w:pPr>
          </w:p>
        </w:tc>
        <w:tc>
          <w:tcPr>
            <w:tcW w:w="2379" w:type="dxa"/>
            <w:vMerge w:val="continue"/>
          </w:tcPr>
          <w:p>
            <w:pPr>
              <w:pStyle w:val="258"/>
              <w:ind w:firstLine="0" w:firstLineChars="0"/>
              <w:rPr>
                <w:sz w:val="18"/>
                <w:szCs w:val="18"/>
              </w:rPr>
            </w:pPr>
          </w:p>
        </w:tc>
        <w:tc>
          <w:tcPr>
            <w:tcW w:w="1189" w:type="dxa"/>
          </w:tcPr>
          <w:p>
            <w:pPr>
              <w:pStyle w:val="258"/>
              <w:ind w:firstLine="0" w:firstLineChars="0"/>
              <w:jc w:val="center"/>
              <w:rPr>
                <w:rFonts w:hint="eastAsia" w:hAnsi="宋体"/>
                <w:sz w:val="18"/>
                <w:szCs w:val="18"/>
              </w:rPr>
            </w:pPr>
            <w:r>
              <w:rPr>
                <w:rFonts w:hint="eastAsia" w:hAnsi="宋体"/>
                <w:sz w:val="18"/>
                <w:szCs w:val="18"/>
              </w:rPr>
              <w:t>干</w:t>
            </w:r>
          </w:p>
        </w:tc>
        <w:tc>
          <w:tcPr>
            <w:tcW w:w="1190" w:type="dxa"/>
          </w:tcPr>
          <w:p>
            <w:pPr>
              <w:pStyle w:val="258"/>
              <w:ind w:firstLine="0" w:firstLineChars="0"/>
              <w:jc w:val="center"/>
              <w:rPr>
                <w:rFonts w:hint="eastAsia" w:hAnsi="宋体"/>
                <w:sz w:val="18"/>
                <w:szCs w:val="18"/>
              </w:rPr>
            </w:pPr>
            <w:r>
              <w:rPr>
                <w:rFonts w:hint="eastAsia" w:hAnsi="宋体"/>
                <w:sz w:val="18"/>
                <w:szCs w:val="18"/>
              </w:rPr>
              <w:t>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pStyle w:val="258"/>
              <w:ind w:firstLine="0" w:firstLineChars="0"/>
              <w:jc w:val="center"/>
              <w:rPr>
                <w:rFonts w:ascii="Times New Roman"/>
                <w:sz w:val="18"/>
                <w:szCs w:val="18"/>
              </w:rPr>
            </w:pPr>
            <w:r>
              <w:rPr>
                <w:rFonts w:ascii="Times New Roman"/>
                <w:sz w:val="18"/>
                <w:szCs w:val="18"/>
              </w:rPr>
              <w:t>36</w:t>
            </w:r>
          </w:p>
        </w:tc>
        <w:tc>
          <w:tcPr>
            <w:tcW w:w="2378" w:type="dxa"/>
            <w:vAlign w:val="center"/>
          </w:tcPr>
          <w:p>
            <w:pPr>
              <w:pStyle w:val="258"/>
              <w:ind w:firstLine="0" w:firstLineChars="0"/>
              <w:jc w:val="center"/>
              <w:rPr>
                <w:rFonts w:ascii="Times New Roman"/>
                <w:sz w:val="18"/>
                <w:szCs w:val="18"/>
              </w:rPr>
            </w:pPr>
            <w:r>
              <w:rPr>
                <w:rFonts w:ascii="Times New Roman"/>
                <w:sz w:val="18"/>
                <w:szCs w:val="18"/>
              </w:rPr>
              <w:t>170</w:t>
            </w:r>
          </w:p>
        </w:tc>
        <w:tc>
          <w:tcPr>
            <w:tcW w:w="2379" w:type="dxa"/>
            <w:vAlign w:val="center"/>
          </w:tcPr>
          <w:p>
            <w:pPr>
              <w:pStyle w:val="258"/>
              <w:ind w:firstLine="0" w:firstLineChars="0"/>
              <w:jc w:val="center"/>
              <w:rPr>
                <w:rFonts w:ascii="Times New Roman"/>
                <w:sz w:val="18"/>
                <w:szCs w:val="18"/>
              </w:rPr>
            </w:pPr>
          </w:p>
        </w:tc>
        <w:tc>
          <w:tcPr>
            <w:tcW w:w="1189" w:type="dxa"/>
            <w:vAlign w:val="center"/>
          </w:tcPr>
          <w:p>
            <w:pPr>
              <w:pStyle w:val="258"/>
              <w:ind w:firstLine="0" w:firstLineChars="0"/>
              <w:jc w:val="center"/>
              <w:rPr>
                <w:rFonts w:ascii="Times New Roman"/>
                <w:sz w:val="18"/>
                <w:szCs w:val="18"/>
              </w:rPr>
            </w:pPr>
            <w:r>
              <w:rPr>
                <w:rFonts w:ascii="Times New Roman"/>
                <w:sz w:val="18"/>
                <w:szCs w:val="18"/>
              </w:rPr>
              <w:t>77</w:t>
            </w:r>
          </w:p>
        </w:tc>
        <w:tc>
          <w:tcPr>
            <w:tcW w:w="1190" w:type="dxa"/>
            <w:vAlign w:val="center"/>
          </w:tcPr>
          <w:p>
            <w:pPr>
              <w:pStyle w:val="258"/>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pStyle w:val="258"/>
              <w:ind w:firstLine="0" w:firstLineChars="0"/>
              <w:jc w:val="center"/>
              <w:rPr>
                <w:rFonts w:ascii="Times New Roman"/>
                <w:sz w:val="18"/>
                <w:szCs w:val="18"/>
              </w:rPr>
            </w:pPr>
            <w:r>
              <w:rPr>
                <w:rFonts w:ascii="Times New Roman"/>
                <w:sz w:val="18"/>
                <w:szCs w:val="18"/>
              </w:rPr>
              <w:t>40.5</w:t>
            </w:r>
          </w:p>
        </w:tc>
        <w:tc>
          <w:tcPr>
            <w:tcW w:w="2378" w:type="dxa"/>
            <w:vAlign w:val="center"/>
          </w:tcPr>
          <w:p>
            <w:pPr>
              <w:pStyle w:val="258"/>
              <w:ind w:firstLine="0" w:firstLineChars="0"/>
              <w:jc w:val="center"/>
              <w:rPr>
                <w:rFonts w:ascii="Times New Roman"/>
                <w:sz w:val="18"/>
                <w:szCs w:val="18"/>
              </w:rPr>
            </w:pPr>
            <w:r>
              <w:rPr>
                <w:rFonts w:ascii="Times New Roman"/>
                <w:sz w:val="18"/>
                <w:szCs w:val="18"/>
              </w:rPr>
              <w:t>200</w:t>
            </w:r>
          </w:p>
        </w:tc>
        <w:tc>
          <w:tcPr>
            <w:tcW w:w="2379" w:type="dxa"/>
            <w:vAlign w:val="center"/>
          </w:tcPr>
          <w:p>
            <w:pPr>
              <w:pStyle w:val="258"/>
              <w:ind w:firstLine="0" w:firstLineChars="0"/>
              <w:jc w:val="center"/>
              <w:rPr>
                <w:rFonts w:ascii="Times New Roman"/>
                <w:sz w:val="18"/>
                <w:szCs w:val="18"/>
              </w:rPr>
            </w:pPr>
          </w:p>
        </w:tc>
        <w:tc>
          <w:tcPr>
            <w:tcW w:w="1189" w:type="dxa"/>
            <w:vAlign w:val="center"/>
          </w:tcPr>
          <w:p>
            <w:pPr>
              <w:pStyle w:val="258"/>
              <w:ind w:firstLine="0" w:firstLineChars="0"/>
              <w:jc w:val="center"/>
              <w:rPr>
                <w:rFonts w:ascii="Times New Roman"/>
                <w:sz w:val="18"/>
                <w:szCs w:val="18"/>
              </w:rPr>
            </w:pPr>
            <w:r>
              <w:rPr>
                <w:rFonts w:ascii="Times New Roman"/>
                <w:sz w:val="18"/>
                <w:szCs w:val="18"/>
              </w:rPr>
              <w:t>95</w:t>
            </w:r>
          </w:p>
        </w:tc>
        <w:tc>
          <w:tcPr>
            <w:tcW w:w="1190" w:type="dxa"/>
            <w:vAlign w:val="center"/>
          </w:tcPr>
          <w:p>
            <w:pPr>
              <w:pStyle w:val="258"/>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pStyle w:val="258"/>
              <w:ind w:firstLine="0" w:firstLineChars="0"/>
              <w:jc w:val="center"/>
              <w:rPr>
                <w:rFonts w:ascii="Times New Roman"/>
                <w:sz w:val="18"/>
                <w:szCs w:val="18"/>
              </w:rPr>
            </w:pPr>
            <w:r>
              <w:rPr>
                <w:rFonts w:ascii="Times New Roman"/>
                <w:sz w:val="18"/>
                <w:szCs w:val="18"/>
              </w:rPr>
              <w:t>52</w:t>
            </w:r>
          </w:p>
        </w:tc>
        <w:tc>
          <w:tcPr>
            <w:tcW w:w="2378" w:type="dxa"/>
            <w:vAlign w:val="center"/>
          </w:tcPr>
          <w:p>
            <w:pPr>
              <w:pStyle w:val="258"/>
              <w:ind w:firstLine="0" w:firstLineChars="0"/>
              <w:jc w:val="center"/>
              <w:rPr>
                <w:rFonts w:ascii="Times New Roman"/>
                <w:sz w:val="18"/>
                <w:szCs w:val="18"/>
              </w:rPr>
            </w:pPr>
            <w:r>
              <w:rPr>
                <w:rFonts w:ascii="Times New Roman"/>
                <w:sz w:val="18"/>
                <w:szCs w:val="18"/>
              </w:rPr>
              <w:t>250</w:t>
            </w:r>
          </w:p>
        </w:tc>
        <w:tc>
          <w:tcPr>
            <w:tcW w:w="2379" w:type="dxa"/>
            <w:vAlign w:val="center"/>
          </w:tcPr>
          <w:p>
            <w:pPr>
              <w:pStyle w:val="258"/>
              <w:ind w:firstLine="0" w:firstLineChars="0"/>
              <w:jc w:val="center"/>
              <w:rPr>
                <w:rFonts w:ascii="Times New Roman"/>
                <w:sz w:val="18"/>
                <w:szCs w:val="18"/>
              </w:rPr>
            </w:pPr>
          </w:p>
        </w:tc>
        <w:tc>
          <w:tcPr>
            <w:tcW w:w="1189" w:type="dxa"/>
            <w:vAlign w:val="center"/>
          </w:tcPr>
          <w:p>
            <w:pPr>
              <w:pStyle w:val="258"/>
              <w:ind w:firstLine="0" w:firstLineChars="0"/>
              <w:jc w:val="center"/>
              <w:rPr>
                <w:rFonts w:ascii="Times New Roman"/>
                <w:sz w:val="18"/>
                <w:szCs w:val="18"/>
              </w:rPr>
            </w:pPr>
            <w:r>
              <w:rPr>
                <w:rFonts w:ascii="Times New Roman"/>
                <w:sz w:val="18"/>
                <w:szCs w:val="18"/>
              </w:rPr>
              <w:t>105</w:t>
            </w:r>
          </w:p>
        </w:tc>
        <w:tc>
          <w:tcPr>
            <w:tcW w:w="1190" w:type="dxa"/>
            <w:vAlign w:val="center"/>
          </w:tcPr>
          <w:p>
            <w:pPr>
              <w:pStyle w:val="258"/>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pStyle w:val="258"/>
              <w:ind w:firstLine="0" w:firstLineChars="0"/>
              <w:jc w:val="center"/>
              <w:rPr>
                <w:rFonts w:ascii="Times New Roman"/>
                <w:sz w:val="18"/>
                <w:szCs w:val="18"/>
              </w:rPr>
            </w:pPr>
            <w:r>
              <w:rPr>
                <w:rFonts w:ascii="Times New Roman"/>
                <w:sz w:val="18"/>
                <w:szCs w:val="18"/>
              </w:rPr>
              <w:t>72.5</w:t>
            </w:r>
          </w:p>
        </w:tc>
        <w:tc>
          <w:tcPr>
            <w:tcW w:w="2378" w:type="dxa"/>
            <w:vAlign w:val="center"/>
          </w:tcPr>
          <w:p>
            <w:pPr>
              <w:pStyle w:val="258"/>
              <w:ind w:firstLine="0" w:firstLineChars="0"/>
              <w:jc w:val="center"/>
              <w:rPr>
                <w:rFonts w:ascii="Times New Roman"/>
                <w:sz w:val="18"/>
                <w:szCs w:val="18"/>
              </w:rPr>
            </w:pPr>
            <w:r>
              <w:rPr>
                <w:rFonts w:ascii="Times New Roman"/>
                <w:sz w:val="18"/>
                <w:szCs w:val="18"/>
              </w:rPr>
              <w:t>325</w:t>
            </w:r>
          </w:p>
        </w:tc>
        <w:tc>
          <w:tcPr>
            <w:tcW w:w="2379" w:type="dxa"/>
            <w:vAlign w:val="center"/>
          </w:tcPr>
          <w:p>
            <w:pPr>
              <w:pStyle w:val="258"/>
              <w:ind w:firstLine="0" w:firstLineChars="0"/>
              <w:jc w:val="center"/>
              <w:rPr>
                <w:rFonts w:ascii="Times New Roman"/>
                <w:sz w:val="18"/>
                <w:szCs w:val="18"/>
              </w:rPr>
            </w:pPr>
          </w:p>
        </w:tc>
        <w:tc>
          <w:tcPr>
            <w:tcW w:w="1189" w:type="dxa"/>
            <w:vAlign w:val="center"/>
          </w:tcPr>
          <w:p>
            <w:pPr>
              <w:pStyle w:val="258"/>
              <w:ind w:firstLine="0" w:firstLineChars="0"/>
              <w:jc w:val="center"/>
              <w:rPr>
                <w:rFonts w:ascii="Times New Roman"/>
                <w:sz w:val="18"/>
                <w:szCs w:val="18"/>
              </w:rPr>
            </w:pPr>
            <w:r>
              <w:rPr>
                <w:rFonts w:ascii="Times New Roman"/>
                <w:sz w:val="18"/>
                <w:szCs w:val="18"/>
              </w:rPr>
              <w:t>155</w:t>
            </w:r>
          </w:p>
        </w:tc>
        <w:tc>
          <w:tcPr>
            <w:tcW w:w="1190" w:type="dxa"/>
            <w:vAlign w:val="center"/>
          </w:tcPr>
          <w:p>
            <w:pPr>
              <w:pStyle w:val="258"/>
              <w:ind w:firstLine="0" w:firstLineChars="0"/>
              <w:jc w:val="center"/>
              <w:rPr>
                <w:rFonts w:ascii="Times New Roman"/>
                <w:sz w:val="18"/>
                <w:szCs w:val="18"/>
              </w:rPr>
            </w:pPr>
            <w:r>
              <w:rPr>
                <w:rFonts w:ascii="Times New Roman"/>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restart"/>
            <w:vAlign w:val="center"/>
          </w:tcPr>
          <w:p>
            <w:pPr>
              <w:pStyle w:val="258"/>
              <w:ind w:firstLine="0" w:firstLineChars="0"/>
              <w:jc w:val="center"/>
              <w:rPr>
                <w:rFonts w:ascii="Times New Roman"/>
                <w:sz w:val="18"/>
                <w:szCs w:val="18"/>
              </w:rPr>
            </w:pPr>
            <w:r>
              <w:rPr>
                <w:rFonts w:ascii="Times New Roman"/>
                <w:sz w:val="18"/>
                <w:szCs w:val="18"/>
              </w:rPr>
              <w:t>100</w:t>
            </w:r>
          </w:p>
        </w:tc>
        <w:tc>
          <w:tcPr>
            <w:tcW w:w="2378" w:type="dxa"/>
            <w:vAlign w:val="center"/>
          </w:tcPr>
          <w:p>
            <w:pPr>
              <w:pStyle w:val="258"/>
              <w:ind w:firstLine="0" w:firstLineChars="0"/>
              <w:jc w:val="center"/>
              <w:rPr>
                <w:rFonts w:ascii="Times New Roman"/>
                <w:sz w:val="18"/>
                <w:szCs w:val="18"/>
              </w:rPr>
            </w:pPr>
            <w:r>
              <w:rPr>
                <w:rFonts w:ascii="Times New Roman"/>
                <w:sz w:val="18"/>
                <w:szCs w:val="18"/>
              </w:rPr>
              <w:t>380</w:t>
            </w:r>
          </w:p>
        </w:tc>
        <w:tc>
          <w:tcPr>
            <w:tcW w:w="2379" w:type="dxa"/>
            <w:vAlign w:val="center"/>
          </w:tcPr>
          <w:p>
            <w:pPr>
              <w:pStyle w:val="258"/>
              <w:ind w:firstLine="0" w:firstLineChars="0"/>
              <w:jc w:val="center"/>
              <w:rPr>
                <w:rFonts w:ascii="Times New Roman"/>
                <w:sz w:val="18"/>
                <w:szCs w:val="18"/>
              </w:rPr>
            </w:pPr>
          </w:p>
        </w:tc>
        <w:tc>
          <w:tcPr>
            <w:tcW w:w="1189" w:type="dxa"/>
            <w:vAlign w:val="center"/>
          </w:tcPr>
          <w:p>
            <w:pPr>
              <w:pStyle w:val="258"/>
              <w:ind w:firstLine="0" w:firstLineChars="0"/>
              <w:jc w:val="center"/>
              <w:rPr>
                <w:rFonts w:ascii="Times New Roman"/>
                <w:sz w:val="18"/>
                <w:szCs w:val="18"/>
              </w:rPr>
            </w:pPr>
            <w:r>
              <w:rPr>
                <w:rFonts w:ascii="Times New Roman"/>
                <w:sz w:val="18"/>
                <w:szCs w:val="18"/>
              </w:rPr>
              <w:t>150</w:t>
            </w:r>
          </w:p>
        </w:tc>
        <w:tc>
          <w:tcPr>
            <w:tcW w:w="1190" w:type="dxa"/>
            <w:vAlign w:val="center"/>
          </w:tcPr>
          <w:p>
            <w:pPr>
              <w:pStyle w:val="258"/>
              <w:ind w:firstLine="0" w:firstLineChars="0"/>
              <w:jc w:val="center"/>
              <w:rPr>
                <w:rFonts w:ascii="Times New Roman"/>
                <w:sz w:val="18"/>
                <w:szCs w:val="18"/>
              </w:rPr>
            </w:pPr>
            <w:r>
              <w:rPr>
                <w:rFonts w:ascii="Times New Roman"/>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vAlign w:val="center"/>
          </w:tcPr>
          <w:p>
            <w:pPr>
              <w:pStyle w:val="258"/>
              <w:ind w:firstLine="0" w:firstLineChars="0"/>
              <w:jc w:val="center"/>
              <w:rPr>
                <w:rFonts w:ascii="Times New Roman"/>
                <w:sz w:val="18"/>
                <w:szCs w:val="18"/>
              </w:rPr>
            </w:pPr>
          </w:p>
        </w:tc>
        <w:tc>
          <w:tcPr>
            <w:tcW w:w="2378" w:type="dxa"/>
            <w:vAlign w:val="center"/>
          </w:tcPr>
          <w:p>
            <w:pPr>
              <w:pStyle w:val="258"/>
              <w:ind w:firstLine="0" w:firstLineChars="0"/>
              <w:jc w:val="center"/>
              <w:rPr>
                <w:rFonts w:ascii="Times New Roman"/>
                <w:sz w:val="18"/>
                <w:szCs w:val="18"/>
              </w:rPr>
            </w:pPr>
            <w:r>
              <w:rPr>
                <w:rFonts w:ascii="Times New Roman"/>
                <w:sz w:val="18"/>
                <w:szCs w:val="18"/>
              </w:rPr>
              <w:t>450</w:t>
            </w:r>
          </w:p>
        </w:tc>
        <w:tc>
          <w:tcPr>
            <w:tcW w:w="2379" w:type="dxa"/>
            <w:vAlign w:val="center"/>
          </w:tcPr>
          <w:p>
            <w:pPr>
              <w:pStyle w:val="258"/>
              <w:ind w:firstLine="0" w:firstLineChars="0"/>
              <w:jc w:val="center"/>
              <w:rPr>
                <w:rFonts w:ascii="Times New Roman"/>
                <w:sz w:val="18"/>
                <w:szCs w:val="18"/>
              </w:rPr>
            </w:pPr>
          </w:p>
        </w:tc>
        <w:tc>
          <w:tcPr>
            <w:tcW w:w="1189" w:type="dxa"/>
            <w:vAlign w:val="center"/>
          </w:tcPr>
          <w:p>
            <w:pPr>
              <w:pStyle w:val="258"/>
              <w:ind w:firstLine="0" w:firstLineChars="0"/>
              <w:jc w:val="center"/>
              <w:rPr>
                <w:rFonts w:ascii="Times New Roman"/>
                <w:sz w:val="18"/>
                <w:szCs w:val="18"/>
              </w:rPr>
            </w:pPr>
            <w:r>
              <w:rPr>
                <w:rFonts w:ascii="Times New Roman"/>
                <w:sz w:val="18"/>
                <w:szCs w:val="18"/>
              </w:rPr>
              <w:t>185</w:t>
            </w:r>
          </w:p>
        </w:tc>
        <w:tc>
          <w:tcPr>
            <w:tcW w:w="1190" w:type="dxa"/>
            <w:vAlign w:val="center"/>
          </w:tcPr>
          <w:p>
            <w:pPr>
              <w:pStyle w:val="258"/>
              <w:ind w:firstLine="0" w:firstLineChars="0"/>
              <w:jc w:val="center"/>
              <w:rPr>
                <w:rFonts w:ascii="Times New Roman"/>
                <w:sz w:val="18"/>
                <w:szCs w:val="18"/>
              </w:rPr>
            </w:pPr>
            <w:r>
              <w:rPr>
                <w:rFonts w:ascii="Times New Roman"/>
                <w:sz w:val="18"/>
                <w:szCs w:val="18"/>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restart"/>
            <w:vAlign w:val="center"/>
          </w:tcPr>
          <w:p>
            <w:pPr>
              <w:pStyle w:val="258"/>
              <w:ind w:firstLine="0" w:firstLineChars="0"/>
              <w:jc w:val="center"/>
              <w:rPr>
                <w:rFonts w:ascii="Times New Roman"/>
                <w:sz w:val="18"/>
                <w:szCs w:val="18"/>
              </w:rPr>
            </w:pPr>
            <w:r>
              <w:rPr>
                <w:rFonts w:ascii="Times New Roman"/>
                <w:sz w:val="18"/>
                <w:szCs w:val="18"/>
              </w:rPr>
              <w:t>123（126）</w:t>
            </w:r>
          </w:p>
        </w:tc>
        <w:tc>
          <w:tcPr>
            <w:tcW w:w="2378" w:type="dxa"/>
            <w:vAlign w:val="center"/>
          </w:tcPr>
          <w:p>
            <w:pPr>
              <w:pStyle w:val="258"/>
              <w:ind w:firstLine="0" w:firstLineChars="0"/>
              <w:jc w:val="center"/>
              <w:rPr>
                <w:rFonts w:ascii="Times New Roman"/>
                <w:sz w:val="18"/>
                <w:szCs w:val="18"/>
              </w:rPr>
            </w:pPr>
            <w:r>
              <w:rPr>
                <w:rFonts w:ascii="Times New Roman"/>
                <w:sz w:val="18"/>
                <w:szCs w:val="18"/>
              </w:rPr>
              <w:t>450</w:t>
            </w:r>
          </w:p>
        </w:tc>
        <w:tc>
          <w:tcPr>
            <w:tcW w:w="2379" w:type="dxa"/>
            <w:vAlign w:val="center"/>
          </w:tcPr>
          <w:p>
            <w:pPr>
              <w:pStyle w:val="258"/>
              <w:ind w:firstLine="0" w:firstLineChars="0"/>
              <w:jc w:val="center"/>
              <w:rPr>
                <w:rFonts w:ascii="Times New Roman"/>
                <w:sz w:val="18"/>
                <w:szCs w:val="18"/>
              </w:rPr>
            </w:pPr>
          </w:p>
        </w:tc>
        <w:tc>
          <w:tcPr>
            <w:tcW w:w="1189" w:type="dxa"/>
            <w:vAlign w:val="center"/>
          </w:tcPr>
          <w:p>
            <w:pPr>
              <w:pStyle w:val="258"/>
              <w:ind w:firstLine="0" w:firstLineChars="0"/>
              <w:jc w:val="center"/>
              <w:rPr>
                <w:rFonts w:ascii="Times New Roman"/>
                <w:sz w:val="18"/>
                <w:szCs w:val="18"/>
              </w:rPr>
            </w:pPr>
            <w:r>
              <w:rPr>
                <w:rFonts w:ascii="Times New Roman"/>
                <w:sz w:val="18"/>
                <w:szCs w:val="18"/>
              </w:rPr>
              <w:t>205</w:t>
            </w:r>
          </w:p>
        </w:tc>
        <w:tc>
          <w:tcPr>
            <w:tcW w:w="1190" w:type="dxa"/>
            <w:vAlign w:val="center"/>
          </w:tcPr>
          <w:p>
            <w:pPr>
              <w:pStyle w:val="258"/>
              <w:ind w:firstLine="0" w:firstLineChars="0"/>
              <w:jc w:val="center"/>
              <w:rPr>
                <w:rFonts w:ascii="Times New Roman"/>
                <w:sz w:val="18"/>
                <w:szCs w:val="18"/>
              </w:rPr>
            </w:pPr>
            <w:r>
              <w:rPr>
                <w:rFonts w:ascii="Times New Roman"/>
                <w:sz w:val="18"/>
                <w:szCs w:val="18"/>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vAlign w:val="center"/>
          </w:tcPr>
          <w:p>
            <w:pPr>
              <w:pStyle w:val="258"/>
              <w:ind w:firstLine="0" w:firstLineChars="0"/>
              <w:jc w:val="center"/>
              <w:rPr>
                <w:rFonts w:ascii="Times New Roman"/>
                <w:sz w:val="18"/>
                <w:szCs w:val="18"/>
              </w:rPr>
            </w:pPr>
          </w:p>
        </w:tc>
        <w:tc>
          <w:tcPr>
            <w:tcW w:w="2378" w:type="dxa"/>
            <w:vAlign w:val="center"/>
          </w:tcPr>
          <w:p>
            <w:pPr>
              <w:pStyle w:val="258"/>
              <w:ind w:firstLine="0" w:firstLineChars="0"/>
              <w:jc w:val="center"/>
              <w:rPr>
                <w:rFonts w:ascii="Times New Roman"/>
                <w:sz w:val="18"/>
                <w:szCs w:val="18"/>
              </w:rPr>
            </w:pPr>
            <w:r>
              <w:rPr>
                <w:rFonts w:ascii="Times New Roman"/>
                <w:sz w:val="18"/>
                <w:szCs w:val="18"/>
              </w:rPr>
              <w:t>550</w:t>
            </w:r>
          </w:p>
        </w:tc>
        <w:tc>
          <w:tcPr>
            <w:tcW w:w="2379" w:type="dxa"/>
            <w:vAlign w:val="center"/>
          </w:tcPr>
          <w:p>
            <w:pPr>
              <w:pStyle w:val="258"/>
              <w:ind w:firstLine="0" w:firstLineChars="0"/>
              <w:jc w:val="center"/>
              <w:rPr>
                <w:rFonts w:ascii="Times New Roman"/>
                <w:sz w:val="18"/>
                <w:szCs w:val="18"/>
              </w:rPr>
            </w:pPr>
          </w:p>
        </w:tc>
        <w:tc>
          <w:tcPr>
            <w:tcW w:w="1189" w:type="dxa"/>
            <w:vAlign w:val="center"/>
          </w:tcPr>
          <w:p>
            <w:pPr>
              <w:pStyle w:val="258"/>
              <w:ind w:firstLine="0" w:firstLineChars="0"/>
              <w:jc w:val="center"/>
              <w:rPr>
                <w:rFonts w:ascii="Times New Roman"/>
                <w:sz w:val="18"/>
                <w:szCs w:val="18"/>
              </w:rPr>
            </w:pPr>
            <w:r>
              <w:rPr>
                <w:rFonts w:ascii="Times New Roman"/>
                <w:sz w:val="18"/>
                <w:szCs w:val="18"/>
              </w:rPr>
              <w:t>255</w:t>
            </w:r>
          </w:p>
        </w:tc>
        <w:tc>
          <w:tcPr>
            <w:tcW w:w="1190" w:type="dxa"/>
            <w:vAlign w:val="center"/>
          </w:tcPr>
          <w:p>
            <w:pPr>
              <w:pStyle w:val="258"/>
              <w:ind w:firstLine="0" w:firstLineChars="0"/>
              <w:jc w:val="center"/>
              <w:rPr>
                <w:rFonts w:ascii="Times New Roman"/>
                <w:sz w:val="18"/>
                <w:szCs w:val="18"/>
              </w:rPr>
            </w:pPr>
            <w:r>
              <w:rPr>
                <w:rFonts w:ascii="Times New Roman"/>
                <w:sz w:val="18"/>
                <w:szCs w:val="18"/>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restart"/>
            <w:vAlign w:val="center"/>
          </w:tcPr>
          <w:p>
            <w:pPr>
              <w:pStyle w:val="258"/>
              <w:ind w:firstLine="0" w:firstLineChars="0"/>
              <w:jc w:val="center"/>
              <w:rPr>
                <w:rFonts w:ascii="Times New Roman"/>
                <w:sz w:val="18"/>
                <w:szCs w:val="18"/>
              </w:rPr>
            </w:pPr>
            <w:r>
              <w:rPr>
                <w:rFonts w:ascii="Times New Roman"/>
                <w:sz w:val="18"/>
                <w:szCs w:val="18"/>
              </w:rPr>
              <w:t>145</w:t>
            </w:r>
          </w:p>
        </w:tc>
        <w:tc>
          <w:tcPr>
            <w:tcW w:w="2378" w:type="dxa"/>
            <w:vAlign w:val="center"/>
          </w:tcPr>
          <w:p>
            <w:pPr>
              <w:pStyle w:val="258"/>
              <w:ind w:firstLine="0" w:firstLineChars="0"/>
              <w:jc w:val="center"/>
              <w:rPr>
                <w:rFonts w:ascii="Times New Roman"/>
                <w:sz w:val="18"/>
                <w:szCs w:val="18"/>
              </w:rPr>
            </w:pPr>
            <w:r>
              <w:rPr>
                <w:rFonts w:ascii="Times New Roman"/>
                <w:sz w:val="18"/>
                <w:szCs w:val="18"/>
              </w:rPr>
              <w:t>450</w:t>
            </w:r>
          </w:p>
        </w:tc>
        <w:tc>
          <w:tcPr>
            <w:tcW w:w="2379" w:type="dxa"/>
            <w:vAlign w:val="center"/>
          </w:tcPr>
          <w:p>
            <w:pPr>
              <w:pStyle w:val="258"/>
              <w:ind w:firstLine="0" w:firstLineChars="0"/>
              <w:jc w:val="center"/>
              <w:rPr>
                <w:rFonts w:ascii="Times New Roman"/>
                <w:sz w:val="18"/>
                <w:szCs w:val="18"/>
              </w:rPr>
            </w:pPr>
          </w:p>
        </w:tc>
        <w:tc>
          <w:tcPr>
            <w:tcW w:w="1189" w:type="dxa"/>
            <w:vAlign w:val="center"/>
          </w:tcPr>
          <w:p>
            <w:pPr>
              <w:pStyle w:val="258"/>
              <w:ind w:firstLine="0" w:firstLineChars="0"/>
              <w:jc w:val="center"/>
              <w:rPr>
                <w:rFonts w:ascii="Times New Roman"/>
                <w:sz w:val="18"/>
                <w:szCs w:val="18"/>
              </w:rPr>
            </w:pPr>
            <w:r>
              <w:rPr>
                <w:rFonts w:ascii="Times New Roman"/>
                <w:sz w:val="18"/>
                <w:szCs w:val="18"/>
              </w:rPr>
              <w:t>205</w:t>
            </w:r>
          </w:p>
        </w:tc>
        <w:tc>
          <w:tcPr>
            <w:tcW w:w="1190" w:type="dxa"/>
            <w:vAlign w:val="center"/>
          </w:tcPr>
          <w:p>
            <w:pPr>
              <w:pStyle w:val="258"/>
              <w:ind w:firstLine="0" w:firstLineChars="0"/>
              <w:jc w:val="center"/>
              <w:rPr>
                <w:rFonts w:ascii="Times New Roman"/>
                <w:sz w:val="18"/>
                <w:szCs w:val="18"/>
              </w:rPr>
            </w:pPr>
            <w:r>
              <w:rPr>
                <w:rFonts w:ascii="Times New Roman"/>
                <w:sz w:val="18"/>
                <w:szCs w:val="18"/>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vAlign w:val="center"/>
          </w:tcPr>
          <w:p>
            <w:pPr>
              <w:pStyle w:val="258"/>
              <w:ind w:firstLine="0" w:firstLineChars="0"/>
              <w:jc w:val="center"/>
              <w:rPr>
                <w:rFonts w:ascii="Times New Roman"/>
                <w:sz w:val="18"/>
                <w:szCs w:val="18"/>
              </w:rPr>
            </w:pPr>
          </w:p>
        </w:tc>
        <w:tc>
          <w:tcPr>
            <w:tcW w:w="2378" w:type="dxa"/>
            <w:vAlign w:val="center"/>
          </w:tcPr>
          <w:p>
            <w:pPr>
              <w:pStyle w:val="258"/>
              <w:ind w:firstLine="0" w:firstLineChars="0"/>
              <w:jc w:val="center"/>
              <w:rPr>
                <w:rFonts w:ascii="Times New Roman"/>
                <w:sz w:val="18"/>
                <w:szCs w:val="18"/>
              </w:rPr>
            </w:pPr>
            <w:r>
              <w:rPr>
                <w:rFonts w:ascii="Times New Roman"/>
                <w:sz w:val="18"/>
                <w:szCs w:val="18"/>
              </w:rPr>
              <w:t>550</w:t>
            </w:r>
          </w:p>
        </w:tc>
        <w:tc>
          <w:tcPr>
            <w:tcW w:w="2379" w:type="dxa"/>
            <w:vAlign w:val="center"/>
          </w:tcPr>
          <w:p>
            <w:pPr>
              <w:pStyle w:val="258"/>
              <w:ind w:firstLine="0" w:firstLineChars="0"/>
              <w:jc w:val="center"/>
              <w:rPr>
                <w:rFonts w:ascii="Times New Roman"/>
                <w:sz w:val="18"/>
                <w:szCs w:val="18"/>
              </w:rPr>
            </w:pPr>
          </w:p>
        </w:tc>
        <w:tc>
          <w:tcPr>
            <w:tcW w:w="1189" w:type="dxa"/>
            <w:vAlign w:val="center"/>
          </w:tcPr>
          <w:p>
            <w:pPr>
              <w:pStyle w:val="258"/>
              <w:ind w:firstLine="0" w:firstLineChars="0"/>
              <w:jc w:val="center"/>
              <w:rPr>
                <w:rFonts w:ascii="Times New Roman"/>
                <w:sz w:val="18"/>
                <w:szCs w:val="18"/>
              </w:rPr>
            </w:pPr>
            <w:r>
              <w:rPr>
                <w:rFonts w:ascii="Times New Roman"/>
                <w:sz w:val="18"/>
                <w:szCs w:val="18"/>
              </w:rPr>
              <w:t>255</w:t>
            </w:r>
          </w:p>
        </w:tc>
        <w:tc>
          <w:tcPr>
            <w:tcW w:w="1190" w:type="dxa"/>
            <w:vAlign w:val="center"/>
          </w:tcPr>
          <w:p>
            <w:pPr>
              <w:pStyle w:val="258"/>
              <w:ind w:firstLine="0" w:firstLineChars="0"/>
              <w:jc w:val="center"/>
              <w:rPr>
                <w:rFonts w:ascii="Times New Roman"/>
                <w:sz w:val="18"/>
                <w:szCs w:val="18"/>
              </w:rPr>
            </w:pPr>
            <w:r>
              <w:rPr>
                <w:rFonts w:ascii="Times New Roman"/>
                <w:sz w:val="18"/>
                <w:szCs w:val="18"/>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vAlign w:val="center"/>
          </w:tcPr>
          <w:p>
            <w:pPr>
              <w:pStyle w:val="258"/>
              <w:ind w:firstLine="0" w:firstLineChars="0"/>
              <w:jc w:val="center"/>
              <w:rPr>
                <w:rFonts w:ascii="Times New Roman"/>
                <w:sz w:val="18"/>
                <w:szCs w:val="18"/>
              </w:rPr>
            </w:pPr>
          </w:p>
        </w:tc>
        <w:tc>
          <w:tcPr>
            <w:tcW w:w="2378" w:type="dxa"/>
            <w:vAlign w:val="center"/>
          </w:tcPr>
          <w:p>
            <w:pPr>
              <w:pStyle w:val="258"/>
              <w:ind w:firstLine="0" w:firstLineChars="0"/>
              <w:jc w:val="center"/>
              <w:rPr>
                <w:rFonts w:ascii="Times New Roman"/>
                <w:sz w:val="18"/>
                <w:szCs w:val="18"/>
              </w:rPr>
            </w:pPr>
            <w:r>
              <w:rPr>
                <w:rFonts w:ascii="Times New Roman"/>
                <w:sz w:val="18"/>
                <w:szCs w:val="18"/>
              </w:rPr>
              <w:t>650</w:t>
            </w:r>
          </w:p>
        </w:tc>
        <w:tc>
          <w:tcPr>
            <w:tcW w:w="2379" w:type="dxa"/>
            <w:vAlign w:val="center"/>
          </w:tcPr>
          <w:p>
            <w:pPr>
              <w:pStyle w:val="258"/>
              <w:ind w:firstLine="0" w:firstLineChars="0"/>
              <w:jc w:val="center"/>
              <w:rPr>
                <w:rFonts w:ascii="Times New Roman"/>
                <w:sz w:val="18"/>
                <w:szCs w:val="18"/>
              </w:rPr>
            </w:pPr>
          </w:p>
        </w:tc>
        <w:tc>
          <w:tcPr>
            <w:tcW w:w="1189" w:type="dxa"/>
            <w:vAlign w:val="center"/>
          </w:tcPr>
          <w:p>
            <w:pPr>
              <w:pStyle w:val="258"/>
              <w:ind w:firstLine="0" w:firstLineChars="0"/>
              <w:jc w:val="center"/>
              <w:rPr>
                <w:rFonts w:ascii="Times New Roman"/>
                <w:sz w:val="18"/>
                <w:szCs w:val="18"/>
              </w:rPr>
            </w:pPr>
            <w:r>
              <w:rPr>
                <w:rFonts w:ascii="Times New Roman"/>
                <w:sz w:val="18"/>
                <w:szCs w:val="18"/>
              </w:rPr>
              <w:t>305</w:t>
            </w:r>
          </w:p>
        </w:tc>
        <w:tc>
          <w:tcPr>
            <w:tcW w:w="1190" w:type="dxa"/>
            <w:vAlign w:val="center"/>
          </w:tcPr>
          <w:p>
            <w:pPr>
              <w:pStyle w:val="258"/>
              <w:ind w:firstLine="0" w:firstLineChars="0"/>
              <w:jc w:val="center"/>
              <w:rPr>
                <w:rFonts w:ascii="Times New Roman"/>
                <w:sz w:val="18"/>
                <w:szCs w:val="18"/>
              </w:rPr>
            </w:pPr>
            <w:r>
              <w:rPr>
                <w:rFonts w:ascii="Times New Roman"/>
                <w:sz w:val="18"/>
                <w:szCs w:val="18"/>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restart"/>
            <w:vAlign w:val="center"/>
          </w:tcPr>
          <w:p>
            <w:pPr>
              <w:pStyle w:val="258"/>
              <w:ind w:firstLine="0" w:firstLineChars="0"/>
              <w:jc w:val="center"/>
              <w:rPr>
                <w:rFonts w:ascii="Times New Roman"/>
                <w:sz w:val="18"/>
                <w:szCs w:val="18"/>
              </w:rPr>
            </w:pPr>
            <w:r>
              <w:rPr>
                <w:rFonts w:ascii="Times New Roman"/>
                <w:sz w:val="18"/>
                <w:szCs w:val="18"/>
              </w:rPr>
              <w:t>170</w:t>
            </w:r>
          </w:p>
        </w:tc>
        <w:tc>
          <w:tcPr>
            <w:tcW w:w="2378" w:type="dxa"/>
            <w:vAlign w:val="center"/>
          </w:tcPr>
          <w:p>
            <w:pPr>
              <w:pStyle w:val="258"/>
              <w:ind w:firstLine="0" w:firstLineChars="0"/>
              <w:jc w:val="center"/>
              <w:rPr>
                <w:rFonts w:ascii="Times New Roman"/>
                <w:sz w:val="18"/>
                <w:szCs w:val="18"/>
              </w:rPr>
            </w:pPr>
            <w:r>
              <w:rPr>
                <w:rFonts w:ascii="Times New Roman"/>
                <w:sz w:val="18"/>
                <w:szCs w:val="18"/>
              </w:rPr>
              <w:t>550</w:t>
            </w:r>
          </w:p>
        </w:tc>
        <w:tc>
          <w:tcPr>
            <w:tcW w:w="2379" w:type="dxa"/>
            <w:vAlign w:val="center"/>
          </w:tcPr>
          <w:p>
            <w:pPr>
              <w:pStyle w:val="258"/>
              <w:ind w:firstLine="0" w:firstLineChars="0"/>
              <w:jc w:val="center"/>
              <w:rPr>
                <w:rFonts w:ascii="Times New Roman"/>
                <w:sz w:val="18"/>
                <w:szCs w:val="18"/>
              </w:rPr>
            </w:pPr>
          </w:p>
        </w:tc>
        <w:tc>
          <w:tcPr>
            <w:tcW w:w="1189" w:type="dxa"/>
            <w:vAlign w:val="center"/>
          </w:tcPr>
          <w:p>
            <w:pPr>
              <w:pStyle w:val="258"/>
              <w:ind w:firstLine="0" w:firstLineChars="0"/>
              <w:jc w:val="center"/>
              <w:rPr>
                <w:rFonts w:ascii="Times New Roman"/>
                <w:sz w:val="18"/>
                <w:szCs w:val="18"/>
              </w:rPr>
            </w:pPr>
            <w:r>
              <w:rPr>
                <w:rFonts w:ascii="Times New Roman"/>
                <w:sz w:val="18"/>
                <w:szCs w:val="18"/>
              </w:rPr>
              <w:t>255</w:t>
            </w:r>
          </w:p>
        </w:tc>
        <w:tc>
          <w:tcPr>
            <w:tcW w:w="1190" w:type="dxa"/>
            <w:vAlign w:val="center"/>
          </w:tcPr>
          <w:p>
            <w:pPr>
              <w:pStyle w:val="258"/>
              <w:ind w:firstLine="0" w:firstLineChars="0"/>
              <w:jc w:val="center"/>
              <w:rPr>
                <w:rFonts w:ascii="Times New Roman"/>
                <w:sz w:val="18"/>
                <w:szCs w:val="18"/>
              </w:rPr>
            </w:pPr>
            <w:r>
              <w:rPr>
                <w:rFonts w:ascii="Times New Roman"/>
                <w:sz w:val="18"/>
                <w:szCs w:val="18"/>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vAlign w:val="center"/>
          </w:tcPr>
          <w:p>
            <w:pPr>
              <w:pStyle w:val="258"/>
              <w:ind w:firstLine="0" w:firstLineChars="0"/>
              <w:jc w:val="center"/>
              <w:rPr>
                <w:rFonts w:ascii="Times New Roman"/>
                <w:sz w:val="18"/>
                <w:szCs w:val="18"/>
              </w:rPr>
            </w:pPr>
          </w:p>
        </w:tc>
        <w:tc>
          <w:tcPr>
            <w:tcW w:w="2378" w:type="dxa"/>
            <w:vAlign w:val="center"/>
          </w:tcPr>
          <w:p>
            <w:pPr>
              <w:pStyle w:val="258"/>
              <w:ind w:firstLine="0" w:firstLineChars="0"/>
              <w:jc w:val="center"/>
              <w:rPr>
                <w:rFonts w:ascii="Times New Roman"/>
                <w:sz w:val="18"/>
                <w:szCs w:val="18"/>
              </w:rPr>
            </w:pPr>
            <w:r>
              <w:rPr>
                <w:rFonts w:ascii="Times New Roman"/>
                <w:sz w:val="18"/>
                <w:szCs w:val="18"/>
              </w:rPr>
              <w:t>650</w:t>
            </w:r>
          </w:p>
        </w:tc>
        <w:tc>
          <w:tcPr>
            <w:tcW w:w="2379" w:type="dxa"/>
            <w:vAlign w:val="center"/>
          </w:tcPr>
          <w:p>
            <w:pPr>
              <w:pStyle w:val="258"/>
              <w:ind w:firstLine="0" w:firstLineChars="0"/>
              <w:jc w:val="center"/>
              <w:rPr>
                <w:rFonts w:ascii="Times New Roman"/>
                <w:sz w:val="18"/>
                <w:szCs w:val="18"/>
              </w:rPr>
            </w:pPr>
          </w:p>
        </w:tc>
        <w:tc>
          <w:tcPr>
            <w:tcW w:w="1189" w:type="dxa"/>
            <w:vAlign w:val="center"/>
          </w:tcPr>
          <w:p>
            <w:pPr>
              <w:pStyle w:val="258"/>
              <w:ind w:firstLine="0" w:firstLineChars="0"/>
              <w:jc w:val="center"/>
              <w:rPr>
                <w:rFonts w:ascii="Times New Roman"/>
                <w:sz w:val="18"/>
                <w:szCs w:val="18"/>
              </w:rPr>
            </w:pPr>
            <w:r>
              <w:rPr>
                <w:rFonts w:ascii="Times New Roman"/>
                <w:sz w:val="18"/>
                <w:szCs w:val="18"/>
              </w:rPr>
              <w:t>305</w:t>
            </w:r>
          </w:p>
        </w:tc>
        <w:tc>
          <w:tcPr>
            <w:tcW w:w="1190" w:type="dxa"/>
            <w:vAlign w:val="center"/>
          </w:tcPr>
          <w:p>
            <w:pPr>
              <w:pStyle w:val="258"/>
              <w:ind w:firstLine="0" w:firstLineChars="0"/>
              <w:jc w:val="center"/>
              <w:rPr>
                <w:rFonts w:ascii="Times New Roman"/>
                <w:sz w:val="18"/>
                <w:szCs w:val="18"/>
              </w:rPr>
            </w:pPr>
            <w:r>
              <w:rPr>
                <w:rFonts w:ascii="Times New Roman"/>
                <w:sz w:val="18"/>
                <w:szCs w:val="18"/>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vAlign w:val="center"/>
          </w:tcPr>
          <w:p>
            <w:pPr>
              <w:pStyle w:val="258"/>
              <w:ind w:firstLine="0" w:firstLineChars="0"/>
              <w:jc w:val="center"/>
              <w:rPr>
                <w:rFonts w:ascii="Times New Roman"/>
                <w:sz w:val="18"/>
                <w:szCs w:val="18"/>
              </w:rPr>
            </w:pPr>
          </w:p>
        </w:tc>
        <w:tc>
          <w:tcPr>
            <w:tcW w:w="2378" w:type="dxa"/>
            <w:vAlign w:val="center"/>
          </w:tcPr>
          <w:p>
            <w:pPr>
              <w:pStyle w:val="258"/>
              <w:ind w:firstLine="0" w:firstLineChars="0"/>
              <w:jc w:val="center"/>
              <w:rPr>
                <w:rFonts w:ascii="Times New Roman"/>
                <w:sz w:val="18"/>
                <w:szCs w:val="18"/>
              </w:rPr>
            </w:pPr>
            <w:r>
              <w:rPr>
                <w:rFonts w:ascii="Times New Roman"/>
                <w:sz w:val="18"/>
                <w:szCs w:val="18"/>
              </w:rPr>
              <w:t>750</w:t>
            </w:r>
          </w:p>
        </w:tc>
        <w:tc>
          <w:tcPr>
            <w:tcW w:w="2379" w:type="dxa"/>
            <w:vAlign w:val="center"/>
          </w:tcPr>
          <w:p>
            <w:pPr>
              <w:pStyle w:val="258"/>
              <w:ind w:firstLine="0" w:firstLineChars="0"/>
              <w:jc w:val="center"/>
              <w:rPr>
                <w:rFonts w:ascii="Times New Roman"/>
                <w:sz w:val="18"/>
                <w:szCs w:val="18"/>
              </w:rPr>
            </w:pPr>
          </w:p>
        </w:tc>
        <w:tc>
          <w:tcPr>
            <w:tcW w:w="1189" w:type="dxa"/>
            <w:vAlign w:val="center"/>
          </w:tcPr>
          <w:p>
            <w:pPr>
              <w:pStyle w:val="258"/>
              <w:ind w:firstLine="0" w:firstLineChars="0"/>
              <w:jc w:val="center"/>
              <w:rPr>
                <w:rFonts w:ascii="Times New Roman"/>
                <w:sz w:val="18"/>
                <w:szCs w:val="18"/>
              </w:rPr>
            </w:pPr>
            <w:r>
              <w:rPr>
                <w:rFonts w:ascii="Times New Roman"/>
                <w:sz w:val="18"/>
                <w:szCs w:val="18"/>
              </w:rPr>
              <w:t>355</w:t>
            </w:r>
          </w:p>
        </w:tc>
        <w:tc>
          <w:tcPr>
            <w:tcW w:w="1190" w:type="dxa"/>
            <w:vAlign w:val="center"/>
          </w:tcPr>
          <w:p>
            <w:pPr>
              <w:pStyle w:val="258"/>
              <w:ind w:firstLine="0" w:firstLineChars="0"/>
              <w:jc w:val="center"/>
              <w:rPr>
                <w:rFonts w:ascii="Times New Roman"/>
                <w:sz w:val="18"/>
                <w:szCs w:val="18"/>
              </w:rPr>
            </w:pPr>
            <w:r>
              <w:rPr>
                <w:rFonts w:ascii="Times New Roman"/>
                <w:sz w:val="18"/>
                <w:szCs w:val="18"/>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restart"/>
            <w:vAlign w:val="center"/>
          </w:tcPr>
          <w:p>
            <w:pPr>
              <w:pStyle w:val="258"/>
              <w:ind w:firstLine="0" w:firstLineChars="0"/>
              <w:jc w:val="center"/>
              <w:rPr>
                <w:rFonts w:ascii="Times New Roman"/>
                <w:sz w:val="18"/>
                <w:szCs w:val="18"/>
              </w:rPr>
            </w:pPr>
            <w:r>
              <w:rPr>
                <w:rFonts w:ascii="Times New Roman"/>
                <w:sz w:val="18"/>
                <w:szCs w:val="18"/>
              </w:rPr>
              <w:t>252（245）</w:t>
            </w:r>
          </w:p>
        </w:tc>
        <w:tc>
          <w:tcPr>
            <w:tcW w:w="2378" w:type="dxa"/>
            <w:vMerge w:val="restart"/>
            <w:vAlign w:val="center"/>
          </w:tcPr>
          <w:p>
            <w:pPr>
              <w:pStyle w:val="258"/>
              <w:ind w:firstLine="0" w:firstLineChars="0"/>
              <w:jc w:val="center"/>
              <w:rPr>
                <w:rFonts w:ascii="Times New Roman"/>
                <w:sz w:val="18"/>
                <w:szCs w:val="18"/>
              </w:rPr>
            </w:pPr>
            <w:r>
              <w:rPr>
                <w:rFonts w:ascii="Times New Roman"/>
                <w:sz w:val="18"/>
                <w:szCs w:val="18"/>
              </w:rPr>
              <w:t>950</w:t>
            </w:r>
          </w:p>
        </w:tc>
        <w:tc>
          <w:tcPr>
            <w:tcW w:w="2379" w:type="dxa"/>
            <w:vAlign w:val="center"/>
          </w:tcPr>
          <w:p>
            <w:pPr>
              <w:pStyle w:val="258"/>
              <w:ind w:firstLine="0" w:firstLineChars="0"/>
              <w:jc w:val="center"/>
              <w:rPr>
                <w:rFonts w:ascii="Times New Roman"/>
                <w:sz w:val="18"/>
                <w:szCs w:val="18"/>
              </w:rPr>
            </w:pPr>
            <w:r>
              <w:rPr>
                <w:rFonts w:ascii="Times New Roman"/>
                <w:sz w:val="18"/>
                <w:szCs w:val="18"/>
              </w:rPr>
              <w:t>650</w:t>
            </w:r>
          </w:p>
        </w:tc>
        <w:tc>
          <w:tcPr>
            <w:tcW w:w="1189" w:type="dxa"/>
            <w:vMerge w:val="restart"/>
            <w:vAlign w:val="center"/>
          </w:tcPr>
          <w:p>
            <w:pPr>
              <w:pStyle w:val="258"/>
              <w:ind w:firstLine="0" w:firstLineChars="0"/>
              <w:jc w:val="center"/>
              <w:rPr>
                <w:rFonts w:ascii="Times New Roman"/>
                <w:sz w:val="18"/>
                <w:szCs w:val="18"/>
              </w:rPr>
            </w:pPr>
            <w:r>
              <w:rPr>
                <w:rFonts w:ascii="Times New Roman"/>
                <w:sz w:val="18"/>
                <w:szCs w:val="18"/>
              </w:rPr>
              <w:t>435</w:t>
            </w:r>
          </w:p>
        </w:tc>
        <w:tc>
          <w:tcPr>
            <w:tcW w:w="1190" w:type="dxa"/>
            <w:vMerge w:val="restart"/>
            <w:vAlign w:val="center"/>
          </w:tcPr>
          <w:p>
            <w:pPr>
              <w:pStyle w:val="258"/>
              <w:ind w:firstLine="0" w:firstLineChars="0"/>
              <w:jc w:val="center"/>
              <w:rPr>
                <w:rFonts w:ascii="Times New Roman"/>
                <w:sz w:val="18"/>
                <w:szCs w:val="18"/>
              </w:rPr>
            </w:pPr>
            <w:r>
              <w:rPr>
                <w:rFonts w:ascii="Times New Roman"/>
                <w:sz w:val="18"/>
                <w:szCs w:val="18"/>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vAlign w:val="center"/>
          </w:tcPr>
          <w:p>
            <w:pPr>
              <w:pStyle w:val="258"/>
              <w:ind w:firstLine="0" w:firstLineChars="0"/>
              <w:jc w:val="center"/>
              <w:rPr>
                <w:rFonts w:ascii="Times New Roman"/>
                <w:sz w:val="18"/>
                <w:szCs w:val="18"/>
              </w:rPr>
            </w:pPr>
          </w:p>
        </w:tc>
        <w:tc>
          <w:tcPr>
            <w:tcW w:w="2378" w:type="dxa"/>
            <w:vMerge w:val="continue"/>
            <w:vAlign w:val="center"/>
          </w:tcPr>
          <w:p>
            <w:pPr>
              <w:pStyle w:val="258"/>
              <w:ind w:firstLine="0" w:firstLineChars="0"/>
              <w:jc w:val="center"/>
              <w:rPr>
                <w:rFonts w:ascii="Times New Roman"/>
                <w:sz w:val="18"/>
                <w:szCs w:val="18"/>
              </w:rPr>
            </w:pPr>
          </w:p>
        </w:tc>
        <w:tc>
          <w:tcPr>
            <w:tcW w:w="2379" w:type="dxa"/>
            <w:vAlign w:val="center"/>
          </w:tcPr>
          <w:p>
            <w:pPr>
              <w:pStyle w:val="258"/>
              <w:ind w:firstLine="0" w:firstLineChars="0"/>
              <w:jc w:val="center"/>
              <w:rPr>
                <w:rFonts w:ascii="Times New Roman"/>
                <w:sz w:val="18"/>
                <w:szCs w:val="18"/>
              </w:rPr>
            </w:pPr>
            <w:r>
              <w:rPr>
                <w:rFonts w:ascii="Times New Roman"/>
                <w:sz w:val="18"/>
                <w:szCs w:val="18"/>
              </w:rPr>
              <w:t>750</w:t>
            </w:r>
          </w:p>
        </w:tc>
        <w:tc>
          <w:tcPr>
            <w:tcW w:w="1189" w:type="dxa"/>
            <w:vMerge w:val="continue"/>
            <w:vAlign w:val="center"/>
          </w:tcPr>
          <w:p>
            <w:pPr>
              <w:pStyle w:val="258"/>
              <w:ind w:firstLine="0" w:firstLineChars="0"/>
              <w:jc w:val="center"/>
              <w:rPr>
                <w:rFonts w:ascii="Times New Roman"/>
                <w:sz w:val="18"/>
                <w:szCs w:val="18"/>
              </w:rPr>
            </w:pPr>
          </w:p>
        </w:tc>
        <w:tc>
          <w:tcPr>
            <w:tcW w:w="1190" w:type="dxa"/>
            <w:vMerge w:val="continue"/>
            <w:vAlign w:val="center"/>
          </w:tcPr>
          <w:p>
            <w:pPr>
              <w:pStyle w:val="258"/>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vAlign w:val="center"/>
          </w:tcPr>
          <w:p>
            <w:pPr>
              <w:pStyle w:val="258"/>
              <w:ind w:firstLine="0" w:firstLineChars="0"/>
              <w:jc w:val="center"/>
              <w:rPr>
                <w:rFonts w:ascii="Times New Roman"/>
                <w:sz w:val="18"/>
                <w:szCs w:val="18"/>
              </w:rPr>
            </w:pPr>
          </w:p>
        </w:tc>
        <w:tc>
          <w:tcPr>
            <w:tcW w:w="2378" w:type="dxa"/>
            <w:vMerge w:val="continue"/>
            <w:vAlign w:val="center"/>
          </w:tcPr>
          <w:p>
            <w:pPr>
              <w:pStyle w:val="258"/>
              <w:ind w:firstLine="0" w:firstLineChars="0"/>
              <w:jc w:val="center"/>
              <w:rPr>
                <w:rFonts w:ascii="Times New Roman"/>
                <w:sz w:val="18"/>
                <w:szCs w:val="18"/>
              </w:rPr>
            </w:pPr>
          </w:p>
        </w:tc>
        <w:tc>
          <w:tcPr>
            <w:tcW w:w="2379" w:type="dxa"/>
            <w:vAlign w:val="center"/>
          </w:tcPr>
          <w:p>
            <w:pPr>
              <w:pStyle w:val="258"/>
              <w:ind w:firstLine="0" w:firstLineChars="0"/>
              <w:jc w:val="center"/>
              <w:rPr>
                <w:rFonts w:ascii="Times New Roman"/>
                <w:sz w:val="18"/>
                <w:szCs w:val="18"/>
              </w:rPr>
            </w:pPr>
            <w:r>
              <w:rPr>
                <w:rFonts w:ascii="Times New Roman"/>
                <w:sz w:val="18"/>
                <w:szCs w:val="18"/>
              </w:rPr>
              <w:t>850</w:t>
            </w:r>
          </w:p>
        </w:tc>
        <w:tc>
          <w:tcPr>
            <w:tcW w:w="1189" w:type="dxa"/>
            <w:vMerge w:val="continue"/>
            <w:vAlign w:val="center"/>
          </w:tcPr>
          <w:p>
            <w:pPr>
              <w:pStyle w:val="258"/>
              <w:ind w:firstLine="0" w:firstLineChars="0"/>
              <w:jc w:val="center"/>
              <w:rPr>
                <w:rFonts w:ascii="Times New Roman"/>
                <w:sz w:val="18"/>
                <w:szCs w:val="18"/>
              </w:rPr>
            </w:pPr>
          </w:p>
        </w:tc>
        <w:tc>
          <w:tcPr>
            <w:tcW w:w="1190" w:type="dxa"/>
            <w:vMerge w:val="continue"/>
            <w:vAlign w:val="center"/>
          </w:tcPr>
          <w:p>
            <w:pPr>
              <w:pStyle w:val="258"/>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vAlign w:val="center"/>
          </w:tcPr>
          <w:p>
            <w:pPr>
              <w:pStyle w:val="258"/>
              <w:ind w:firstLine="0" w:firstLineChars="0"/>
              <w:jc w:val="center"/>
              <w:rPr>
                <w:rFonts w:ascii="Times New Roman"/>
                <w:sz w:val="18"/>
                <w:szCs w:val="18"/>
              </w:rPr>
            </w:pPr>
          </w:p>
        </w:tc>
        <w:tc>
          <w:tcPr>
            <w:tcW w:w="2378" w:type="dxa"/>
            <w:vMerge w:val="restart"/>
            <w:vAlign w:val="center"/>
          </w:tcPr>
          <w:p>
            <w:pPr>
              <w:pStyle w:val="258"/>
              <w:ind w:firstLine="0" w:firstLineChars="0"/>
              <w:jc w:val="center"/>
              <w:rPr>
                <w:rFonts w:ascii="Times New Roman"/>
                <w:sz w:val="18"/>
                <w:szCs w:val="18"/>
              </w:rPr>
            </w:pPr>
            <w:r>
              <w:rPr>
                <w:rFonts w:ascii="Times New Roman"/>
                <w:sz w:val="18"/>
                <w:szCs w:val="18"/>
              </w:rPr>
              <w:t>1050</w:t>
            </w:r>
          </w:p>
        </w:tc>
        <w:tc>
          <w:tcPr>
            <w:tcW w:w="2379" w:type="dxa"/>
            <w:vAlign w:val="center"/>
          </w:tcPr>
          <w:p>
            <w:pPr>
              <w:pStyle w:val="258"/>
              <w:ind w:firstLine="0" w:firstLineChars="0"/>
              <w:jc w:val="center"/>
              <w:rPr>
                <w:rFonts w:ascii="Times New Roman"/>
                <w:sz w:val="18"/>
                <w:szCs w:val="18"/>
              </w:rPr>
            </w:pPr>
            <w:r>
              <w:rPr>
                <w:rFonts w:ascii="Times New Roman"/>
                <w:sz w:val="18"/>
                <w:szCs w:val="18"/>
              </w:rPr>
              <w:t>750</w:t>
            </w:r>
          </w:p>
        </w:tc>
        <w:tc>
          <w:tcPr>
            <w:tcW w:w="1189" w:type="dxa"/>
            <w:vMerge w:val="restart"/>
            <w:vAlign w:val="center"/>
          </w:tcPr>
          <w:p>
            <w:pPr>
              <w:pStyle w:val="258"/>
              <w:ind w:firstLine="0" w:firstLineChars="0"/>
              <w:jc w:val="center"/>
              <w:rPr>
                <w:rFonts w:ascii="Times New Roman"/>
                <w:sz w:val="18"/>
                <w:szCs w:val="18"/>
              </w:rPr>
            </w:pPr>
            <w:r>
              <w:rPr>
                <w:rFonts w:ascii="Times New Roman"/>
                <w:sz w:val="18"/>
                <w:szCs w:val="18"/>
              </w:rPr>
              <w:t>505</w:t>
            </w:r>
          </w:p>
        </w:tc>
        <w:tc>
          <w:tcPr>
            <w:tcW w:w="1190" w:type="dxa"/>
            <w:vMerge w:val="restart"/>
            <w:vAlign w:val="center"/>
          </w:tcPr>
          <w:p>
            <w:pPr>
              <w:pStyle w:val="258"/>
              <w:ind w:firstLine="0" w:firstLineChars="0"/>
              <w:jc w:val="center"/>
              <w:rPr>
                <w:rFonts w:ascii="Times New Roman"/>
                <w:sz w:val="18"/>
                <w:szCs w:val="18"/>
              </w:rPr>
            </w:pPr>
            <w:r>
              <w:rPr>
                <w:rFonts w:ascii="Times New Roman"/>
                <w:sz w:val="18"/>
                <w:szCs w:val="18"/>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vAlign w:val="center"/>
          </w:tcPr>
          <w:p>
            <w:pPr>
              <w:pStyle w:val="258"/>
              <w:ind w:firstLine="0" w:firstLineChars="0"/>
              <w:jc w:val="center"/>
              <w:rPr>
                <w:rFonts w:ascii="Times New Roman"/>
                <w:sz w:val="18"/>
                <w:szCs w:val="18"/>
              </w:rPr>
            </w:pPr>
          </w:p>
        </w:tc>
        <w:tc>
          <w:tcPr>
            <w:tcW w:w="2378" w:type="dxa"/>
            <w:vMerge w:val="continue"/>
            <w:vAlign w:val="center"/>
          </w:tcPr>
          <w:p>
            <w:pPr>
              <w:pStyle w:val="258"/>
              <w:ind w:firstLine="0" w:firstLineChars="0"/>
              <w:jc w:val="center"/>
              <w:rPr>
                <w:rFonts w:ascii="Times New Roman"/>
                <w:sz w:val="18"/>
                <w:szCs w:val="18"/>
              </w:rPr>
            </w:pPr>
          </w:p>
        </w:tc>
        <w:tc>
          <w:tcPr>
            <w:tcW w:w="2379" w:type="dxa"/>
            <w:vAlign w:val="center"/>
          </w:tcPr>
          <w:p>
            <w:pPr>
              <w:pStyle w:val="258"/>
              <w:ind w:firstLine="0" w:firstLineChars="0"/>
              <w:jc w:val="center"/>
              <w:rPr>
                <w:rFonts w:ascii="Times New Roman"/>
                <w:sz w:val="18"/>
                <w:szCs w:val="18"/>
              </w:rPr>
            </w:pPr>
            <w:r>
              <w:rPr>
                <w:rFonts w:ascii="Times New Roman"/>
                <w:sz w:val="18"/>
                <w:szCs w:val="18"/>
              </w:rPr>
              <w:t>850</w:t>
            </w:r>
          </w:p>
        </w:tc>
        <w:tc>
          <w:tcPr>
            <w:tcW w:w="1189" w:type="dxa"/>
            <w:vMerge w:val="continue"/>
            <w:vAlign w:val="center"/>
          </w:tcPr>
          <w:p>
            <w:pPr>
              <w:pStyle w:val="258"/>
              <w:ind w:firstLine="0" w:firstLineChars="0"/>
              <w:jc w:val="center"/>
              <w:rPr>
                <w:rFonts w:ascii="Times New Roman"/>
                <w:sz w:val="18"/>
                <w:szCs w:val="18"/>
              </w:rPr>
            </w:pPr>
          </w:p>
        </w:tc>
        <w:tc>
          <w:tcPr>
            <w:tcW w:w="1190" w:type="dxa"/>
            <w:vMerge w:val="continue"/>
            <w:vAlign w:val="center"/>
          </w:tcPr>
          <w:p>
            <w:pPr>
              <w:pStyle w:val="258"/>
              <w:ind w:firstLine="0" w:firstLineChars="0"/>
              <w:jc w:val="center"/>
              <w:rPr>
                <w:rFonts w:ascii="Times New Roman"/>
                <w:sz w:val="18"/>
                <w:szCs w:val="18"/>
              </w:rPr>
            </w:pPr>
          </w:p>
        </w:tc>
      </w:tr>
    </w:tbl>
    <w:p>
      <w:pPr>
        <w:pStyle w:val="259"/>
      </w:pPr>
      <w:bookmarkStart w:id="88" w:name="_Toc180511526"/>
      <w:r>
        <w:rPr>
          <w:rFonts w:hint="eastAsia"/>
        </w:rPr>
        <w:t>技术性能要求</w:t>
      </w:r>
      <w:bookmarkEnd w:id="88"/>
    </w:p>
    <w:p>
      <w:pPr>
        <w:pStyle w:val="260"/>
        <w:ind w:left="0" w:firstLine="0"/>
      </w:pPr>
      <w:bookmarkStart w:id="89" w:name="_Toc180511527"/>
      <w:r>
        <w:rPr>
          <w:rFonts w:hint="eastAsia"/>
        </w:rPr>
        <w:t>空心绝缘子性能要求</w:t>
      </w:r>
      <w:bookmarkEnd w:id="89"/>
    </w:p>
    <w:p>
      <w:pPr>
        <w:pStyle w:val="258"/>
        <w:ind w:firstLine="420"/>
      </w:pPr>
      <w:r>
        <w:t>套管</w:t>
      </w:r>
      <w:r>
        <w:rPr>
          <w:rFonts w:hint="eastAsia"/>
        </w:rPr>
        <w:t>的空心绝缘子</w:t>
      </w:r>
      <w:r>
        <w:t>应满足以下要求</w:t>
      </w:r>
      <w:r>
        <w:rPr>
          <w:rFonts w:hint="eastAsia"/>
        </w:rPr>
        <w:t>：</w:t>
      </w:r>
    </w:p>
    <w:p>
      <w:pPr>
        <w:numPr>
          <w:ilvl w:val="0"/>
          <w:numId w:val="30"/>
        </w:numPr>
        <w:ind w:left="705" w:leftChars="203" w:hanging="279" w:hangingChars="133"/>
      </w:pPr>
      <w:r>
        <w:t>套管</w:t>
      </w:r>
      <w:r>
        <w:rPr>
          <w:rFonts w:hint="eastAsia"/>
        </w:rPr>
        <w:t>的</w:t>
      </w:r>
      <w:r>
        <w:t>空心绝缘子的外形结构应符合GB/T 26218的规定；</w:t>
      </w:r>
    </w:p>
    <w:p>
      <w:pPr>
        <w:numPr>
          <w:ilvl w:val="0"/>
          <w:numId w:val="30"/>
        </w:numPr>
        <w:ind w:left="705" w:leftChars="203" w:hanging="279" w:hangingChars="133"/>
      </w:pPr>
      <w:r>
        <w:t>套管的空心瓷绝缘子应符合GB/T 23752—2009的规定；</w:t>
      </w:r>
    </w:p>
    <w:p>
      <w:pPr>
        <w:numPr>
          <w:ilvl w:val="0"/>
          <w:numId w:val="30"/>
        </w:numPr>
        <w:ind w:left="705" w:leftChars="203" w:hanging="279" w:hangingChars="133"/>
      </w:pPr>
      <w:r>
        <w:t>套管</w:t>
      </w:r>
      <w:r>
        <w:rPr>
          <w:rFonts w:hint="eastAsia"/>
        </w:rPr>
        <w:t>的</w:t>
      </w:r>
      <w:r>
        <w:t>空心复合绝缘子的</w:t>
      </w:r>
      <w:r>
        <w:rPr>
          <w:rFonts w:hint="eastAsia"/>
        </w:rPr>
        <w:t>伞裙、护套和管材料性能及其他</w:t>
      </w:r>
      <w:r>
        <w:t>技术</w:t>
      </w:r>
      <w:r>
        <w:rPr>
          <w:rFonts w:hint="eastAsia"/>
        </w:rPr>
        <w:t>性能</w:t>
      </w:r>
      <w:r>
        <w:t>应</w:t>
      </w:r>
      <w:r>
        <w:rPr>
          <w:rFonts w:hint="eastAsia"/>
        </w:rPr>
        <w:t>满足</w:t>
      </w:r>
      <w:r>
        <w:t>GB/T 21429—2008的</w:t>
      </w:r>
      <w:r>
        <w:rPr>
          <w:rFonts w:hint="eastAsia"/>
        </w:rPr>
        <w:t>要求</w:t>
      </w:r>
      <w:r>
        <w:t>。</w:t>
      </w:r>
    </w:p>
    <w:p>
      <w:pPr>
        <w:pStyle w:val="260"/>
        <w:ind w:left="0" w:firstLine="0"/>
      </w:pPr>
      <w:bookmarkStart w:id="90" w:name="_Toc129097033"/>
      <w:bookmarkStart w:id="91" w:name="_Toc180511528"/>
      <w:bookmarkStart w:id="92" w:name="_Toc475092994"/>
      <w:r>
        <w:t>套管的介质损耗因数（</w:t>
      </w:r>
      <w:r>
        <w:rPr>
          <w:rFonts w:ascii="Times New Roman"/>
          <w:b/>
        </w:rPr>
        <w:t>tan</w:t>
      </w:r>
      <w:r>
        <w:rPr>
          <w:rFonts w:ascii="Times New Roman"/>
          <w:b/>
          <w:i/>
        </w:rPr>
        <w:t>δ</w:t>
      </w:r>
      <w:r>
        <w:t>）</w:t>
      </w:r>
      <w:bookmarkEnd w:id="90"/>
      <w:bookmarkEnd w:id="91"/>
      <w:bookmarkEnd w:id="92"/>
    </w:p>
    <w:p>
      <w:pPr>
        <w:pStyle w:val="258"/>
        <w:ind w:firstLine="420"/>
      </w:pPr>
      <w:r>
        <w:t>套管的</w:t>
      </w:r>
      <w:r>
        <w:rPr>
          <w:rFonts w:ascii="Times New Roman"/>
        </w:rPr>
        <w:t>tan</w:t>
      </w:r>
      <w:r>
        <w:rPr>
          <w:i/>
        </w:rPr>
        <w:t>δ</w:t>
      </w:r>
      <w:r>
        <w:t>最大值应符合表</w:t>
      </w:r>
      <w:r>
        <w:rPr>
          <w:rFonts w:hint="eastAsia"/>
        </w:rPr>
        <w:t>3</w:t>
      </w:r>
      <w:r>
        <w:t>的规定。</w:t>
      </w:r>
    </w:p>
    <w:p>
      <w:pPr>
        <w:tabs>
          <w:tab w:val="left" w:pos="360"/>
        </w:tabs>
        <w:spacing w:before="156" w:beforeLines="50" w:after="156" w:afterLines="50"/>
        <w:jc w:val="center"/>
        <w:rPr>
          <w:rFonts w:ascii="黑体" w:eastAsia="黑体"/>
          <w:szCs w:val="21"/>
        </w:rPr>
      </w:pPr>
      <w:r>
        <w:rPr>
          <w:rFonts w:hint="eastAsia" w:ascii="黑体" w:eastAsia="黑体"/>
          <w:szCs w:val="21"/>
        </w:rPr>
        <w:t>表3 套管的</w:t>
      </w:r>
      <w:r>
        <w:rPr>
          <w:rFonts w:eastAsia="黑体"/>
          <w:szCs w:val="21"/>
        </w:rPr>
        <w:t>tan</w:t>
      </w:r>
      <w:r>
        <w:rPr>
          <w:rFonts w:eastAsia="黑体"/>
          <w:i/>
          <w:iCs/>
          <w:szCs w:val="21"/>
        </w:rPr>
        <w:t>δ</w:t>
      </w:r>
      <w:r>
        <w:rPr>
          <w:rFonts w:hint="eastAsia" w:ascii="黑体" w:eastAsia="黑体"/>
          <w:szCs w:val="21"/>
        </w:rPr>
        <w:t>最大值（20℃下）</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2502"/>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exact"/>
          <w:tblHeader/>
          <w:jc w:val="center"/>
        </w:trPr>
        <w:tc>
          <w:tcPr>
            <w:tcW w:w="0" w:type="auto"/>
            <w:vAlign w:val="center"/>
          </w:tcPr>
          <w:p>
            <w:pPr>
              <w:jc w:val="center"/>
              <w:rPr>
                <w:rFonts w:hint="eastAsia" w:ascii="宋体" w:hAnsi="宋体"/>
                <w:color w:val="000000"/>
                <w:sz w:val="18"/>
                <w:szCs w:val="18"/>
              </w:rPr>
            </w:pPr>
            <w:r>
              <w:rPr>
                <w:rFonts w:ascii="宋体" w:hAnsi="宋体"/>
                <w:color w:val="000000"/>
                <w:sz w:val="18"/>
                <w:szCs w:val="18"/>
              </w:rPr>
              <w:t>套管</w:t>
            </w:r>
            <w:r>
              <w:rPr>
                <w:rFonts w:hint="eastAsia" w:ascii="宋体" w:hAnsi="宋体"/>
                <w:color w:val="000000"/>
                <w:sz w:val="18"/>
                <w:szCs w:val="18"/>
              </w:rPr>
              <w:t>绝缘类型</w:t>
            </w:r>
          </w:p>
        </w:tc>
        <w:tc>
          <w:tcPr>
            <w:tcW w:w="0" w:type="auto"/>
            <w:vAlign w:val="center"/>
          </w:tcPr>
          <w:p>
            <w:pPr>
              <w:spacing w:line="280" w:lineRule="exact"/>
              <w:jc w:val="center"/>
              <w:rPr>
                <w:color w:val="000000"/>
                <w:sz w:val="18"/>
                <w:szCs w:val="18"/>
              </w:rPr>
            </w:pPr>
            <w:r>
              <w:rPr>
                <w:color w:val="000000"/>
                <w:sz w:val="18"/>
                <w:szCs w:val="18"/>
              </w:rPr>
              <w:t xml:space="preserve">1.05 </w:t>
            </w:r>
            <w:r>
              <w:rPr>
                <w:i/>
                <w:color w:val="000000"/>
                <w:sz w:val="18"/>
                <w:szCs w:val="18"/>
              </w:rPr>
              <w:t>U</w:t>
            </w:r>
            <w:r>
              <w:rPr>
                <w:color w:val="000000"/>
                <w:sz w:val="18"/>
                <w:szCs w:val="18"/>
                <w:vertAlign w:val="subscript"/>
              </w:rPr>
              <w:t>m</w:t>
            </w:r>
            <w:r>
              <w:rPr>
                <w:color w:val="000000"/>
                <w:sz w:val="18"/>
                <w:szCs w:val="18"/>
              </w:rPr>
              <w:t xml:space="preserve"> /</w:t>
            </w:r>
            <w:r>
              <w:rPr>
                <w:color w:val="000000"/>
                <w:position w:val="-6"/>
                <w:sz w:val="18"/>
                <w:szCs w:val="18"/>
                <w:vertAlign w:val="subscript"/>
              </w:rPr>
              <w:object>
                <v:shape id="_x0000_i1025" o:spt="75" type="#_x0000_t75" style="height:14.5pt;width:17.5pt;" o:ole="t" fillcolor="#FFFFFF"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hAnsi="宋体"/>
                <w:color w:val="000000"/>
                <w:sz w:val="18"/>
                <w:szCs w:val="18"/>
              </w:rPr>
              <w:t>电压下的最大值</w:t>
            </w:r>
          </w:p>
        </w:tc>
        <w:tc>
          <w:tcPr>
            <w:tcW w:w="0" w:type="auto"/>
            <w:vAlign w:val="center"/>
          </w:tcPr>
          <w:p>
            <w:pPr>
              <w:jc w:val="center"/>
              <w:rPr>
                <w:color w:val="000000"/>
                <w:sz w:val="18"/>
                <w:szCs w:val="18"/>
              </w:rPr>
            </w:pPr>
            <w:r>
              <w:rPr>
                <w:rFonts w:hAnsi="宋体"/>
                <w:color w:val="000000"/>
                <w:sz w:val="18"/>
                <w:szCs w:val="18"/>
              </w:rPr>
              <w:t>电压从</w:t>
            </w:r>
            <w:r>
              <w:rPr>
                <w:color w:val="000000"/>
                <w:sz w:val="18"/>
                <w:szCs w:val="18"/>
              </w:rPr>
              <w:t>1.05</w:t>
            </w:r>
            <w:r>
              <w:rPr>
                <w:i/>
                <w:color w:val="000000"/>
                <w:sz w:val="18"/>
                <w:szCs w:val="18"/>
              </w:rPr>
              <w:t xml:space="preserve"> U</w:t>
            </w:r>
            <w:r>
              <w:rPr>
                <w:color w:val="000000"/>
                <w:sz w:val="18"/>
                <w:szCs w:val="18"/>
                <w:vertAlign w:val="subscript"/>
              </w:rPr>
              <w:t xml:space="preserve">m </w:t>
            </w:r>
            <w:r>
              <w:rPr>
                <w:color w:val="000000"/>
                <w:sz w:val="18"/>
                <w:szCs w:val="18"/>
              </w:rPr>
              <w:t>/</w:t>
            </w:r>
            <w:r>
              <w:rPr>
                <w:color w:val="000000"/>
                <w:position w:val="-6"/>
                <w:sz w:val="18"/>
                <w:szCs w:val="18"/>
                <w:vertAlign w:val="subscript"/>
              </w:rPr>
              <w:object>
                <v:shape id="_x0000_i1026" o:spt="75" type="#_x0000_t75" style="height:14.5pt;width:17.5pt;" o:ole="t" fillcolor="#FFFFFF"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5">
                  <o:LockedField>false</o:LockedField>
                </o:OLEObject>
              </w:object>
            </w:r>
            <w:r>
              <w:rPr>
                <w:rFonts w:hAnsi="宋体"/>
                <w:color w:val="000000"/>
                <w:sz w:val="18"/>
                <w:szCs w:val="18"/>
              </w:rPr>
              <w:t>到</w:t>
            </w:r>
            <w:r>
              <w:rPr>
                <w:i/>
                <w:color w:val="000000"/>
                <w:sz w:val="18"/>
                <w:szCs w:val="18"/>
              </w:rPr>
              <w:t>U</w:t>
            </w:r>
            <w:r>
              <w:rPr>
                <w:color w:val="000000"/>
                <w:sz w:val="18"/>
                <w:szCs w:val="18"/>
                <w:vertAlign w:val="subscript"/>
              </w:rPr>
              <w:t>m</w:t>
            </w:r>
            <w:r>
              <w:rPr>
                <w:rFonts w:hint="eastAsia"/>
                <w:color w:val="000000"/>
                <w:sz w:val="18"/>
                <w:szCs w:val="18"/>
                <w:vertAlign w:val="superscript"/>
              </w:rPr>
              <w:t>a</w:t>
            </w:r>
            <w:r>
              <w:rPr>
                <w:rFonts w:hAnsi="宋体"/>
                <w:color w:val="000000"/>
                <w:sz w:val="18"/>
                <w:szCs w:val="18"/>
              </w:rPr>
              <w:t>的最大允许增值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jc w:val="center"/>
        </w:trPr>
        <w:tc>
          <w:tcPr>
            <w:tcW w:w="0" w:type="auto"/>
            <w:vAlign w:val="center"/>
          </w:tcPr>
          <w:p>
            <w:pPr>
              <w:jc w:val="center"/>
              <w:rPr>
                <w:rFonts w:hint="eastAsia" w:ascii="宋体" w:hAnsi="宋体"/>
                <w:color w:val="000000"/>
                <w:sz w:val="18"/>
                <w:szCs w:val="18"/>
              </w:rPr>
            </w:pPr>
            <w:r>
              <w:rPr>
                <w:rFonts w:ascii="宋体" w:hAnsi="宋体"/>
                <w:color w:val="000000"/>
                <w:sz w:val="18"/>
                <w:szCs w:val="18"/>
              </w:rPr>
              <w:t>油浸纸</w:t>
            </w:r>
          </w:p>
        </w:tc>
        <w:tc>
          <w:tcPr>
            <w:tcW w:w="0" w:type="auto"/>
            <w:vAlign w:val="center"/>
          </w:tcPr>
          <w:p>
            <w:pPr>
              <w:jc w:val="center"/>
              <w:rPr>
                <w:sz w:val="18"/>
                <w:szCs w:val="18"/>
                <w:vertAlign w:val="superscript"/>
              </w:rPr>
            </w:pPr>
            <w:r>
              <w:rPr>
                <w:rFonts w:hint="eastAsia"/>
                <w:sz w:val="18"/>
                <w:szCs w:val="18"/>
              </w:rPr>
              <w:t>0.007</w:t>
            </w:r>
          </w:p>
        </w:tc>
        <w:tc>
          <w:tcPr>
            <w:tcW w:w="0" w:type="auto"/>
            <w:vAlign w:val="center"/>
          </w:tcPr>
          <w:p>
            <w:pPr>
              <w:jc w:val="center"/>
              <w:rPr>
                <w:color w:val="000000"/>
                <w:sz w:val="18"/>
                <w:szCs w:val="18"/>
              </w:rPr>
            </w:pPr>
            <w:r>
              <w:rPr>
                <w:rFonts w:hint="eastAsia"/>
                <w:color w:val="000000"/>
                <w:sz w:val="18"/>
                <w:szCs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 w:hRule="atLeast"/>
          <w:tblHeader/>
          <w:jc w:val="center"/>
        </w:trPr>
        <w:tc>
          <w:tcPr>
            <w:tcW w:w="0" w:type="auto"/>
            <w:vAlign w:val="center"/>
          </w:tcPr>
          <w:p>
            <w:pPr>
              <w:jc w:val="center"/>
              <w:rPr>
                <w:rFonts w:hint="eastAsia" w:ascii="宋体" w:hAnsi="宋体"/>
                <w:color w:val="000000"/>
                <w:sz w:val="18"/>
                <w:szCs w:val="18"/>
              </w:rPr>
            </w:pPr>
            <w:r>
              <w:rPr>
                <w:rFonts w:ascii="宋体" w:hAnsi="宋体"/>
                <w:color w:val="000000"/>
                <w:sz w:val="18"/>
                <w:szCs w:val="18"/>
              </w:rPr>
              <w:t>胶浸纸</w:t>
            </w:r>
          </w:p>
        </w:tc>
        <w:tc>
          <w:tcPr>
            <w:tcW w:w="0" w:type="auto"/>
            <w:vAlign w:val="center"/>
          </w:tcPr>
          <w:p>
            <w:pPr>
              <w:jc w:val="center"/>
              <w:rPr>
                <w:sz w:val="18"/>
                <w:szCs w:val="18"/>
              </w:rPr>
            </w:pPr>
            <w:r>
              <w:rPr>
                <w:rFonts w:hint="eastAsia"/>
                <w:sz w:val="18"/>
                <w:szCs w:val="18"/>
              </w:rPr>
              <w:t>0.007</w:t>
            </w:r>
          </w:p>
        </w:tc>
        <w:tc>
          <w:tcPr>
            <w:tcW w:w="0" w:type="auto"/>
            <w:vAlign w:val="center"/>
          </w:tcPr>
          <w:p>
            <w:pPr>
              <w:jc w:val="center"/>
              <w:rPr>
                <w:color w:val="000000"/>
                <w:sz w:val="18"/>
                <w:szCs w:val="18"/>
              </w:rPr>
            </w:pPr>
            <w:r>
              <w:rPr>
                <w:rFonts w:hint="eastAsia"/>
                <w:color w:val="000000"/>
                <w:sz w:val="18"/>
                <w:szCs w:val="18"/>
              </w:rPr>
              <w:t>0.001</w:t>
            </w:r>
          </w:p>
        </w:tc>
      </w:tr>
    </w:tbl>
    <w:p>
      <w:pPr>
        <w:tabs>
          <w:tab w:val="left" w:pos="360"/>
        </w:tabs>
        <w:spacing w:before="156" w:beforeLines="50" w:after="156" w:afterLines="50"/>
        <w:jc w:val="center"/>
        <w:rPr>
          <w:rFonts w:ascii="黑体" w:eastAsia="黑体"/>
          <w:szCs w:val="21"/>
        </w:rPr>
      </w:pPr>
      <w:r>
        <w:rPr>
          <w:rFonts w:hint="eastAsia" w:ascii="黑体" w:eastAsia="黑体"/>
          <w:szCs w:val="21"/>
        </w:rPr>
        <w:t>表3 套管的</w:t>
      </w:r>
      <w:r>
        <w:rPr>
          <w:rFonts w:eastAsia="黑体"/>
          <w:szCs w:val="21"/>
        </w:rPr>
        <w:t>tan</w:t>
      </w:r>
      <w:r>
        <w:rPr>
          <w:rFonts w:eastAsia="黑体"/>
          <w:i/>
          <w:iCs/>
          <w:szCs w:val="21"/>
        </w:rPr>
        <w:t>δ</w:t>
      </w:r>
      <w:r>
        <w:rPr>
          <w:rFonts w:hint="eastAsia" w:ascii="黑体" w:eastAsia="黑体"/>
          <w:szCs w:val="21"/>
        </w:rPr>
        <w:t>最大值（20℃下）</w:t>
      </w:r>
      <w:r>
        <w:rPr>
          <w:rFonts w:hint="eastAsia" w:ascii="宋体" w:hAnsi="宋体"/>
          <w:szCs w:val="21"/>
        </w:rPr>
        <w:t>（续）</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2502"/>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exact"/>
          <w:tblHeader/>
          <w:jc w:val="center"/>
        </w:trPr>
        <w:tc>
          <w:tcPr>
            <w:tcW w:w="0" w:type="auto"/>
            <w:vAlign w:val="center"/>
          </w:tcPr>
          <w:p>
            <w:pPr>
              <w:jc w:val="center"/>
              <w:rPr>
                <w:rFonts w:hint="eastAsia" w:ascii="宋体" w:hAnsi="宋体"/>
                <w:color w:val="000000"/>
                <w:sz w:val="18"/>
                <w:szCs w:val="18"/>
              </w:rPr>
            </w:pPr>
            <w:r>
              <w:rPr>
                <w:rFonts w:ascii="宋体" w:hAnsi="宋体"/>
                <w:color w:val="000000"/>
                <w:sz w:val="18"/>
                <w:szCs w:val="18"/>
              </w:rPr>
              <w:t>套管</w:t>
            </w:r>
            <w:r>
              <w:rPr>
                <w:rFonts w:hint="eastAsia" w:ascii="宋体" w:hAnsi="宋体"/>
                <w:color w:val="000000"/>
                <w:sz w:val="18"/>
                <w:szCs w:val="18"/>
              </w:rPr>
              <w:t>绝缘类型</w:t>
            </w:r>
          </w:p>
        </w:tc>
        <w:tc>
          <w:tcPr>
            <w:tcW w:w="0" w:type="auto"/>
            <w:vAlign w:val="center"/>
          </w:tcPr>
          <w:p>
            <w:pPr>
              <w:spacing w:line="280" w:lineRule="exact"/>
              <w:jc w:val="center"/>
              <w:rPr>
                <w:color w:val="000000"/>
                <w:sz w:val="18"/>
                <w:szCs w:val="18"/>
              </w:rPr>
            </w:pPr>
            <w:r>
              <w:rPr>
                <w:color w:val="000000"/>
                <w:sz w:val="18"/>
                <w:szCs w:val="18"/>
              </w:rPr>
              <w:t xml:space="preserve">1.05 </w:t>
            </w:r>
            <w:r>
              <w:rPr>
                <w:i/>
                <w:color w:val="000000"/>
                <w:sz w:val="18"/>
                <w:szCs w:val="18"/>
              </w:rPr>
              <w:t>U</w:t>
            </w:r>
            <w:r>
              <w:rPr>
                <w:color w:val="000000"/>
                <w:sz w:val="18"/>
                <w:szCs w:val="18"/>
                <w:vertAlign w:val="subscript"/>
              </w:rPr>
              <w:t>m</w:t>
            </w:r>
            <w:r>
              <w:rPr>
                <w:color w:val="000000"/>
                <w:sz w:val="18"/>
                <w:szCs w:val="18"/>
              </w:rPr>
              <w:t xml:space="preserve"> /</w:t>
            </w:r>
            <w:r>
              <w:rPr>
                <w:color w:val="000000"/>
                <w:position w:val="-6"/>
                <w:sz w:val="18"/>
                <w:szCs w:val="18"/>
                <w:vertAlign w:val="subscript"/>
              </w:rPr>
              <w:object>
                <v:shape id="_x0000_i1027" o:spt="75" type="#_x0000_t75" style="height:14.5pt;width:17.5pt;" o:ole="t" fillcolor="#FFFFFF"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6">
                  <o:LockedField>false</o:LockedField>
                </o:OLEObject>
              </w:object>
            </w:r>
            <w:r>
              <w:rPr>
                <w:rFonts w:hAnsi="宋体"/>
                <w:color w:val="000000"/>
                <w:sz w:val="18"/>
                <w:szCs w:val="18"/>
              </w:rPr>
              <w:t>电压下的最大值</w:t>
            </w:r>
          </w:p>
        </w:tc>
        <w:tc>
          <w:tcPr>
            <w:tcW w:w="0" w:type="auto"/>
            <w:vAlign w:val="center"/>
          </w:tcPr>
          <w:p>
            <w:pPr>
              <w:jc w:val="center"/>
              <w:rPr>
                <w:color w:val="000000"/>
                <w:sz w:val="18"/>
                <w:szCs w:val="18"/>
              </w:rPr>
            </w:pPr>
            <w:r>
              <w:rPr>
                <w:rFonts w:hAnsi="宋体"/>
                <w:color w:val="000000"/>
                <w:sz w:val="18"/>
                <w:szCs w:val="18"/>
              </w:rPr>
              <w:t>电压从</w:t>
            </w:r>
            <w:r>
              <w:rPr>
                <w:color w:val="000000"/>
                <w:sz w:val="18"/>
                <w:szCs w:val="18"/>
              </w:rPr>
              <w:t>1.05</w:t>
            </w:r>
            <w:r>
              <w:rPr>
                <w:i/>
                <w:color w:val="000000"/>
                <w:sz w:val="18"/>
                <w:szCs w:val="18"/>
              </w:rPr>
              <w:t xml:space="preserve"> U</w:t>
            </w:r>
            <w:r>
              <w:rPr>
                <w:color w:val="000000"/>
                <w:sz w:val="18"/>
                <w:szCs w:val="18"/>
                <w:vertAlign w:val="subscript"/>
              </w:rPr>
              <w:t xml:space="preserve">m </w:t>
            </w:r>
            <w:r>
              <w:rPr>
                <w:color w:val="000000"/>
                <w:sz w:val="18"/>
                <w:szCs w:val="18"/>
              </w:rPr>
              <w:t>/</w:t>
            </w:r>
            <w:r>
              <w:rPr>
                <w:color w:val="000000"/>
                <w:position w:val="-6"/>
                <w:sz w:val="18"/>
                <w:szCs w:val="18"/>
                <w:vertAlign w:val="subscript"/>
              </w:rPr>
              <w:object>
                <v:shape id="_x0000_i1028" o:spt="75" type="#_x0000_t75" style="height:14.5pt;width:17.5pt;" o:ole="t" fillcolor="#FFFFFF"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7">
                  <o:LockedField>false</o:LockedField>
                </o:OLEObject>
              </w:object>
            </w:r>
            <w:r>
              <w:rPr>
                <w:rFonts w:hAnsi="宋体"/>
                <w:color w:val="000000"/>
                <w:sz w:val="18"/>
                <w:szCs w:val="18"/>
              </w:rPr>
              <w:t>到</w:t>
            </w:r>
            <w:r>
              <w:rPr>
                <w:i/>
                <w:color w:val="000000"/>
                <w:sz w:val="18"/>
                <w:szCs w:val="18"/>
              </w:rPr>
              <w:t>U</w:t>
            </w:r>
            <w:r>
              <w:rPr>
                <w:color w:val="000000"/>
                <w:sz w:val="18"/>
                <w:szCs w:val="18"/>
                <w:vertAlign w:val="subscript"/>
              </w:rPr>
              <w:t>m</w:t>
            </w:r>
            <w:r>
              <w:rPr>
                <w:rFonts w:hint="eastAsia"/>
                <w:color w:val="000000"/>
                <w:sz w:val="18"/>
                <w:szCs w:val="18"/>
                <w:vertAlign w:val="superscript"/>
              </w:rPr>
              <w:t>a</w:t>
            </w:r>
            <w:r>
              <w:rPr>
                <w:rFonts w:hAnsi="宋体"/>
                <w:color w:val="000000"/>
                <w:sz w:val="18"/>
                <w:szCs w:val="18"/>
              </w:rPr>
              <w:t>的最大允许增值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jc w:val="center"/>
        </w:trPr>
        <w:tc>
          <w:tcPr>
            <w:tcW w:w="0" w:type="auto"/>
            <w:vAlign w:val="center"/>
          </w:tcPr>
          <w:p>
            <w:pPr>
              <w:jc w:val="center"/>
              <w:rPr>
                <w:rFonts w:hint="eastAsia" w:ascii="宋体" w:hAnsi="宋体"/>
                <w:color w:val="000000"/>
                <w:sz w:val="18"/>
                <w:szCs w:val="18"/>
              </w:rPr>
            </w:pPr>
            <w:r>
              <w:rPr>
                <w:rFonts w:hint="eastAsia" w:ascii="宋体" w:hAnsi="宋体"/>
                <w:color w:val="000000"/>
                <w:sz w:val="18"/>
                <w:szCs w:val="18"/>
              </w:rPr>
              <w:t>树脂浸渍纤维、胶浸纤维</w:t>
            </w:r>
          </w:p>
        </w:tc>
        <w:tc>
          <w:tcPr>
            <w:tcW w:w="0" w:type="auto"/>
            <w:vAlign w:val="center"/>
          </w:tcPr>
          <w:p>
            <w:pPr>
              <w:jc w:val="center"/>
              <w:rPr>
                <w:sz w:val="18"/>
                <w:szCs w:val="18"/>
              </w:rPr>
            </w:pPr>
            <w:r>
              <w:rPr>
                <w:rFonts w:hint="eastAsia"/>
                <w:sz w:val="18"/>
                <w:szCs w:val="18"/>
              </w:rPr>
              <w:t>0.007</w:t>
            </w:r>
          </w:p>
        </w:tc>
        <w:tc>
          <w:tcPr>
            <w:tcW w:w="0" w:type="auto"/>
            <w:vAlign w:val="center"/>
          </w:tcPr>
          <w:p>
            <w:pPr>
              <w:jc w:val="center"/>
              <w:rPr>
                <w:color w:val="000000"/>
                <w:sz w:val="18"/>
                <w:szCs w:val="18"/>
              </w:rPr>
            </w:pPr>
            <w:r>
              <w:rPr>
                <w:rFonts w:hint="eastAsia"/>
                <w:color w:val="000000"/>
                <w:sz w:val="18"/>
                <w:szCs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blHeader/>
          <w:jc w:val="center"/>
        </w:trPr>
        <w:tc>
          <w:tcPr>
            <w:tcW w:w="0" w:type="auto"/>
            <w:gridSpan w:val="3"/>
            <w:vAlign w:val="center"/>
          </w:tcPr>
          <w:p>
            <w:pPr>
              <w:jc w:val="left"/>
            </w:pPr>
            <w:r>
              <w:rPr>
                <w:rFonts w:hint="eastAsia"/>
                <w:color w:val="000000"/>
                <w:sz w:val="18"/>
                <w:szCs w:val="18"/>
                <w:vertAlign w:val="superscript"/>
              </w:rPr>
              <w:t>a</w:t>
            </w:r>
            <w:r>
              <w:rPr>
                <w:rFonts w:hint="eastAsia"/>
              </w:rPr>
              <w:t xml:space="preserve">  </w:t>
            </w:r>
            <w:r>
              <w:rPr>
                <w:rFonts w:hint="eastAsia"/>
                <w:color w:val="000000"/>
                <w:sz w:val="18"/>
                <w:szCs w:val="18"/>
              </w:rPr>
              <w:t>不适用于</w:t>
            </w:r>
            <w:r>
              <w:rPr>
                <w:i/>
                <w:iCs/>
                <w:color w:val="000000"/>
                <w:sz w:val="18"/>
                <w:szCs w:val="18"/>
              </w:rPr>
              <w:t>U</w:t>
            </w:r>
            <w:r>
              <w:rPr>
                <w:color w:val="000000"/>
                <w:sz w:val="18"/>
                <w:szCs w:val="18"/>
                <w:vertAlign w:val="subscript"/>
              </w:rPr>
              <w:t>m</w:t>
            </w:r>
            <w:r>
              <w:rPr>
                <w:rFonts w:hint="eastAsia"/>
                <w:color w:val="000000"/>
                <w:sz w:val="18"/>
                <w:szCs w:val="18"/>
              </w:rPr>
              <w:t>≤</w:t>
            </w:r>
            <w:r>
              <w:rPr>
                <w:color w:val="000000"/>
                <w:sz w:val="18"/>
                <w:szCs w:val="18"/>
              </w:rPr>
              <w:t>36kV</w:t>
            </w:r>
            <w:r>
              <w:rPr>
                <w:rFonts w:hint="eastAsia"/>
                <w:color w:val="000000"/>
                <w:sz w:val="18"/>
                <w:szCs w:val="18"/>
              </w:rPr>
              <w:t>的套管。</w:t>
            </w:r>
          </w:p>
        </w:tc>
      </w:tr>
    </w:tbl>
    <w:p>
      <w:pPr>
        <w:pStyle w:val="260"/>
        <w:ind w:left="0" w:firstLine="0"/>
      </w:pPr>
      <w:bookmarkStart w:id="93" w:name="_Toc180511529"/>
      <w:bookmarkStart w:id="94" w:name="_Toc475092995"/>
      <w:bookmarkStart w:id="95" w:name="_Toc129097034"/>
      <w:r>
        <w:t>套管的局部放电量</w:t>
      </w:r>
      <w:bookmarkEnd w:id="93"/>
      <w:bookmarkEnd w:id="94"/>
      <w:bookmarkEnd w:id="95"/>
    </w:p>
    <w:p>
      <w:pPr>
        <w:pStyle w:val="258"/>
        <w:ind w:firstLine="420"/>
      </w:pPr>
      <w:r>
        <w:t>套管的局部放电量应符合</w:t>
      </w:r>
      <w:r>
        <w:rPr>
          <w:rFonts w:ascii="Times New Roman"/>
        </w:rPr>
        <w:t>表</w:t>
      </w:r>
      <w:r>
        <w:rPr>
          <w:rFonts w:hint="eastAsia" w:ascii="Times New Roman"/>
        </w:rPr>
        <w:t>4</w:t>
      </w:r>
      <w:r>
        <w:rPr>
          <w:rFonts w:ascii="Times New Roman"/>
        </w:rPr>
        <w:t>的</w:t>
      </w:r>
      <w:r>
        <w:t>规定。</w:t>
      </w:r>
    </w:p>
    <w:p>
      <w:pPr>
        <w:tabs>
          <w:tab w:val="left" w:pos="360"/>
        </w:tabs>
        <w:spacing w:before="156" w:beforeLines="50" w:after="156" w:afterLines="50"/>
        <w:jc w:val="center"/>
        <w:rPr>
          <w:rFonts w:ascii="黑体" w:eastAsia="黑体"/>
          <w:szCs w:val="21"/>
        </w:rPr>
      </w:pPr>
      <w:r>
        <w:rPr>
          <w:rFonts w:hint="eastAsia" w:ascii="黑体" w:eastAsia="黑体"/>
          <w:szCs w:val="21"/>
        </w:rPr>
        <w:t>表4 套管的局部放电量最大值</w:t>
      </w:r>
    </w:p>
    <w:tbl>
      <w:tblPr>
        <w:tblStyle w:val="88"/>
        <w:tblW w:w="43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670"/>
        <w:gridCol w:w="1670"/>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709" w:type="pct"/>
            <w:vMerge w:val="restart"/>
            <w:vAlign w:val="center"/>
          </w:tcPr>
          <w:p>
            <w:pPr>
              <w:pStyle w:val="29"/>
              <w:ind w:firstLine="0" w:firstLineChars="0"/>
              <w:jc w:val="center"/>
              <w:rPr>
                <w:rFonts w:hint="eastAsia" w:hAnsi="宋体"/>
                <w:color w:val="000000"/>
                <w:sz w:val="18"/>
                <w:szCs w:val="18"/>
              </w:rPr>
            </w:pPr>
            <w:r>
              <w:rPr>
                <w:rFonts w:hAnsi="宋体"/>
                <w:color w:val="000000"/>
                <w:sz w:val="18"/>
                <w:szCs w:val="18"/>
              </w:rPr>
              <w:t>套管绝缘</w:t>
            </w:r>
            <w:r>
              <w:rPr>
                <w:rFonts w:hint="eastAsia" w:hAnsi="宋体"/>
                <w:color w:val="000000"/>
                <w:sz w:val="18"/>
                <w:szCs w:val="18"/>
              </w:rPr>
              <w:t>类型</w:t>
            </w:r>
          </w:p>
        </w:tc>
        <w:tc>
          <w:tcPr>
            <w:tcW w:w="0" w:type="auto"/>
            <w:gridSpan w:val="3"/>
            <w:vAlign w:val="center"/>
          </w:tcPr>
          <w:p>
            <w:pPr>
              <w:pStyle w:val="29"/>
              <w:snapToGrid w:val="0"/>
              <w:ind w:firstLine="0" w:firstLineChars="0"/>
              <w:jc w:val="center"/>
              <w:rPr>
                <w:rFonts w:hint="eastAsia" w:hAnsi="宋体"/>
                <w:color w:val="000000"/>
                <w:sz w:val="18"/>
                <w:szCs w:val="18"/>
              </w:rPr>
            </w:pPr>
            <w:r>
              <w:rPr>
                <w:rFonts w:hAnsi="宋体"/>
                <w:color w:val="000000"/>
                <w:sz w:val="18"/>
                <w:szCs w:val="18"/>
              </w:rPr>
              <w:t>局部放电量最大值</w:t>
            </w:r>
          </w:p>
          <w:p>
            <w:pPr>
              <w:pStyle w:val="29"/>
              <w:snapToGrid w:val="0"/>
              <w:ind w:firstLine="0" w:firstLineChars="0"/>
              <w:jc w:val="center"/>
              <w:rPr>
                <w:color w:val="000000"/>
                <w:sz w:val="18"/>
                <w:szCs w:val="18"/>
              </w:rPr>
            </w:pPr>
            <w:r>
              <w:rPr>
                <w:color w:val="000000"/>
                <w:sz w:val="18"/>
                <w:szCs w:val="18"/>
              </w:rPr>
              <w: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709" w:type="pct"/>
            <w:vMerge w:val="continue"/>
            <w:vAlign w:val="center"/>
          </w:tcPr>
          <w:p>
            <w:pPr>
              <w:pStyle w:val="29"/>
              <w:ind w:firstLine="360"/>
              <w:jc w:val="center"/>
              <w:rPr>
                <w:rFonts w:hint="eastAsia" w:hAnsi="宋体"/>
                <w:color w:val="000000"/>
                <w:sz w:val="18"/>
                <w:szCs w:val="18"/>
              </w:rPr>
            </w:pPr>
          </w:p>
        </w:tc>
        <w:tc>
          <w:tcPr>
            <w:tcW w:w="1007" w:type="pct"/>
            <w:vAlign w:val="center"/>
          </w:tcPr>
          <w:p>
            <w:pPr>
              <w:pStyle w:val="29"/>
              <w:ind w:firstLine="0" w:firstLineChars="0"/>
              <w:jc w:val="center"/>
              <w:rPr>
                <w:color w:val="000000"/>
                <w:sz w:val="18"/>
                <w:szCs w:val="18"/>
                <w:vertAlign w:val="superscript"/>
              </w:rPr>
            </w:pPr>
            <w:r>
              <w:rPr>
                <w:i/>
                <w:color w:val="000000"/>
                <w:sz w:val="18"/>
                <w:szCs w:val="18"/>
              </w:rPr>
              <w:t>U</w:t>
            </w:r>
            <w:r>
              <w:rPr>
                <w:color w:val="000000"/>
                <w:sz w:val="18"/>
                <w:szCs w:val="18"/>
                <w:vertAlign w:val="subscript"/>
              </w:rPr>
              <w:t>m</w:t>
            </w:r>
          </w:p>
        </w:tc>
        <w:tc>
          <w:tcPr>
            <w:tcW w:w="1007" w:type="pct"/>
            <w:vAlign w:val="center"/>
          </w:tcPr>
          <w:p>
            <w:pPr>
              <w:pStyle w:val="29"/>
              <w:ind w:firstLine="0" w:firstLineChars="0"/>
              <w:jc w:val="center"/>
              <w:rPr>
                <w:color w:val="000000"/>
                <w:sz w:val="18"/>
                <w:szCs w:val="18"/>
                <w:vertAlign w:val="superscript"/>
              </w:rPr>
            </w:pPr>
            <w:r>
              <w:rPr>
                <w:color w:val="000000"/>
                <w:sz w:val="18"/>
                <w:szCs w:val="18"/>
              </w:rPr>
              <w:t xml:space="preserve">1.5 </w:t>
            </w:r>
            <w:r>
              <w:rPr>
                <w:i/>
                <w:color w:val="000000"/>
                <w:sz w:val="18"/>
                <w:szCs w:val="18"/>
              </w:rPr>
              <w:t>U</w:t>
            </w:r>
            <w:r>
              <w:rPr>
                <w:color w:val="000000"/>
                <w:sz w:val="18"/>
                <w:szCs w:val="18"/>
                <w:vertAlign w:val="subscript"/>
              </w:rPr>
              <w:t>m</w:t>
            </w:r>
            <w:r>
              <w:rPr>
                <w:color w:val="000000"/>
                <w:sz w:val="18"/>
                <w:szCs w:val="18"/>
              </w:rPr>
              <w:t>/</w:t>
            </w:r>
            <w:r>
              <w:rPr>
                <w:color w:val="000000"/>
                <w:position w:val="-6"/>
                <w:sz w:val="18"/>
                <w:szCs w:val="18"/>
                <w:vertAlign w:val="subscript"/>
              </w:rPr>
              <w:object>
                <v:shape id="_x0000_i1029" o:spt="75" type="#_x0000_t75" style="height:13.5pt;width:12pt;" o:ole="t" fillcolor="#FFFFFF"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p>
        </w:tc>
        <w:tc>
          <w:tcPr>
            <w:tcW w:w="1277" w:type="pct"/>
            <w:vAlign w:val="center"/>
          </w:tcPr>
          <w:p>
            <w:pPr>
              <w:pStyle w:val="29"/>
              <w:ind w:firstLine="0" w:firstLineChars="0"/>
              <w:jc w:val="center"/>
              <w:rPr>
                <w:color w:val="000000"/>
                <w:sz w:val="18"/>
                <w:szCs w:val="18"/>
              </w:rPr>
            </w:pPr>
            <w:r>
              <w:rPr>
                <w:color w:val="000000"/>
                <w:sz w:val="18"/>
                <w:szCs w:val="18"/>
              </w:rPr>
              <w:t>1.</w:t>
            </w:r>
            <w:r>
              <w:rPr>
                <w:rFonts w:hint="eastAsia"/>
                <w:color w:val="000000"/>
                <w:sz w:val="18"/>
                <w:szCs w:val="18"/>
              </w:rPr>
              <w:t>05</w:t>
            </w:r>
            <w:r>
              <w:rPr>
                <w:i/>
                <w:color w:val="000000"/>
                <w:sz w:val="18"/>
                <w:szCs w:val="18"/>
              </w:rPr>
              <w:t>U</w:t>
            </w:r>
            <w:r>
              <w:rPr>
                <w:color w:val="000000"/>
                <w:sz w:val="18"/>
                <w:szCs w:val="18"/>
                <w:vertAlign w:val="subscript"/>
              </w:rPr>
              <w:t>m</w:t>
            </w:r>
            <w:r>
              <w:rPr>
                <w:color w:val="000000"/>
                <w:sz w:val="18"/>
                <w:szCs w:val="18"/>
              </w:rPr>
              <w:t>/</w:t>
            </w:r>
            <w:r>
              <w:rPr>
                <w:color w:val="000000"/>
                <w:position w:val="-6"/>
                <w:sz w:val="18"/>
                <w:szCs w:val="18"/>
                <w:vertAlign w:val="subscript"/>
              </w:rPr>
              <w:object>
                <v:shape id="_x0000_i1030" o:spt="75" type="#_x0000_t75" style="height:14.5pt;width:13.5pt;" o:ole="t" fillcolor="#FFFFFF"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r>
              <w:rPr>
                <w:rFonts w:hint="eastAsia"/>
                <w:color w:val="000000"/>
                <w:sz w:val="18"/>
                <w:szCs w:val="18"/>
              </w:rPr>
              <w:t>和</w:t>
            </w:r>
            <w:r>
              <w:rPr>
                <w:color w:val="000000"/>
                <w:sz w:val="18"/>
                <w:szCs w:val="18"/>
              </w:rPr>
              <w:t xml:space="preserve">1.1 </w:t>
            </w:r>
            <w:r>
              <w:rPr>
                <w:i/>
                <w:color w:val="000000"/>
                <w:sz w:val="18"/>
                <w:szCs w:val="18"/>
              </w:rPr>
              <w:t>U</w:t>
            </w:r>
            <w:r>
              <w:rPr>
                <w:color w:val="000000"/>
                <w:sz w:val="18"/>
                <w:szCs w:val="18"/>
                <w:vertAlign w:val="subscript"/>
              </w:rPr>
              <w:t>m</w:t>
            </w:r>
            <w:r>
              <w:rPr>
                <w:color w:val="000000"/>
                <w:sz w:val="18"/>
                <w:szCs w:val="18"/>
              </w:rPr>
              <w:t>/</w:t>
            </w:r>
            <w:r>
              <w:rPr>
                <w:color w:val="000000"/>
                <w:position w:val="-6"/>
                <w:sz w:val="18"/>
                <w:szCs w:val="18"/>
                <w:vertAlign w:val="subscript"/>
              </w:rPr>
              <w:object>
                <v:shape id="_x0000_i1031" o:spt="75" type="#_x0000_t75" style="height:14.5pt;width:13.5pt;" o:ole="t" fillcolor="#FFFFFF"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709" w:type="pct"/>
            <w:vAlign w:val="center"/>
          </w:tcPr>
          <w:p>
            <w:pPr>
              <w:pStyle w:val="29"/>
              <w:ind w:firstLine="0" w:firstLineChars="0"/>
              <w:jc w:val="center"/>
              <w:rPr>
                <w:rFonts w:hint="eastAsia" w:hAnsi="宋体"/>
                <w:color w:val="000000"/>
                <w:sz w:val="18"/>
                <w:szCs w:val="18"/>
              </w:rPr>
            </w:pPr>
            <w:r>
              <w:rPr>
                <w:rFonts w:hAnsi="宋体"/>
                <w:color w:val="000000"/>
                <w:sz w:val="18"/>
                <w:szCs w:val="18"/>
              </w:rPr>
              <w:t>油浸纸</w:t>
            </w:r>
          </w:p>
        </w:tc>
        <w:tc>
          <w:tcPr>
            <w:tcW w:w="1007" w:type="pct"/>
            <w:vAlign w:val="center"/>
          </w:tcPr>
          <w:p>
            <w:pPr>
              <w:pStyle w:val="29"/>
              <w:ind w:firstLine="0" w:firstLineChars="0"/>
              <w:jc w:val="center"/>
              <w:rPr>
                <w:color w:val="000000"/>
                <w:sz w:val="18"/>
                <w:szCs w:val="18"/>
              </w:rPr>
            </w:pPr>
            <w:r>
              <w:rPr>
                <w:color w:val="000000"/>
                <w:sz w:val="18"/>
                <w:szCs w:val="18"/>
              </w:rPr>
              <w:t>10</w:t>
            </w:r>
          </w:p>
        </w:tc>
        <w:tc>
          <w:tcPr>
            <w:tcW w:w="1007" w:type="pct"/>
            <w:vAlign w:val="center"/>
          </w:tcPr>
          <w:p>
            <w:pPr>
              <w:pStyle w:val="29"/>
              <w:ind w:firstLine="0" w:firstLineChars="0"/>
              <w:jc w:val="center"/>
              <w:rPr>
                <w:color w:val="000000"/>
                <w:sz w:val="18"/>
                <w:szCs w:val="18"/>
              </w:rPr>
            </w:pPr>
            <w:r>
              <w:rPr>
                <w:color w:val="000000"/>
                <w:sz w:val="18"/>
                <w:szCs w:val="18"/>
              </w:rPr>
              <w:t>10</w:t>
            </w:r>
          </w:p>
        </w:tc>
        <w:tc>
          <w:tcPr>
            <w:tcW w:w="1277" w:type="pct"/>
            <w:vAlign w:val="center"/>
          </w:tcPr>
          <w:p>
            <w:pPr>
              <w:pStyle w:val="29"/>
              <w:ind w:firstLine="0" w:firstLineChars="0"/>
              <w:jc w:val="center"/>
              <w:rPr>
                <w:color w:val="000000"/>
                <w:sz w:val="18"/>
                <w:szCs w:val="18"/>
              </w:rPr>
            </w:pPr>
            <w:r>
              <w:rPr>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709" w:type="pct"/>
            <w:vAlign w:val="center"/>
          </w:tcPr>
          <w:p>
            <w:pPr>
              <w:pStyle w:val="29"/>
              <w:ind w:firstLine="0" w:firstLineChars="0"/>
              <w:jc w:val="center"/>
              <w:rPr>
                <w:rFonts w:hint="eastAsia" w:hAnsi="宋体"/>
                <w:color w:val="000000"/>
                <w:sz w:val="18"/>
                <w:szCs w:val="18"/>
              </w:rPr>
            </w:pPr>
            <w:r>
              <w:rPr>
                <w:rFonts w:hAnsi="宋体"/>
                <w:color w:val="000000"/>
                <w:sz w:val="18"/>
                <w:szCs w:val="18"/>
              </w:rPr>
              <w:t>胶浸纸</w:t>
            </w:r>
          </w:p>
        </w:tc>
        <w:tc>
          <w:tcPr>
            <w:tcW w:w="1007" w:type="pct"/>
            <w:vAlign w:val="center"/>
          </w:tcPr>
          <w:p>
            <w:pPr>
              <w:pStyle w:val="29"/>
              <w:ind w:firstLine="0" w:firstLineChars="0"/>
              <w:jc w:val="center"/>
              <w:rPr>
                <w:color w:val="000000"/>
                <w:sz w:val="18"/>
                <w:szCs w:val="18"/>
              </w:rPr>
            </w:pPr>
            <w:r>
              <w:rPr>
                <w:color w:val="000000"/>
                <w:sz w:val="18"/>
                <w:szCs w:val="18"/>
              </w:rPr>
              <w:t>10</w:t>
            </w:r>
          </w:p>
        </w:tc>
        <w:tc>
          <w:tcPr>
            <w:tcW w:w="1007" w:type="pct"/>
            <w:vAlign w:val="center"/>
          </w:tcPr>
          <w:p>
            <w:pPr>
              <w:pStyle w:val="29"/>
              <w:ind w:firstLine="0" w:firstLineChars="0"/>
              <w:jc w:val="center"/>
              <w:rPr>
                <w:color w:val="000000"/>
                <w:sz w:val="18"/>
                <w:szCs w:val="18"/>
              </w:rPr>
            </w:pPr>
            <w:r>
              <w:rPr>
                <w:color w:val="000000"/>
                <w:sz w:val="18"/>
                <w:szCs w:val="18"/>
              </w:rPr>
              <w:t>10</w:t>
            </w:r>
          </w:p>
        </w:tc>
        <w:tc>
          <w:tcPr>
            <w:tcW w:w="1277" w:type="pct"/>
            <w:vAlign w:val="center"/>
          </w:tcPr>
          <w:p>
            <w:pPr>
              <w:pStyle w:val="29"/>
              <w:ind w:firstLine="0" w:firstLineChars="0"/>
              <w:jc w:val="center"/>
              <w:rPr>
                <w:color w:val="000000"/>
                <w:sz w:val="18"/>
                <w:szCs w:val="18"/>
              </w:rPr>
            </w:pPr>
            <w:r>
              <w:rPr>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709" w:type="pct"/>
            <w:vAlign w:val="center"/>
          </w:tcPr>
          <w:p>
            <w:pPr>
              <w:pStyle w:val="29"/>
              <w:ind w:firstLine="0" w:firstLineChars="0"/>
              <w:jc w:val="center"/>
              <w:rPr>
                <w:rFonts w:hint="eastAsia" w:hAnsi="宋体"/>
                <w:color w:val="000000"/>
                <w:sz w:val="18"/>
                <w:szCs w:val="18"/>
              </w:rPr>
            </w:pPr>
            <w:r>
              <w:rPr>
                <w:rFonts w:hint="eastAsia" w:ascii="宋体" w:hAnsi="宋体"/>
                <w:color w:val="000000"/>
                <w:sz w:val="18"/>
                <w:szCs w:val="18"/>
              </w:rPr>
              <w:t>树脂浸渍纤维、胶浸纤维</w:t>
            </w:r>
          </w:p>
        </w:tc>
        <w:tc>
          <w:tcPr>
            <w:tcW w:w="1007" w:type="pct"/>
            <w:vAlign w:val="center"/>
          </w:tcPr>
          <w:p>
            <w:pPr>
              <w:pStyle w:val="29"/>
              <w:ind w:firstLine="0" w:firstLineChars="0"/>
              <w:jc w:val="center"/>
              <w:rPr>
                <w:color w:val="000000"/>
                <w:sz w:val="18"/>
                <w:szCs w:val="18"/>
              </w:rPr>
            </w:pPr>
            <w:r>
              <w:rPr>
                <w:color w:val="000000"/>
                <w:sz w:val="18"/>
                <w:szCs w:val="18"/>
              </w:rPr>
              <w:t>10</w:t>
            </w:r>
          </w:p>
        </w:tc>
        <w:tc>
          <w:tcPr>
            <w:tcW w:w="1007" w:type="pct"/>
            <w:vAlign w:val="center"/>
          </w:tcPr>
          <w:p>
            <w:pPr>
              <w:pStyle w:val="29"/>
              <w:ind w:firstLine="0" w:firstLineChars="0"/>
              <w:jc w:val="center"/>
              <w:rPr>
                <w:color w:val="000000"/>
                <w:sz w:val="18"/>
                <w:szCs w:val="18"/>
              </w:rPr>
            </w:pPr>
            <w:r>
              <w:rPr>
                <w:color w:val="000000"/>
                <w:sz w:val="18"/>
                <w:szCs w:val="18"/>
              </w:rPr>
              <w:t>10</w:t>
            </w:r>
          </w:p>
        </w:tc>
        <w:tc>
          <w:tcPr>
            <w:tcW w:w="1277" w:type="pct"/>
            <w:vAlign w:val="center"/>
          </w:tcPr>
          <w:p>
            <w:pPr>
              <w:pStyle w:val="29"/>
              <w:ind w:firstLine="0" w:firstLineChars="0"/>
              <w:jc w:val="center"/>
              <w:rPr>
                <w:color w:val="000000"/>
                <w:sz w:val="18"/>
                <w:szCs w:val="18"/>
              </w:rPr>
            </w:pPr>
            <w:r>
              <w:rPr>
                <w:color w:val="000000"/>
                <w:sz w:val="18"/>
                <w:szCs w:val="18"/>
              </w:rPr>
              <w:t>5</w:t>
            </w:r>
          </w:p>
        </w:tc>
      </w:tr>
    </w:tbl>
    <w:p>
      <w:pPr>
        <w:pStyle w:val="260"/>
        <w:ind w:left="0" w:firstLine="0"/>
      </w:pPr>
      <w:bookmarkStart w:id="96" w:name="_Toc475092996"/>
      <w:bookmarkStart w:id="97" w:name="_Toc180511530"/>
      <w:bookmarkStart w:id="98" w:name="_Toc129097035"/>
      <w:r>
        <w:rPr>
          <w:rFonts w:hint="eastAsia"/>
        </w:rPr>
        <w:t>无线电干扰</w:t>
      </w:r>
      <w:bookmarkEnd w:id="96"/>
      <w:bookmarkEnd w:id="97"/>
      <w:bookmarkEnd w:id="98"/>
    </w:p>
    <w:p>
      <w:pPr>
        <w:autoSpaceDE w:val="0"/>
        <w:autoSpaceDN w:val="0"/>
        <w:adjustRightInd w:val="0"/>
        <w:snapToGrid w:val="0"/>
        <w:ind w:firstLine="420" w:firstLineChars="200"/>
        <w:jc w:val="left"/>
      </w:pPr>
      <w:r>
        <w:rPr>
          <w:kern w:val="0"/>
          <w:szCs w:val="20"/>
        </w:rPr>
        <w:t>套管</w:t>
      </w:r>
      <w:r>
        <w:rPr>
          <w:rFonts w:hint="eastAsia"/>
        </w:rPr>
        <w:t>在1.1</w:t>
      </w:r>
      <w:r>
        <w:rPr>
          <w:rFonts w:hint="eastAsia"/>
          <w:i/>
        </w:rPr>
        <w:t>U</w:t>
      </w:r>
      <w:r>
        <w:rPr>
          <w:rFonts w:hint="eastAsia"/>
          <w:vertAlign w:val="subscript"/>
        </w:rPr>
        <w:t>m</w:t>
      </w:r>
      <w:r>
        <w:rPr>
          <w:rFonts w:hint="eastAsia"/>
        </w:rPr>
        <w:t>/</w:t>
      </w:r>
      <w:r>
        <w:rPr>
          <w:kern w:val="0"/>
          <w:position w:val="-8"/>
          <w:szCs w:val="20"/>
        </w:rPr>
        <w:object>
          <v:shape id="_x0000_i1032" o:spt="75" type="#_x0000_t75" style="height:14.5pt;width:14.5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3">
            <o:LockedField>false</o:LockedField>
          </o:OLEObject>
        </w:object>
      </w:r>
      <w:r>
        <w:rPr>
          <w:rFonts w:hint="eastAsia"/>
        </w:rPr>
        <w:t>的试验电压下，</w:t>
      </w:r>
      <w:r>
        <w:t>无线电干扰电压应不大于500</w:t>
      </w:r>
      <w:r>
        <w:rPr>
          <w:rFonts w:hint="eastAsia"/>
        </w:rPr>
        <w:t xml:space="preserve"> </w:t>
      </w:r>
      <w:r>
        <w:t>μV。</w:t>
      </w:r>
    </w:p>
    <w:p>
      <w:pPr>
        <w:pStyle w:val="260"/>
        <w:ind w:left="0" w:firstLine="0"/>
      </w:pPr>
      <w:bookmarkStart w:id="99" w:name="_Toc475092997"/>
      <w:bookmarkStart w:id="100" w:name="_Toc129097036"/>
      <w:bookmarkStart w:id="101" w:name="_Toc180511531"/>
      <w:r>
        <w:t>套管</w:t>
      </w:r>
      <w:r>
        <w:rPr>
          <w:rFonts w:hint="eastAsia"/>
        </w:rPr>
        <w:t>的</w:t>
      </w:r>
      <w:r>
        <w:t>试验抽头</w:t>
      </w:r>
      <w:bookmarkEnd w:id="99"/>
      <w:bookmarkEnd w:id="100"/>
      <w:r>
        <w:rPr>
          <w:rFonts w:hint="eastAsia"/>
        </w:rPr>
        <w:t>绝缘性能参数</w:t>
      </w:r>
      <w:bookmarkEnd w:id="101"/>
    </w:p>
    <w:p>
      <w:pPr>
        <w:pStyle w:val="258"/>
        <w:ind w:firstLine="420"/>
        <w:rPr>
          <w:rFonts w:ascii="Times New Roman"/>
        </w:rPr>
      </w:pPr>
      <w:r>
        <w:rPr>
          <w:rFonts w:hint="eastAsia" w:ascii="Times New Roman"/>
        </w:rPr>
        <w:t>试验抽头的有关数值应不超过：</w:t>
      </w:r>
    </w:p>
    <w:p>
      <w:pPr>
        <w:pStyle w:val="258"/>
        <w:ind w:firstLine="420"/>
        <w:rPr>
          <w:rFonts w:ascii="Times New Roman"/>
        </w:rPr>
      </w:pPr>
      <w:r>
        <w:rPr>
          <w:rFonts w:hint="eastAsia" w:ascii="Times New Roman"/>
        </w:rPr>
        <w:t>——对地电容</w:t>
      </w:r>
      <w:r>
        <w:rPr>
          <w:rFonts w:ascii="Times New Roman"/>
        </w:rPr>
        <w:t>10</w:t>
      </w:r>
      <w:r>
        <w:rPr>
          <w:rFonts w:hint="eastAsia" w:ascii="Times New Roman"/>
        </w:rPr>
        <w:t xml:space="preserve"> </w:t>
      </w:r>
      <w:r>
        <w:rPr>
          <w:rFonts w:ascii="Times New Roman"/>
        </w:rPr>
        <w:t>000</w:t>
      </w:r>
      <w:r>
        <w:rPr>
          <w:rFonts w:hint="eastAsia" w:ascii="Times New Roman"/>
        </w:rPr>
        <w:t xml:space="preserve"> </w:t>
      </w:r>
      <w:r>
        <w:rPr>
          <w:rFonts w:ascii="Times New Roman"/>
        </w:rPr>
        <w:t>pF</w:t>
      </w:r>
      <w:r>
        <w:rPr>
          <w:rFonts w:hint="eastAsia" w:ascii="Times New Roman"/>
        </w:rPr>
        <w:t>（对地电容的其他数值可由供需双方协议）；</w:t>
      </w:r>
    </w:p>
    <w:p>
      <w:pPr>
        <w:pStyle w:val="258"/>
        <w:ind w:firstLine="420"/>
        <w:rPr>
          <w:rFonts w:ascii="Times New Roman"/>
        </w:rPr>
      </w:pPr>
      <w:r>
        <w:rPr>
          <w:rFonts w:hint="eastAsia" w:ascii="Times New Roman"/>
        </w:rPr>
        <w:t>——额定频率下测得的介质损耗因数（</w:t>
      </w:r>
      <w:r>
        <w:rPr>
          <w:rFonts w:ascii="Times New Roman"/>
        </w:rPr>
        <w:t>tan</w:t>
      </w:r>
      <w:r>
        <w:rPr>
          <w:i/>
        </w:rPr>
        <w:t>δ</w:t>
      </w:r>
      <w:r>
        <w:rPr>
          <w:rFonts w:hint="eastAsia" w:ascii="Times New Roman"/>
        </w:rPr>
        <w:t>）为0.05；</w:t>
      </w:r>
    </w:p>
    <w:p>
      <w:pPr>
        <w:pStyle w:val="258"/>
        <w:ind w:firstLine="420"/>
      </w:pPr>
      <w:r>
        <w:rPr>
          <w:rFonts w:hint="eastAsia" w:ascii="Times New Roman"/>
        </w:rPr>
        <w:t>——</w:t>
      </w:r>
      <w:r>
        <w:rPr>
          <w:rFonts w:ascii="Times New Roman"/>
        </w:rPr>
        <w:t>试验抽头对地</w:t>
      </w:r>
      <w:r>
        <w:rPr>
          <w:rFonts w:hint="eastAsia" w:ascii="Times New Roman"/>
        </w:rPr>
        <w:t>的额定频率</w:t>
      </w:r>
      <w:r>
        <w:rPr>
          <w:rFonts w:ascii="Times New Roman"/>
        </w:rPr>
        <w:t>耐受电压不低于2 kV</w:t>
      </w:r>
      <w:r>
        <w:t>。</w:t>
      </w:r>
    </w:p>
    <w:p>
      <w:pPr>
        <w:pStyle w:val="260"/>
        <w:ind w:left="0" w:firstLine="0"/>
      </w:pPr>
      <w:bookmarkStart w:id="102" w:name="_Toc475092998"/>
      <w:bookmarkStart w:id="103" w:name="_Toc129097037"/>
      <w:bookmarkStart w:id="104" w:name="_Toc180511532"/>
      <w:r>
        <w:t>套管各部位的发热温度和温升</w:t>
      </w:r>
      <w:bookmarkEnd w:id="102"/>
      <w:bookmarkEnd w:id="103"/>
      <w:bookmarkEnd w:id="104"/>
    </w:p>
    <w:p>
      <w:pPr>
        <w:pStyle w:val="258"/>
        <w:ind w:firstLine="420"/>
        <w:rPr>
          <w:rFonts w:ascii="Times New Roman"/>
        </w:rPr>
      </w:pPr>
      <w:r>
        <w:rPr>
          <w:rFonts w:hint="eastAsia" w:ascii="Times New Roman"/>
        </w:rPr>
        <w:t>在正常运行条件下与绝缘材料接触的金属部件的温度限值为：</w:t>
      </w:r>
    </w:p>
    <w:p>
      <w:pPr>
        <w:pStyle w:val="258"/>
        <w:ind w:firstLine="420"/>
        <w:rPr>
          <w:rFonts w:ascii="Times New Roman"/>
        </w:rPr>
      </w:pPr>
      <w:r>
        <w:rPr>
          <w:rFonts w:hint="eastAsia" w:ascii="Times New Roman"/>
        </w:rPr>
        <w:t>——对于油浸纸为</w:t>
      </w:r>
      <w:r>
        <w:rPr>
          <w:rFonts w:ascii="Times New Roman"/>
        </w:rPr>
        <w:t>105</w:t>
      </w:r>
      <w:r>
        <w:rPr>
          <w:rFonts w:hint="eastAsia" w:ascii="Times New Roman"/>
        </w:rPr>
        <w:t>℃：等级</w:t>
      </w:r>
      <w:r>
        <w:rPr>
          <w:rFonts w:ascii="Times New Roman"/>
        </w:rPr>
        <w:t>A</w:t>
      </w:r>
      <w:r>
        <w:rPr>
          <w:rFonts w:hint="eastAsia" w:ascii="Times New Roman"/>
        </w:rPr>
        <w:t>；</w:t>
      </w:r>
    </w:p>
    <w:p>
      <w:pPr>
        <w:pStyle w:val="258"/>
        <w:ind w:firstLine="420"/>
        <w:rPr>
          <w:rFonts w:ascii="Times New Roman"/>
        </w:rPr>
      </w:pPr>
      <w:r>
        <w:rPr>
          <w:rFonts w:hint="eastAsia" w:ascii="Times New Roman"/>
        </w:rPr>
        <w:t>——对于胶浸纸、树脂浸渍纤维以及胶浸纤维为</w:t>
      </w:r>
      <w:r>
        <w:rPr>
          <w:rFonts w:ascii="Times New Roman"/>
        </w:rPr>
        <w:t>120</w:t>
      </w:r>
      <w:r>
        <w:rPr>
          <w:rFonts w:hint="eastAsia" w:ascii="Times New Roman"/>
        </w:rPr>
        <w:t>℃：等级</w:t>
      </w:r>
      <w:r>
        <w:rPr>
          <w:rFonts w:ascii="Times New Roman"/>
        </w:rPr>
        <w:t>E</w:t>
      </w:r>
      <w:r>
        <w:rPr>
          <w:rFonts w:hint="eastAsia" w:ascii="Times New Roman"/>
        </w:rPr>
        <w:t>；</w:t>
      </w:r>
    </w:p>
    <w:p>
      <w:pPr>
        <w:pStyle w:val="258"/>
        <w:ind w:firstLine="420"/>
        <w:rPr>
          <w:rFonts w:ascii="Times New Roman"/>
        </w:rPr>
      </w:pPr>
      <w:r>
        <w:rPr>
          <w:rFonts w:hint="eastAsia" w:ascii="Times New Roman"/>
        </w:rPr>
        <w:t>在最高日平均环境温度为</w:t>
      </w:r>
      <w:r>
        <w:rPr>
          <w:rFonts w:ascii="Times New Roman"/>
        </w:rPr>
        <w:t>30</w:t>
      </w:r>
      <w:r>
        <w:rPr>
          <w:rFonts w:hint="eastAsia" w:ascii="Times New Roman"/>
        </w:rPr>
        <w:t>℃时，最热点的温升应不超过表5中的规定值。对其他绝缘材料，温度限值应由供方规定。可参考GB/T 11026.2—2012和GB/T 20112—2015。</w:t>
      </w:r>
    </w:p>
    <w:p>
      <w:pPr>
        <w:pStyle w:val="258"/>
        <w:ind w:firstLine="420"/>
        <w:rPr>
          <w:rFonts w:ascii="Times New Roman"/>
        </w:rPr>
      </w:pPr>
      <w:r>
        <w:rPr>
          <w:rFonts w:hint="eastAsia" w:ascii="Times New Roman"/>
        </w:rPr>
        <w:t>套管端子和连接处的温升也在表5中给出。</w:t>
      </w:r>
    </w:p>
    <w:p>
      <w:pPr>
        <w:pStyle w:val="301"/>
        <w:numPr>
          <w:ilvl w:val="0"/>
          <w:numId w:val="0"/>
        </w:numPr>
        <w:tabs>
          <w:tab w:val="clear" w:pos="360"/>
        </w:tabs>
        <w:spacing w:after="0" w:afterLines="0"/>
        <w:ind w:left="420" w:hanging="420"/>
      </w:pPr>
      <w:r>
        <w:rPr>
          <w:rFonts w:hint="eastAsia"/>
        </w:rPr>
        <w:t>表5 套管各部位允许的最高温度值和温升</w:t>
      </w:r>
    </w:p>
    <w:tbl>
      <w:tblPr>
        <w:tblStyle w:val="88"/>
        <w:tblpPr w:leftFromText="180" w:rightFromText="180" w:vertAnchor="text" w:horzAnchor="margin" w:tblpXSpec="center" w:tblpY="1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314"/>
        <w:gridCol w:w="1337"/>
        <w:gridCol w:w="1572"/>
        <w:gridCol w:w="1235"/>
        <w:gridCol w:w="136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trPr>
        <w:tc>
          <w:tcPr>
            <w:tcW w:w="5377" w:type="dxa"/>
            <w:gridSpan w:val="4"/>
            <w:vAlign w:val="center"/>
          </w:tcPr>
          <w:p>
            <w:pPr>
              <w:pStyle w:val="29"/>
              <w:ind w:firstLine="360"/>
              <w:jc w:val="center"/>
              <w:rPr>
                <w:color w:val="000000"/>
                <w:sz w:val="18"/>
                <w:szCs w:val="18"/>
              </w:rPr>
            </w:pPr>
            <w:r>
              <w:rPr>
                <w:rFonts w:hAnsi="宋体"/>
                <w:color w:val="000000"/>
                <w:sz w:val="18"/>
                <w:szCs w:val="18"/>
              </w:rPr>
              <w:t>部件说明</w:t>
            </w:r>
          </w:p>
        </w:tc>
        <w:tc>
          <w:tcPr>
            <w:tcW w:w="1235" w:type="dxa"/>
            <w:vAlign w:val="center"/>
          </w:tcPr>
          <w:p>
            <w:pPr>
              <w:pStyle w:val="29"/>
              <w:ind w:firstLine="0" w:firstLineChars="0"/>
              <w:jc w:val="center"/>
              <w:rPr>
                <w:color w:val="000000"/>
                <w:sz w:val="18"/>
                <w:szCs w:val="18"/>
              </w:rPr>
            </w:pPr>
            <w:r>
              <w:rPr>
                <w:rFonts w:hAnsi="宋体"/>
                <w:color w:val="000000"/>
                <w:sz w:val="18"/>
                <w:szCs w:val="18"/>
              </w:rPr>
              <w:t>最大温升</w:t>
            </w:r>
          </w:p>
          <w:p>
            <w:pPr>
              <w:pStyle w:val="29"/>
              <w:ind w:firstLine="0" w:firstLineChars="0"/>
              <w:jc w:val="center"/>
              <w:rPr>
                <w:color w:val="000000"/>
                <w:sz w:val="18"/>
                <w:szCs w:val="18"/>
              </w:rPr>
            </w:pPr>
            <w:r>
              <w:rPr>
                <w:color w:val="000000"/>
                <w:sz w:val="18"/>
                <w:szCs w:val="18"/>
              </w:rPr>
              <w:t>K</w:t>
            </w:r>
          </w:p>
        </w:tc>
        <w:tc>
          <w:tcPr>
            <w:tcW w:w="1364" w:type="dxa"/>
            <w:vAlign w:val="center"/>
          </w:tcPr>
          <w:p>
            <w:pPr>
              <w:pStyle w:val="29"/>
              <w:ind w:firstLine="0" w:firstLineChars="0"/>
              <w:jc w:val="center"/>
              <w:rPr>
                <w:color w:val="000000"/>
                <w:sz w:val="18"/>
                <w:szCs w:val="18"/>
              </w:rPr>
            </w:pPr>
            <w:r>
              <w:rPr>
                <w:rFonts w:hAnsi="宋体"/>
                <w:color w:val="000000"/>
                <w:sz w:val="18"/>
                <w:szCs w:val="18"/>
              </w:rPr>
              <w:t>最高温度</w:t>
            </w:r>
          </w:p>
          <w:p>
            <w:pPr>
              <w:pStyle w:val="29"/>
              <w:ind w:firstLine="0" w:firstLineChars="0"/>
              <w:jc w:val="center"/>
              <w:rPr>
                <w:color w:val="000000"/>
                <w:sz w:val="18"/>
                <w:szCs w:val="18"/>
              </w:rPr>
            </w:pPr>
            <w:r>
              <w:rPr>
                <w:rFonts w:hAnsi="宋体"/>
                <w:color w:val="000000"/>
                <w:sz w:val="18"/>
                <w:szCs w:val="18"/>
              </w:rPr>
              <w:t>℃</w:t>
            </w:r>
          </w:p>
        </w:tc>
        <w:tc>
          <w:tcPr>
            <w:tcW w:w="1179" w:type="dxa"/>
            <w:vAlign w:val="center"/>
          </w:tcPr>
          <w:p>
            <w:pPr>
              <w:pStyle w:val="29"/>
              <w:ind w:firstLine="0" w:firstLineChars="0"/>
              <w:rPr>
                <w:rFonts w:hint="eastAsia" w:hAnsi="宋体"/>
                <w:color w:val="000000"/>
                <w:sz w:val="18"/>
                <w:szCs w:val="18"/>
                <w:vertAlign w:val="superscript"/>
              </w:rPr>
            </w:pPr>
            <w:r>
              <w:rPr>
                <w:rFonts w:hAnsi="宋体"/>
                <w:color w:val="000000"/>
                <w:sz w:val="18"/>
                <w:szCs w:val="18"/>
              </w:rPr>
              <w:t>备</w:t>
            </w:r>
            <w:r>
              <w:rPr>
                <w:rFonts w:hint="eastAsia" w:hAnsi="宋体"/>
                <w:color w:val="000000"/>
                <w:sz w:val="18"/>
                <w:szCs w:val="18"/>
              </w:rPr>
              <w:t xml:space="preserve">    </w:t>
            </w:r>
            <w:r>
              <w:rPr>
                <w:rFonts w:hAnsi="宋体"/>
                <w:color w:val="000000"/>
                <w:sz w:val="18"/>
                <w:szCs w:val="18"/>
              </w:rPr>
              <w:t>注</w:t>
            </w:r>
            <w:r>
              <w:rPr>
                <w:rFonts w:hint="eastAsia" w:hAnsi="宋体"/>
                <w:color w:val="00000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blHeader/>
        </w:trPr>
        <w:tc>
          <w:tcPr>
            <w:tcW w:w="1154" w:type="dxa"/>
            <w:vMerge w:val="restart"/>
            <w:vAlign w:val="center"/>
          </w:tcPr>
          <w:p>
            <w:pPr>
              <w:pStyle w:val="29"/>
              <w:ind w:firstLine="0" w:firstLineChars="0"/>
              <w:jc w:val="center"/>
              <w:rPr>
                <w:rFonts w:hint="eastAsia" w:hAnsi="宋体"/>
                <w:color w:val="000000"/>
                <w:sz w:val="18"/>
                <w:szCs w:val="18"/>
              </w:rPr>
            </w:pPr>
            <w:r>
              <w:rPr>
                <w:rFonts w:hAnsi="宋体"/>
                <w:color w:val="000000"/>
                <w:sz w:val="18"/>
                <w:szCs w:val="18"/>
              </w:rPr>
              <w:t>弹性接触</w:t>
            </w:r>
          </w:p>
        </w:tc>
        <w:tc>
          <w:tcPr>
            <w:tcW w:w="1314" w:type="dxa"/>
            <w:vMerge w:val="restart"/>
            <w:vAlign w:val="center"/>
          </w:tcPr>
          <w:p>
            <w:pPr>
              <w:pStyle w:val="29"/>
              <w:ind w:firstLine="0" w:firstLineChars="0"/>
              <w:jc w:val="center"/>
              <w:rPr>
                <w:rFonts w:hint="eastAsia" w:hAnsi="宋体"/>
                <w:color w:val="000000"/>
                <w:sz w:val="18"/>
                <w:szCs w:val="18"/>
              </w:rPr>
            </w:pPr>
            <w:r>
              <w:rPr>
                <w:rFonts w:hAnsi="宋体"/>
                <w:color w:val="000000"/>
                <w:sz w:val="18"/>
                <w:szCs w:val="18"/>
              </w:rPr>
              <w:t>铜与铜合金</w:t>
            </w:r>
          </w:p>
        </w:tc>
        <w:tc>
          <w:tcPr>
            <w:tcW w:w="1337" w:type="dxa"/>
            <w:vAlign w:val="center"/>
          </w:tcPr>
          <w:p>
            <w:pPr>
              <w:pStyle w:val="29"/>
              <w:ind w:firstLine="0" w:firstLineChars="0"/>
              <w:jc w:val="center"/>
              <w:rPr>
                <w:color w:val="000000"/>
                <w:sz w:val="18"/>
                <w:szCs w:val="18"/>
              </w:rPr>
            </w:pPr>
            <w:r>
              <w:rPr>
                <w:color w:val="000000"/>
                <w:sz w:val="18"/>
                <w:szCs w:val="18"/>
              </w:rPr>
              <w:t>无镀层</w:t>
            </w:r>
          </w:p>
        </w:tc>
        <w:tc>
          <w:tcPr>
            <w:tcW w:w="1572" w:type="dxa"/>
            <w:vAlign w:val="center"/>
          </w:tcPr>
          <w:p>
            <w:pPr>
              <w:pStyle w:val="29"/>
              <w:ind w:firstLine="0" w:firstLineChars="0"/>
              <w:jc w:val="center"/>
              <w:rPr>
                <w:color w:val="000000"/>
                <w:sz w:val="18"/>
                <w:szCs w:val="18"/>
              </w:rPr>
            </w:pPr>
            <w:r>
              <w:rPr>
                <w:color w:val="000000"/>
                <w:sz w:val="18"/>
                <w:szCs w:val="18"/>
              </w:rPr>
              <w:t>空气中</w:t>
            </w:r>
          </w:p>
          <w:p>
            <w:pPr>
              <w:pStyle w:val="29"/>
              <w:ind w:firstLine="0" w:firstLineChars="0"/>
              <w:jc w:val="center"/>
              <w:rPr>
                <w:color w:val="000000"/>
                <w:sz w:val="18"/>
                <w:szCs w:val="18"/>
              </w:rPr>
            </w:pPr>
            <w:r>
              <w:rPr>
                <w:color w:val="000000"/>
                <w:sz w:val="18"/>
                <w:szCs w:val="18"/>
              </w:rPr>
              <w:t>油中</w:t>
            </w:r>
          </w:p>
        </w:tc>
        <w:tc>
          <w:tcPr>
            <w:tcW w:w="1235" w:type="dxa"/>
            <w:vAlign w:val="center"/>
          </w:tcPr>
          <w:p>
            <w:pPr>
              <w:pStyle w:val="29"/>
              <w:ind w:firstLine="0" w:firstLineChars="0"/>
              <w:jc w:val="center"/>
              <w:rPr>
                <w:color w:val="000000"/>
                <w:sz w:val="18"/>
                <w:szCs w:val="18"/>
              </w:rPr>
            </w:pPr>
            <w:r>
              <w:rPr>
                <w:color w:val="000000"/>
                <w:sz w:val="18"/>
                <w:szCs w:val="18"/>
              </w:rPr>
              <w:t>45</w:t>
            </w:r>
          </w:p>
          <w:p>
            <w:pPr>
              <w:pStyle w:val="29"/>
              <w:ind w:firstLine="0" w:firstLineChars="0"/>
              <w:jc w:val="center"/>
              <w:rPr>
                <w:color w:val="000000"/>
                <w:sz w:val="18"/>
                <w:szCs w:val="18"/>
              </w:rPr>
            </w:pPr>
            <w:r>
              <w:rPr>
                <w:color w:val="000000"/>
                <w:sz w:val="18"/>
                <w:szCs w:val="18"/>
              </w:rPr>
              <w:t>50</w:t>
            </w:r>
          </w:p>
        </w:tc>
        <w:tc>
          <w:tcPr>
            <w:tcW w:w="1364" w:type="dxa"/>
            <w:vAlign w:val="center"/>
          </w:tcPr>
          <w:p>
            <w:pPr>
              <w:pStyle w:val="29"/>
              <w:ind w:firstLine="0" w:firstLineChars="0"/>
              <w:jc w:val="center"/>
              <w:rPr>
                <w:color w:val="000000"/>
                <w:sz w:val="18"/>
                <w:szCs w:val="18"/>
              </w:rPr>
            </w:pPr>
            <w:r>
              <w:rPr>
                <w:color w:val="000000"/>
                <w:sz w:val="18"/>
                <w:szCs w:val="18"/>
              </w:rPr>
              <w:t>75</w:t>
            </w:r>
          </w:p>
          <w:p>
            <w:pPr>
              <w:pStyle w:val="29"/>
              <w:ind w:firstLine="0" w:firstLineChars="0"/>
              <w:jc w:val="center"/>
              <w:rPr>
                <w:color w:val="000000"/>
                <w:sz w:val="18"/>
                <w:szCs w:val="18"/>
              </w:rPr>
            </w:pPr>
            <w:r>
              <w:rPr>
                <w:color w:val="000000"/>
                <w:sz w:val="18"/>
                <w:szCs w:val="18"/>
              </w:rPr>
              <w:t>80</w:t>
            </w:r>
          </w:p>
        </w:tc>
        <w:tc>
          <w:tcPr>
            <w:tcW w:w="1179" w:type="dxa"/>
            <w:vMerge w:val="restart"/>
            <w:vAlign w:val="center"/>
          </w:tcPr>
          <w:p>
            <w:pPr>
              <w:pStyle w:val="29"/>
              <w:ind w:firstLine="0" w:firstLineChars="0"/>
              <w:jc w:val="center"/>
              <w:rPr>
                <w:color w:val="000000"/>
                <w:sz w:val="18"/>
                <w:szCs w:val="18"/>
              </w:rPr>
            </w:pPr>
          </w:p>
          <w:p>
            <w:pPr>
              <w:pStyle w:val="29"/>
              <w:ind w:firstLine="0" w:firstLineChars="0"/>
              <w:jc w:val="center"/>
              <w:rPr>
                <w:color w:val="000000"/>
                <w:sz w:val="18"/>
                <w:szCs w:val="18"/>
              </w:rPr>
            </w:pPr>
          </w:p>
          <w:p>
            <w:pPr>
              <w:pStyle w:val="29"/>
              <w:ind w:firstLine="0" w:firstLineChars="0"/>
              <w:jc w:val="center"/>
              <w:rPr>
                <w:color w:val="000000"/>
                <w:sz w:val="18"/>
                <w:szCs w:val="18"/>
                <w:vertAlign w:val="superscript"/>
              </w:rPr>
            </w:pPr>
            <w:r>
              <w:rPr>
                <w:rFonts w:hint="eastAsia"/>
                <w:color w:val="000000"/>
                <w:sz w:val="18"/>
                <w:szCs w:val="18"/>
                <w:vertAlign w:val="superscript"/>
              </w:rPr>
              <w:t>b</w:t>
            </w:r>
          </w:p>
          <w:p>
            <w:pPr>
              <w:pStyle w:val="29"/>
              <w:ind w:firstLine="0" w:firstLineChars="0"/>
              <w:jc w:val="center"/>
              <w:rPr>
                <w:color w:val="000000"/>
                <w:sz w:val="18"/>
                <w:szCs w:val="18"/>
              </w:rPr>
            </w:pPr>
          </w:p>
          <w:p>
            <w:pPr>
              <w:pStyle w:val="29"/>
              <w:ind w:firstLine="0" w:firstLineChars="0"/>
              <w:jc w:val="center"/>
              <w:rPr>
                <w:color w:val="000000"/>
                <w:sz w:val="18"/>
                <w:szCs w:val="18"/>
              </w:rPr>
            </w:pPr>
          </w:p>
          <w:p>
            <w:pPr>
              <w:pStyle w:val="29"/>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1154" w:type="dxa"/>
            <w:vMerge w:val="continue"/>
            <w:vAlign w:val="center"/>
          </w:tcPr>
          <w:p>
            <w:pPr>
              <w:pStyle w:val="29"/>
              <w:ind w:firstLine="360"/>
              <w:jc w:val="center"/>
              <w:rPr>
                <w:rFonts w:hint="eastAsia" w:hAnsi="宋体"/>
                <w:color w:val="000000"/>
                <w:sz w:val="18"/>
                <w:szCs w:val="18"/>
              </w:rPr>
            </w:pPr>
          </w:p>
        </w:tc>
        <w:tc>
          <w:tcPr>
            <w:tcW w:w="1314" w:type="dxa"/>
            <w:vMerge w:val="continue"/>
            <w:vAlign w:val="center"/>
          </w:tcPr>
          <w:p>
            <w:pPr>
              <w:pStyle w:val="29"/>
              <w:ind w:firstLine="360"/>
              <w:jc w:val="center"/>
              <w:rPr>
                <w:rFonts w:hint="eastAsia" w:hAnsi="宋体"/>
                <w:color w:val="000000"/>
                <w:sz w:val="18"/>
                <w:szCs w:val="18"/>
              </w:rPr>
            </w:pPr>
          </w:p>
        </w:tc>
        <w:tc>
          <w:tcPr>
            <w:tcW w:w="1337" w:type="dxa"/>
            <w:vAlign w:val="center"/>
          </w:tcPr>
          <w:p>
            <w:pPr>
              <w:pStyle w:val="29"/>
              <w:ind w:firstLine="0" w:firstLineChars="0"/>
              <w:jc w:val="center"/>
              <w:rPr>
                <w:color w:val="000000"/>
                <w:sz w:val="18"/>
                <w:szCs w:val="18"/>
              </w:rPr>
            </w:pPr>
            <w:r>
              <w:rPr>
                <w:color w:val="000000"/>
                <w:sz w:val="18"/>
                <w:szCs w:val="18"/>
              </w:rPr>
              <w:t>镀锡</w:t>
            </w:r>
          </w:p>
        </w:tc>
        <w:tc>
          <w:tcPr>
            <w:tcW w:w="1572" w:type="dxa"/>
            <w:vAlign w:val="center"/>
          </w:tcPr>
          <w:p>
            <w:pPr>
              <w:pStyle w:val="29"/>
              <w:ind w:firstLine="0" w:firstLineChars="0"/>
              <w:jc w:val="center"/>
              <w:rPr>
                <w:color w:val="000000"/>
                <w:sz w:val="18"/>
                <w:szCs w:val="18"/>
              </w:rPr>
            </w:pPr>
            <w:r>
              <w:rPr>
                <w:color w:val="000000"/>
                <w:sz w:val="18"/>
                <w:szCs w:val="18"/>
              </w:rPr>
              <w:t>空气或油中</w:t>
            </w:r>
          </w:p>
        </w:tc>
        <w:tc>
          <w:tcPr>
            <w:tcW w:w="1235" w:type="dxa"/>
            <w:vAlign w:val="center"/>
          </w:tcPr>
          <w:p>
            <w:pPr>
              <w:pStyle w:val="29"/>
              <w:ind w:firstLine="0" w:firstLineChars="0"/>
              <w:jc w:val="center"/>
              <w:rPr>
                <w:color w:val="000000"/>
                <w:sz w:val="18"/>
                <w:szCs w:val="18"/>
              </w:rPr>
            </w:pPr>
            <w:r>
              <w:rPr>
                <w:color w:val="000000"/>
                <w:sz w:val="18"/>
                <w:szCs w:val="18"/>
              </w:rPr>
              <w:t>60</w:t>
            </w:r>
          </w:p>
        </w:tc>
        <w:tc>
          <w:tcPr>
            <w:tcW w:w="1364" w:type="dxa"/>
            <w:vAlign w:val="center"/>
          </w:tcPr>
          <w:p>
            <w:pPr>
              <w:pStyle w:val="29"/>
              <w:ind w:firstLine="0" w:firstLineChars="0"/>
              <w:jc w:val="center"/>
              <w:rPr>
                <w:color w:val="000000"/>
                <w:sz w:val="18"/>
                <w:szCs w:val="18"/>
              </w:rPr>
            </w:pPr>
            <w:r>
              <w:rPr>
                <w:color w:val="000000"/>
                <w:sz w:val="18"/>
                <w:szCs w:val="18"/>
              </w:rPr>
              <w:t>90</w:t>
            </w:r>
          </w:p>
        </w:tc>
        <w:tc>
          <w:tcPr>
            <w:tcW w:w="1179" w:type="dxa"/>
            <w:vMerge w:val="continue"/>
            <w:vAlign w:val="center"/>
          </w:tcPr>
          <w:p>
            <w:pPr>
              <w:pStyle w:val="29"/>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1154" w:type="dxa"/>
            <w:vAlign w:val="center"/>
          </w:tcPr>
          <w:p>
            <w:pPr>
              <w:pStyle w:val="29"/>
              <w:ind w:firstLine="360"/>
              <w:jc w:val="center"/>
              <w:rPr>
                <w:rFonts w:hint="eastAsia" w:hAnsi="宋体"/>
                <w:color w:val="000000"/>
                <w:sz w:val="18"/>
                <w:szCs w:val="18"/>
              </w:rPr>
            </w:pPr>
          </w:p>
        </w:tc>
        <w:tc>
          <w:tcPr>
            <w:tcW w:w="1314" w:type="dxa"/>
            <w:vAlign w:val="center"/>
          </w:tcPr>
          <w:p>
            <w:pPr>
              <w:pStyle w:val="29"/>
              <w:ind w:firstLine="360"/>
              <w:jc w:val="center"/>
              <w:rPr>
                <w:rFonts w:hint="eastAsia" w:hAnsi="宋体"/>
                <w:color w:val="000000"/>
                <w:sz w:val="18"/>
                <w:szCs w:val="18"/>
              </w:rPr>
            </w:pPr>
          </w:p>
        </w:tc>
        <w:tc>
          <w:tcPr>
            <w:tcW w:w="1337" w:type="dxa"/>
            <w:vAlign w:val="center"/>
          </w:tcPr>
          <w:p>
            <w:pPr>
              <w:pStyle w:val="29"/>
              <w:ind w:firstLine="0" w:firstLineChars="0"/>
              <w:jc w:val="center"/>
              <w:rPr>
                <w:color w:val="000000"/>
                <w:sz w:val="18"/>
                <w:szCs w:val="18"/>
              </w:rPr>
            </w:pPr>
            <w:r>
              <w:rPr>
                <w:color w:val="000000"/>
                <w:sz w:val="18"/>
                <w:szCs w:val="18"/>
              </w:rPr>
              <w:t>电镀银或镍</w:t>
            </w:r>
          </w:p>
        </w:tc>
        <w:tc>
          <w:tcPr>
            <w:tcW w:w="1572" w:type="dxa"/>
            <w:vAlign w:val="center"/>
          </w:tcPr>
          <w:p>
            <w:pPr>
              <w:pStyle w:val="29"/>
              <w:ind w:firstLine="0" w:firstLineChars="0"/>
              <w:jc w:val="center"/>
              <w:rPr>
                <w:color w:val="000000"/>
                <w:sz w:val="18"/>
                <w:szCs w:val="18"/>
              </w:rPr>
            </w:pPr>
            <w:r>
              <w:rPr>
                <w:color w:val="000000"/>
                <w:sz w:val="18"/>
                <w:szCs w:val="18"/>
              </w:rPr>
              <w:t>空气</w:t>
            </w:r>
            <w:r>
              <w:rPr>
                <w:rFonts w:hint="eastAsia"/>
                <w:color w:val="000000"/>
                <w:sz w:val="18"/>
                <w:szCs w:val="18"/>
              </w:rPr>
              <w:t>中</w:t>
            </w:r>
          </w:p>
          <w:p>
            <w:pPr>
              <w:pStyle w:val="29"/>
              <w:ind w:firstLine="0" w:firstLineChars="0"/>
              <w:jc w:val="center"/>
              <w:rPr>
                <w:color w:val="000000"/>
                <w:sz w:val="18"/>
                <w:szCs w:val="18"/>
              </w:rPr>
            </w:pPr>
            <w:r>
              <w:rPr>
                <w:color w:val="000000"/>
                <w:sz w:val="18"/>
                <w:szCs w:val="18"/>
              </w:rPr>
              <w:t>油中</w:t>
            </w:r>
          </w:p>
        </w:tc>
        <w:tc>
          <w:tcPr>
            <w:tcW w:w="1235" w:type="dxa"/>
            <w:vAlign w:val="center"/>
          </w:tcPr>
          <w:p>
            <w:pPr>
              <w:pStyle w:val="29"/>
              <w:ind w:firstLine="0" w:firstLineChars="0"/>
              <w:jc w:val="center"/>
              <w:rPr>
                <w:color w:val="000000"/>
                <w:sz w:val="18"/>
                <w:szCs w:val="18"/>
              </w:rPr>
            </w:pPr>
            <w:r>
              <w:rPr>
                <w:color w:val="000000"/>
                <w:sz w:val="18"/>
                <w:szCs w:val="18"/>
              </w:rPr>
              <w:t>75</w:t>
            </w:r>
          </w:p>
          <w:p>
            <w:pPr>
              <w:pStyle w:val="29"/>
              <w:ind w:firstLine="0" w:firstLineChars="0"/>
              <w:jc w:val="center"/>
              <w:rPr>
                <w:color w:val="000000"/>
                <w:sz w:val="18"/>
                <w:szCs w:val="18"/>
              </w:rPr>
            </w:pPr>
            <w:r>
              <w:rPr>
                <w:color w:val="000000"/>
                <w:sz w:val="18"/>
                <w:szCs w:val="18"/>
              </w:rPr>
              <w:t>60</w:t>
            </w:r>
          </w:p>
        </w:tc>
        <w:tc>
          <w:tcPr>
            <w:tcW w:w="1364" w:type="dxa"/>
            <w:vAlign w:val="center"/>
          </w:tcPr>
          <w:p>
            <w:pPr>
              <w:pStyle w:val="29"/>
              <w:ind w:firstLine="0" w:firstLineChars="0"/>
              <w:jc w:val="center"/>
              <w:rPr>
                <w:color w:val="000000"/>
                <w:sz w:val="18"/>
                <w:szCs w:val="18"/>
              </w:rPr>
            </w:pPr>
            <w:r>
              <w:rPr>
                <w:color w:val="000000"/>
                <w:sz w:val="18"/>
                <w:szCs w:val="18"/>
              </w:rPr>
              <w:t>105</w:t>
            </w:r>
          </w:p>
          <w:p>
            <w:pPr>
              <w:pStyle w:val="29"/>
              <w:ind w:firstLine="0" w:firstLineChars="0"/>
              <w:jc w:val="center"/>
              <w:rPr>
                <w:color w:val="000000"/>
                <w:sz w:val="18"/>
                <w:szCs w:val="18"/>
              </w:rPr>
            </w:pPr>
            <w:r>
              <w:rPr>
                <w:color w:val="000000"/>
                <w:sz w:val="18"/>
                <w:szCs w:val="18"/>
              </w:rPr>
              <w:t>90</w:t>
            </w:r>
          </w:p>
        </w:tc>
        <w:tc>
          <w:tcPr>
            <w:tcW w:w="1179" w:type="dxa"/>
            <w:vMerge w:val="continue"/>
            <w:vAlign w:val="center"/>
          </w:tcPr>
          <w:p>
            <w:pPr>
              <w:pStyle w:val="29"/>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trPr>
        <w:tc>
          <w:tcPr>
            <w:tcW w:w="1154" w:type="dxa"/>
            <w:vMerge w:val="restart"/>
            <w:vAlign w:val="center"/>
          </w:tcPr>
          <w:p>
            <w:pPr>
              <w:pStyle w:val="29"/>
              <w:ind w:firstLine="0" w:firstLineChars="0"/>
              <w:jc w:val="center"/>
              <w:rPr>
                <w:rFonts w:hint="eastAsia" w:hAnsi="宋体"/>
                <w:color w:val="000000"/>
                <w:sz w:val="18"/>
                <w:szCs w:val="18"/>
              </w:rPr>
            </w:pPr>
            <w:r>
              <w:rPr>
                <w:rFonts w:hAnsi="宋体"/>
                <w:color w:val="000000"/>
                <w:sz w:val="18"/>
                <w:szCs w:val="18"/>
              </w:rPr>
              <w:t>螺</w:t>
            </w:r>
            <w:r>
              <w:rPr>
                <w:rFonts w:hint="eastAsia" w:hAnsi="宋体"/>
                <w:color w:val="000000"/>
                <w:sz w:val="18"/>
                <w:szCs w:val="18"/>
              </w:rPr>
              <w:t>纹</w:t>
            </w:r>
            <w:r>
              <w:rPr>
                <w:rFonts w:hAnsi="宋体"/>
                <w:color w:val="000000"/>
                <w:sz w:val="18"/>
                <w:szCs w:val="18"/>
              </w:rPr>
              <w:t>接触</w:t>
            </w:r>
          </w:p>
        </w:tc>
        <w:tc>
          <w:tcPr>
            <w:tcW w:w="1314" w:type="dxa"/>
            <w:vMerge w:val="restart"/>
            <w:vAlign w:val="center"/>
          </w:tcPr>
          <w:p>
            <w:pPr>
              <w:pStyle w:val="29"/>
              <w:ind w:firstLine="0" w:firstLineChars="0"/>
              <w:jc w:val="center"/>
              <w:rPr>
                <w:rFonts w:hint="eastAsia" w:hAnsi="宋体"/>
                <w:color w:val="000000"/>
                <w:sz w:val="18"/>
                <w:szCs w:val="18"/>
              </w:rPr>
            </w:pPr>
            <w:r>
              <w:rPr>
                <w:rFonts w:hAnsi="宋体"/>
                <w:color w:val="000000"/>
                <w:sz w:val="18"/>
                <w:szCs w:val="18"/>
              </w:rPr>
              <w:t>铜</w:t>
            </w:r>
          </w:p>
          <w:p>
            <w:pPr>
              <w:pStyle w:val="29"/>
              <w:ind w:firstLine="0" w:firstLineChars="0"/>
              <w:jc w:val="center"/>
              <w:rPr>
                <w:rFonts w:hint="eastAsia" w:hAnsi="宋体"/>
                <w:color w:val="000000"/>
                <w:sz w:val="18"/>
                <w:szCs w:val="18"/>
              </w:rPr>
            </w:pPr>
            <w:r>
              <w:rPr>
                <w:rFonts w:hAnsi="宋体"/>
                <w:color w:val="000000"/>
                <w:sz w:val="18"/>
                <w:szCs w:val="18"/>
              </w:rPr>
              <w:t>铝</w:t>
            </w:r>
          </w:p>
          <w:p>
            <w:pPr>
              <w:pStyle w:val="29"/>
              <w:ind w:firstLine="0" w:firstLineChars="0"/>
              <w:jc w:val="center"/>
              <w:rPr>
                <w:rFonts w:hint="eastAsia" w:hAnsi="宋体"/>
                <w:color w:val="000000"/>
                <w:sz w:val="18"/>
                <w:szCs w:val="18"/>
              </w:rPr>
            </w:pPr>
            <w:r>
              <w:rPr>
                <w:rFonts w:hAnsi="宋体"/>
                <w:color w:val="000000"/>
                <w:sz w:val="18"/>
                <w:szCs w:val="18"/>
              </w:rPr>
              <w:t>铜合金</w:t>
            </w:r>
          </w:p>
          <w:p>
            <w:pPr>
              <w:pStyle w:val="29"/>
              <w:ind w:firstLine="0" w:firstLineChars="0"/>
              <w:jc w:val="center"/>
              <w:rPr>
                <w:rFonts w:hint="eastAsia" w:hAnsi="宋体"/>
                <w:color w:val="000000"/>
                <w:sz w:val="18"/>
                <w:szCs w:val="18"/>
              </w:rPr>
            </w:pPr>
            <w:r>
              <w:rPr>
                <w:rFonts w:hAnsi="宋体"/>
                <w:color w:val="000000"/>
                <w:sz w:val="18"/>
                <w:szCs w:val="18"/>
              </w:rPr>
              <w:t>铝合金</w:t>
            </w:r>
          </w:p>
        </w:tc>
        <w:tc>
          <w:tcPr>
            <w:tcW w:w="1337" w:type="dxa"/>
            <w:vAlign w:val="center"/>
          </w:tcPr>
          <w:p>
            <w:pPr>
              <w:pStyle w:val="29"/>
              <w:ind w:firstLine="0" w:firstLineChars="0"/>
              <w:jc w:val="center"/>
              <w:rPr>
                <w:color w:val="000000"/>
                <w:sz w:val="18"/>
                <w:szCs w:val="18"/>
              </w:rPr>
            </w:pPr>
            <w:r>
              <w:rPr>
                <w:color w:val="000000"/>
                <w:sz w:val="18"/>
                <w:szCs w:val="18"/>
              </w:rPr>
              <w:t>无镀层</w:t>
            </w:r>
          </w:p>
        </w:tc>
        <w:tc>
          <w:tcPr>
            <w:tcW w:w="1572" w:type="dxa"/>
            <w:vAlign w:val="center"/>
          </w:tcPr>
          <w:p>
            <w:pPr>
              <w:pStyle w:val="29"/>
              <w:ind w:firstLine="0" w:firstLineChars="0"/>
              <w:jc w:val="center"/>
              <w:rPr>
                <w:color w:val="000000"/>
                <w:sz w:val="18"/>
                <w:szCs w:val="18"/>
              </w:rPr>
            </w:pPr>
            <w:r>
              <w:rPr>
                <w:color w:val="000000"/>
                <w:sz w:val="18"/>
                <w:szCs w:val="18"/>
              </w:rPr>
              <w:t>空气中</w:t>
            </w:r>
          </w:p>
          <w:p>
            <w:pPr>
              <w:pStyle w:val="29"/>
              <w:ind w:firstLine="0" w:firstLineChars="0"/>
              <w:jc w:val="center"/>
              <w:rPr>
                <w:color w:val="000000"/>
                <w:sz w:val="18"/>
                <w:szCs w:val="18"/>
              </w:rPr>
            </w:pPr>
            <w:r>
              <w:rPr>
                <w:color w:val="000000"/>
                <w:sz w:val="18"/>
                <w:szCs w:val="18"/>
              </w:rPr>
              <w:t>油中</w:t>
            </w:r>
          </w:p>
        </w:tc>
        <w:tc>
          <w:tcPr>
            <w:tcW w:w="1235" w:type="dxa"/>
            <w:vAlign w:val="center"/>
          </w:tcPr>
          <w:p>
            <w:pPr>
              <w:pStyle w:val="29"/>
              <w:ind w:firstLine="0" w:firstLineChars="0"/>
              <w:jc w:val="center"/>
              <w:rPr>
                <w:color w:val="000000"/>
                <w:sz w:val="18"/>
                <w:szCs w:val="18"/>
              </w:rPr>
            </w:pPr>
            <w:r>
              <w:rPr>
                <w:color w:val="000000"/>
                <w:sz w:val="18"/>
                <w:szCs w:val="18"/>
              </w:rPr>
              <w:t>60</w:t>
            </w:r>
          </w:p>
          <w:p>
            <w:pPr>
              <w:pStyle w:val="29"/>
              <w:ind w:firstLine="0" w:firstLineChars="0"/>
              <w:jc w:val="center"/>
              <w:rPr>
                <w:color w:val="000000"/>
                <w:sz w:val="18"/>
                <w:szCs w:val="18"/>
              </w:rPr>
            </w:pPr>
            <w:r>
              <w:rPr>
                <w:color w:val="000000"/>
                <w:sz w:val="18"/>
                <w:szCs w:val="18"/>
              </w:rPr>
              <w:t>70</w:t>
            </w:r>
          </w:p>
        </w:tc>
        <w:tc>
          <w:tcPr>
            <w:tcW w:w="1364" w:type="dxa"/>
            <w:vAlign w:val="center"/>
          </w:tcPr>
          <w:p>
            <w:pPr>
              <w:pStyle w:val="29"/>
              <w:ind w:firstLine="0" w:firstLineChars="0"/>
              <w:jc w:val="center"/>
              <w:rPr>
                <w:color w:val="000000"/>
                <w:sz w:val="18"/>
                <w:szCs w:val="18"/>
              </w:rPr>
            </w:pPr>
            <w:r>
              <w:rPr>
                <w:color w:val="000000"/>
                <w:sz w:val="18"/>
                <w:szCs w:val="18"/>
              </w:rPr>
              <w:t>90</w:t>
            </w:r>
          </w:p>
          <w:p>
            <w:pPr>
              <w:pStyle w:val="29"/>
              <w:ind w:firstLine="0" w:firstLineChars="0"/>
              <w:jc w:val="center"/>
              <w:rPr>
                <w:color w:val="000000"/>
                <w:sz w:val="18"/>
                <w:szCs w:val="18"/>
              </w:rPr>
            </w:pPr>
            <w:r>
              <w:rPr>
                <w:color w:val="000000"/>
                <w:sz w:val="18"/>
                <w:szCs w:val="18"/>
              </w:rPr>
              <w:t>100</w:t>
            </w:r>
          </w:p>
        </w:tc>
        <w:tc>
          <w:tcPr>
            <w:tcW w:w="1179" w:type="dxa"/>
            <w:vMerge w:val="restart"/>
            <w:vAlign w:val="center"/>
          </w:tcPr>
          <w:p>
            <w:pPr>
              <w:pStyle w:val="29"/>
              <w:ind w:firstLine="0" w:firstLineChars="0"/>
              <w:jc w:val="center"/>
              <w:rPr>
                <w:color w:val="000000"/>
                <w:sz w:val="18"/>
                <w:szCs w:val="18"/>
              </w:rPr>
            </w:pPr>
          </w:p>
          <w:p>
            <w:pPr>
              <w:pStyle w:val="29"/>
              <w:ind w:firstLine="0" w:firstLineChars="0"/>
              <w:jc w:val="center"/>
              <w:rPr>
                <w:color w:val="000000"/>
                <w:sz w:val="18"/>
                <w:szCs w:val="18"/>
              </w:rPr>
            </w:pPr>
          </w:p>
          <w:p>
            <w:pPr>
              <w:pStyle w:val="29"/>
              <w:ind w:firstLine="0" w:firstLineChars="0"/>
              <w:jc w:val="center"/>
              <w:rPr>
                <w:color w:val="000000"/>
                <w:sz w:val="18"/>
                <w:szCs w:val="18"/>
              </w:rPr>
            </w:pPr>
          </w:p>
          <w:p>
            <w:pPr>
              <w:pStyle w:val="29"/>
              <w:ind w:firstLine="0" w:firstLineChars="0"/>
              <w:jc w:val="center"/>
              <w:rPr>
                <w:color w:val="000000"/>
                <w:sz w:val="18"/>
                <w:szCs w:val="18"/>
              </w:rPr>
            </w:pPr>
          </w:p>
          <w:p>
            <w:pPr>
              <w:pStyle w:val="29"/>
              <w:ind w:firstLine="0" w:firstLineChars="0"/>
              <w:jc w:val="center"/>
              <w:rPr>
                <w:color w:val="000000"/>
                <w:sz w:val="18"/>
                <w:szCs w:val="18"/>
              </w:rPr>
            </w:pPr>
          </w:p>
          <w:p>
            <w:pPr>
              <w:pStyle w:val="29"/>
              <w:ind w:firstLine="0" w:firstLineChars="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1154" w:type="dxa"/>
            <w:vMerge w:val="continue"/>
            <w:vAlign w:val="center"/>
          </w:tcPr>
          <w:p>
            <w:pPr>
              <w:pStyle w:val="29"/>
              <w:ind w:firstLine="360"/>
              <w:jc w:val="center"/>
              <w:rPr>
                <w:rFonts w:hint="eastAsia" w:hAnsi="宋体"/>
                <w:color w:val="000000"/>
                <w:sz w:val="18"/>
                <w:szCs w:val="18"/>
              </w:rPr>
            </w:pPr>
          </w:p>
        </w:tc>
        <w:tc>
          <w:tcPr>
            <w:tcW w:w="1314" w:type="dxa"/>
            <w:vMerge w:val="continue"/>
            <w:vAlign w:val="center"/>
          </w:tcPr>
          <w:p>
            <w:pPr>
              <w:pStyle w:val="29"/>
              <w:ind w:firstLine="360"/>
              <w:jc w:val="center"/>
              <w:rPr>
                <w:rFonts w:hint="eastAsia" w:hAnsi="宋体"/>
                <w:color w:val="000000"/>
                <w:sz w:val="18"/>
                <w:szCs w:val="18"/>
              </w:rPr>
            </w:pPr>
          </w:p>
        </w:tc>
        <w:tc>
          <w:tcPr>
            <w:tcW w:w="1337" w:type="dxa"/>
            <w:vAlign w:val="center"/>
          </w:tcPr>
          <w:p>
            <w:pPr>
              <w:pStyle w:val="29"/>
              <w:ind w:firstLine="0" w:firstLineChars="0"/>
              <w:jc w:val="center"/>
              <w:rPr>
                <w:color w:val="000000"/>
                <w:sz w:val="18"/>
                <w:szCs w:val="18"/>
              </w:rPr>
            </w:pPr>
            <w:r>
              <w:rPr>
                <w:color w:val="000000"/>
                <w:sz w:val="18"/>
                <w:szCs w:val="18"/>
              </w:rPr>
              <w:t>镀锡</w:t>
            </w:r>
          </w:p>
        </w:tc>
        <w:tc>
          <w:tcPr>
            <w:tcW w:w="1572" w:type="dxa"/>
            <w:vAlign w:val="center"/>
          </w:tcPr>
          <w:p>
            <w:pPr>
              <w:pStyle w:val="29"/>
              <w:ind w:firstLine="0" w:firstLineChars="0"/>
              <w:jc w:val="center"/>
              <w:rPr>
                <w:color w:val="000000"/>
                <w:sz w:val="18"/>
                <w:szCs w:val="18"/>
              </w:rPr>
            </w:pPr>
            <w:r>
              <w:rPr>
                <w:color w:val="000000"/>
                <w:sz w:val="18"/>
                <w:szCs w:val="18"/>
              </w:rPr>
              <w:t>空气中</w:t>
            </w:r>
          </w:p>
          <w:p>
            <w:pPr>
              <w:pStyle w:val="29"/>
              <w:ind w:firstLine="0" w:firstLineChars="0"/>
              <w:jc w:val="center"/>
              <w:rPr>
                <w:color w:val="000000"/>
                <w:sz w:val="18"/>
                <w:szCs w:val="18"/>
              </w:rPr>
            </w:pPr>
            <w:r>
              <w:rPr>
                <w:color w:val="000000"/>
                <w:sz w:val="18"/>
                <w:szCs w:val="18"/>
              </w:rPr>
              <w:t>油中</w:t>
            </w:r>
          </w:p>
        </w:tc>
        <w:tc>
          <w:tcPr>
            <w:tcW w:w="1235" w:type="dxa"/>
            <w:vAlign w:val="center"/>
          </w:tcPr>
          <w:p>
            <w:pPr>
              <w:pStyle w:val="29"/>
              <w:ind w:firstLine="0" w:firstLineChars="0"/>
              <w:jc w:val="center"/>
              <w:rPr>
                <w:color w:val="000000"/>
                <w:sz w:val="18"/>
                <w:szCs w:val="18"/>
              </w:rPr>
            </w:pPr>
            <w:r>
              <w:rPr>
                <w:color w:val="000000"/>
                <w:sz w:val="18"/>
                <w:szCs w:val="18"/>
              </w:rPr>
              <w:t>75</w:t>
            </w:r>
          </w:p>
          <w:p>
            <w:pPr>
              <w:pStyle w:val="29"/>
              <w:ind w:firstLine="0" w:firstLineChars="0"/>
              <w:jc w:val="center"/>
              <w:rPr>
                <w:color w:val="000000"/>
                <w:sz w:val="18"/>
                <w:szCs w:val="18"/>
              </w:rPr>
            </w:pPr>
            <w:r>
              <w:rPr>
                <w:color w:val="000000"/>
                <w:sz w:val="18"/>
                <w:szCs w:val="18"/>
              </w:rPr>
              <w:t>70</w:t>
            </w:r>
          </w:p>
        </w:tc>
        <w:tc>
          <w:tcPr>
            <w:tcW w:w="1364" w:type="dxa"/>
            <w:vAlign w:val="center"/>
          </w:tcPr>
          <w:p>
            <w:pPr>
              <w:pStyle w:val="29"/>
              <w:ind w:firstLine="0" w:firstLineChars="0"/>
              <w:jc w:val="center"/>
              <w:rPr>
                <w:color w:val="000000"/>
                <w:sz w:val="18"/>
                <w:szCs w:val="18"/>
              </w:rPr>
            </w:pPr>
            <w:r>
              <w:rPr>
                <w:color w:val="000000"/>
                <w:sz w:val="18"/>
                <w:szCs w:val="18"/>
              </w:rPr>
              <w:t>105</w:t>
            </w:r>
          </w:p>
          <w:p>
            <w:pPr>
              <w:pStyle w:val="29"/>
              <w:ind w:firstLine="0" w:firstLineChars="0"/>
              <w:jc w:val="center"/>
              <w:rPr>
                <w:color w:val="000000"/>
                <w:sz w:val="18"/>
                <w:szCs w:val="18"/>
              </w:rPr>
            </w:pPr>
            <w:r>
              <w:rPr>
                <w:color w:val="000000"/>
                <w:sz w:val="18"/>
                <w:szCs w:val="18"/>
              </w:rPr>
              <w:t>100</w:t>
            </w:r>
          </w:p>
        </w:tc>
        <w:tc>
          <w:tcPr>
            <w:tcW w:w="1179" w:type="dxa"/>
            <w:vMerge w:val="continue"/>
            <w:vAlign w:val="center"/>
          </w:tcPr>
          <w:p>
            <w:pPr>
              <w:pStyle w:val="29"/>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1154" w:type="dxa"/>
            <w:vMerge w:val="continue"/>
            <w:vAlign w:val="center"/>
          </w:tcPr>
          <w:p>
            <w:pPr>
              <w:pStyle w:val="29"/>
              <w:ind w:firstLine="360"/>
              <w:jc w:val="center"/>
              <w:rPr>
                <w:rFonts w:hint="eastAsia" w:hAnsi="宋体"/>
                <w:color w:val="000000"/>
                <w:sz w:val="18"/>
                <w:szCs w:val="18"/>
              </w:rPr>
            </w:pPr>
          </w:p>
        </w:tc>
        <w:tc>
          <w:tcPr>
            <w:tcW w:w="1314" w:type="dxa"/>
            <w:vMerge w:val="continue"/>
            <w:vAlign w:val="center"/>
          </w:tcPr>
          <w:p>
            <w:pPr>
              <w:pStyle w:val="29"/>
              <w:ind w:firstLine="360"/>
              <w:jc w:val="center"/>
              <w:rPr>
                <w:rFonts w:hint="eastAsia" w:hAnsi="宋体"/>
                <w:color w:val="000000"/>
                <w:sz w:val="18"/>
                <w:szCs w:val="18"/>
              </w:rPr>
            </w:pPr>
          </w:p>
        </w:tc>
        <w:tc>
          <w:tcPr>
            <w:tcW w:w="1337" w:type="dxa"/>
            <w:vAlign w:val="center"/>
          </w:tcPr>
          <w:p>
            <w:pPr>
              <w:pStyle w:val="29"/>
              <w:ind w:firstLine="0" w:firstLineChars="0"/>
              <w:jc w:val="center"/>
              <w:rPr>
                <w:color w:val="000000"/>
                <w:sz w:val="18"/>
                <w:szCs w:val="18"/>
              </w:rPr>
            </w:pPr>
            <w:r>
              <w:rPr>
                <w:color w:val="000000"/>
                <w:sz w:val="18"/>
                <w:szCs w:val="18"/>
              </w:rPr>
              <w:t>电镀银或镍</w:t>
            </w:r>
          </w:p>
        </w:tc>
        <w:tc>
          <w:tcPr>
            <w:tcW w:w="1572" w:type="dxa"/>
            <w:vAlign w:val="center"/>
          </w:tcPr>
          <w:p>
            <w:pPr>
              <w:pStyle w:val="29"/>
              <w:ind w:firstLine="0" w:firstLineChars="0"/>
              <w:jc w:val="center"/>
              <w:rPr>
                <w:color w:val="000000"/>
                <w:sz w:val="18"/>
                <w:szCs w:val="18"/>
              </w:rPr>
            </w:pPr>
            <w:r>
              <w:rPr>
                <w:color w:val="000000"/>
                <w:sz w:val="18"/>
                <w:szCs w:val="18"/>
              </w:rPr>
              <w:t>空气</w:t>
            </w:r>
            <w:r>
              <w:rPr>
                <w:rFonts w:hint="eastAsia"/>
                <w:color w:val="000000"/>
                <w:sz w:val="18"/>
                <w:szCs w:val="18"/>
              </w:rPr>
              <w:t>中</w:t>
            </w:r>
          </w:p>
          <w:p>
            <w:pPr>
              <w:pStyle w:val="29"/>
              <w:ind w:firstLine="0" w:firstLineChars="0"/>
              <w:jc w:val="center"/>
              <w:rPr>
                <w:color w:val="000000"/>
                <w:sz w:val="18"/>
                <w:szCs w:val="18"/>
              </w:rPr>
            </w:pPr>
            <w:r>
              <w:rPr>
                <w:color w:val="000000"/>
                <w:sz w:val="18"/>
                <w:szCs w:val="18"/>
              </w:rPr>
              <w:t>油中</w:t>
            </w:r>
          </w:p>
        </w:tc>
        <w:tc>
          <w:tcPr>
            <w:tcW w:w="1235" w:type="dxa"/>
            <w:vAlign w:val="center"/>
          </w:tcPr>
          <w:p>
            <w:pPr>
              <w:pStyle w:val="29"/>
              <w:ind w:firstLine="0" w:firstLineChars="0"/>
              <w:jc w:val="center"/>
              <w:rPr>
                <w:color w:val="000000"/>
                <w:sz w:val="18"/>
                <w:szCs w:val="18"/>
              </w:rPr>
            </w:pPr>
            <w:r>
              <w:rPr>
                <w:color w:val="000000"/>
                <w:sz w:val="18"/>
                <w:szCs w:val="18"/>
              </w:rPr>
              <w:t>85</w:t>
            </w:r>
          </w:p>
          <w:p>
            <w:pPr>
              <w:pStyle w:val="29"/>
              <w:ind w:firstLine="0" w:firstLineChars="0"/>
              <w:jc w:val="center"/>
              <w:rPr>
                <w:color w:val="000000"/>
                <w:sz w:val="18"/>
                <w:szCs w:val="18"/>
              </w:rPr>
            </w:pPr>
            <w:r>
              <w:rPr>
                <w:color w:val="000000"/>
                <w:sz w:val="18"/>
                <w:szCs w:val="18"/>
              </w:rPr>
              <w:t>70</w:t>
            </w:r>
          </w:p>
        </w:tc>
        <w:tc>
          <w:tcPr>
            <w:tcW w:w="1364" w:type="dxa"/>
            <w:vAlign w:val="center"/>
          </w:tcPr>
          <w:p>
            <w:pPr>
              <w:pStyle w:val="29"/>
              <w:ind w:firstLine="0" w:firstLineChars="0"/>
              <w:jc w:val="center"/>
              <w:rPr>
                <w:color w:val="000000"/>
                <w:sz w:val="18"/>
                <w:szCs w:val="18"/>
              </w:rPr>
            </w:pPr>
            <w:r>
              <w:rPr>
                <w:color w:val="000000"/>
                <w:sz w:val="18"/>
                <w:szCs w:val="18"/>
              </w:rPr>
              <w:t>115</w:t>
            </w:r>
          </w:p>
          <w:p>
            <w:pPr>
              <w:pStyle w:val="29"/>
              <w:ind w:firstLine="0" w:firstLineChars="0"/>
              <w:jc w:val="center"/>
              <w:rPr>
                <w:color w:val="000000"/>
                <w:sz w:val="18"/>
                <w:szCs w:val="18"/>
              </w:rPr>
            </w:pPr>
            <w:r>
              <w:rPr>
                <w:color w:val="000000"/>
                <w:sz w:val="18"/>
                <w:szCs w:val="18"/>
              </w:rPr>
              <w:t>100</w:t>
            </w:r>
          </w:p>
        </w:tc>
        <w:tc>
          <w:tcPr>
            <w:tcW w:w="1179" w:type="dxa"/>
            <w:vMerge w:val="continue"/>
            <w:vAlign w:val="center"/>
          </w:tcPr>
          <w:p>
            <w:pPr>
              <w:pStyle w:val="29"/>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trPr>
        <w:tc>
          <w:tcPr>
            <w:tcW w:w="1154" w:type="dxa"/>
            <w:vAlign w:val="center"/>
          </w:tcPr>
          <w:p>
            <w:pPr>
              <w:pStyle w:val="29"/>
              <w:ind w:firstLine="0" w:firstLineChars="0"/>
              <w:jc w:val="center"/>
              <w:rPr>
                <w:rFonts w:hint="eastAsia" w:hAnsi="宋体"/>
                <w:color w:val="000000"/>
                <w:sz w:val="18"/>
                <w:szCs w:val="18"/>
              </w:rPr>
            </w:pPr>
            <w:r>
              <w:rPr>
                <w:rFonts w:hint="eastAsia" w:hAnsi="宋体"/>
                <w:color w:val="000000"/>
                <w:sz w:val="18"/>
                <w:szCs w:val="18"/>
              </w:rPr>
              <w:t>靠螺钉或螺栓连接到外部导体上的端子</w:t>
            </w:r>
          </w:p>
        </w:tc>
        <w:tc>
          <w:tcPr>
            <w:tcW w:w="1314" w:type="dxa"/>
            <w:vAlign w:val="center"/>
          </w:tcPr>
          <w:p>
            <w:pPr>
              <w:pStyle w:val="29"/>
              <w:ind w:firstLine="0" w:firstLineChars="0"/>
              <w:jc w:val="center"/>
              <w:rPr>
                <w:rFonts w:hint="eastAsia" w:hAnsi="宋体"/>
                <w:color w:val="000000"/>
                <w:sz w:val="18"/>
                <w:szCs w:val="18"/>
              </w:rPr>
            </w:pPr>
            <w:r>
              <w:rPr>
                <w:rFonts w:hAnsi="宋体"/>
                <w:color w:val="000000"/>
                <w:sz w:val="18"/>
                <w:szCs w:val="18"/>
              </w:rPr>
              <w:t>铜、银及其合金</w:t>
            </w:r>
          </w:p>
        </w:tc>
        <w:tc>
          <w:tcPr>
            <w:tcW w:w="1337" w:type="dxa"/>
            <w:vAlign w:val="center"/>
          </w:tcPr>
          <w:p>
            <w:pPr>
              <w:pStyle w:val="29"/>
              <w:ind w:firstLine="0" w:firstLineChars="0"/>
              <w:jc w:val="center"/>
              <w:rPr>
                <w:color w:val="000000"/>
                <w:sz w:val="18"/>
                <w:szCs w:val="18"/>
              </w:rPr>
            </w:pPr>
            <w:r>
              <w:rPr>
                <w:color w:val="000000"/>
                <w:sz w:val="18"/>
                <w:szCs w:val="18"/>
              </w:rPr>
              <w:t>无镀层</w:t>
            </w:r>
          </w:p>
          <w:p>
            <w:pPr>
              <w:pStyle w:val="29"/>
              <w:ind w:firstLine="0" w:firstLineChars="0"/>
              <w:jc w:val="center"/>
              <w:rPr>
                <w:color w:val="000000"/>
                <w:sz w:val="18"/>
                <w:szCs w:val="18"/>
              </w:rPr>
            </w:pPr>
            <w:r>
              <w:rPr>
                <w:color w:val="000000"/>
                <w:sz w:val="18"/>
                <w:szCs w:val="18"/>
              </w:rPr>
              <w:t>镀锡</w:t>
            </w:r>
          </w:p>
          <w:p>
            <w:pPr>
              <w:pStyle w:val="29"/>
              <w:ind w:firstLine="0" w:firstLineChars="0"/>
              <w:jc w:val="center"/>
              <w:rPr>
                <w:color w:val="000000"/>
                <w:sz w:val="18"/>
                <w:szCs w:val="18"/>
              </w:rPr>
            </w:pPr>
            <w:r>
              <w:rPr>
                <w:color w:val="000000"/>
                <w:sz w:val="18"/>
                <w:szCs w:val="18"/>
              </w:rPr>
              <w:t>电镀银或镍</w:t>
            </w:r>
          </w:p>
        </w:tc>
        <w:tc>
          <w:tcPr>
            <w:tcW w:w="1572" w:type="dxa"/>
            <w:vAlign w:val="center"/>
          </w:tcPr>
          <w:p>
            <w:pPr>
              <w:pStyle w:val="29"/>
              <w:ind w:firstLine="0" w:firstLineChars="0"/>
              <w:jc w:val="center"/>
              <w:rPr>
                <w:color w:val="000000"/>
                <w:sz w:val="18"/>
                <w:szCs w:val="18"/>
              </w:rPr>
            </w:pPr>
          </w:p>
        </w:tc>
        <w:tc>
          <w:tcPr>
            <w:tcW w:w="1235" w:type="dxa"/>
            <w:vAlign w:val="center"/>
          </w:tcPr>
          <w:p>
            <w:pPr>
              <w:pStyle w:val="29"/>
              <w:ind w:firstLine="0" w:firstLineChars="0"/>
              <w:jc w:val="center"/>
              <w:rPr>
                <w:color w:val="000000"/>
                <w:sz w:val="18"/>
                <w:szCs w:val="18"/>
              </w:rPr>
            </w:pPr>
            <w:r>
              <w:rPr>
                <w:color w:val="000000"/>
                <w:sz w:val="18"/>
                <w:szCs w:val="18"/>
              </w:rPr>
              <w:t>60</w:t>
            </w:r>
          </w:p>
          <w:p>
            <w:pPr>
              <w:pStyle w:val="29"/>
              <w:ind w:firstLine="0" w:firstLineChars="0"/>
              <w:jc w:val="center"/>
              <w:rPr>
                <w:color w:val="000000"/>
                <w:sz w:val="18"/>
                <w:szCs w:val="18"/>
              </w:rPr>
            </w:pPr>
            <w:r>
              <w:rPr>
                <w:rFonts w:hint="eastAsia"/>
                <w:color w:val="000000"/>
                <w:sz w:val="18"/>
                <w:szCs w:val="18"/>
              </w:rPr>
              <w:t>75</w:t>
            </w:r>
          </w:p>
          <w:p>
            <w:pPr>
              <w:pStyle w:val="29"/>
              <w:ind w:firstLine="0" w:firstLineChars="0"/>
              <w:jc w:val="center"/>
              <w:rPr>
                <w:color w:val="000000"/>
                <w:sz w:val="18"/>
                <w:szCs w:val="18"/>
              </w:rPr>
            </w:pPr>
            <w:r>
              <w:rPr>
                <w:color w:val="000000"/>
                <w:sz w:val="18"/>
                <w:szCs w:val="18"/>
              </w:rPr>
              <w:t>75</w:t>
            </w:r>
          </w:p>
        </w:tc>
        <w:tc>
          <w:tcPr>
            <w:tcW w:w="1364" w:type="dxa"/>
            <w:vAlign w:val="center"/>
          </w:tcPr>
          <w:p>
            <w:pPr>
              <w:pStyle w:val="29"/>
              <w:ind w:firstLine="0" w:firstLineChars="0"/>
              <w:jc w:val="center"/>
              <w:rPr>
                <w:color w:val="000000"/>
                <w:sz w:val="18"/>
                <w:szCs w:val="18"/>
              </w:rPr>
            </w:pPr>
            <w:r>
              <w:rPr>
                <w:color w:val="000000"/>
                <w:sz w:val="18"/>
                <w:szCs w:val="18"/>
              </w:rPr>
              <w:t>90</w:t>
            </w:r>
          </w:p>
          <w:p>
            <w:pPr>
              <w:pStyle w:val="29"/>
              <w:ind w:firstLine="0" w:firstLineChars="0"/>
              <w:jc w:val="center"/>
              <w:rPr>
                <w:color w:val="000000"/>
                <w:sz w:val="18"/>
                <w:szCs w:val="18"/>
              </w:rPr>
            </w:pPr>
            <w:r>
              <w:rPr>
                <w:color w:val="000000"/>
                <w:sz w:val="18"/>
                <w:szCs w:val="18"/>
              </w:rPr>
              <w:t>105</w:t>
            </w:r>
          </w:p>
          <w:p>
            <w:pPr>
              <w:pStyle w:val="29"/>
              <w:ind w:firstLine="0" w:firstLineChars="0"/>
              <w:jc w:val="center"/>
              <w:rPr>
                <w:color w:val="000000"/>
                <w:sz w:val="18"/>
                <w:szCs w:val="18"/>
              </w:rPr>
            </w:pPr>
            <w:r>
              <w:rPr>
                <w:rFonts w:hint="eastAsia"/>
                <w:color w:val="000000"/>
                <w:sz w:val="18"/>
                <w:szCs w:val="18"/>
              </w:rPr>
              <w:t>105</w:t>
            </w:r>
          </w:p>
        </w:tc>
        <w:tc>
          <w:tcPr>
            <w:tcW w:w="1179" w:type="dxa"/>
            <w:vAlign w:val="center"/>
          </w:tcPr>
          <w:p>
            <w:pPr>
              <w:pStyle w:val="29"/>
              <w:ind w:firstLine="0" w:firstLineChars="0"/>
              <w:jc w:val="center"/>
              <w:rPr>
                <w:color w:val="000000"/>
                <w:sz w:val="18"/>
                <w:szCs w:val="18"/>
              </w:rPr>
            </w:pPr>
          </w:p>
          <w:p>
            <w:pPr>
              <w:pStyle w:val="29"/>
              <w:ind w:firstLine="0" w:firstLineChars="0"/>
              <w:jc w:val="center"/>
              <w:rPr>
                <w:color w:val="000000"/>
                <w:sz w:val="18"/>
                <w:szCs w:val="18"/>
                <w:vertAlign w:val="superscript"/>
              </w:rPr>
            </w:pPr>
            <w:r>
              <w:rPr>
                <w:rFonts w:hint="eastAsia"/>
                <w:color w:val="000000"/>
                <w:sz w:val="18"/>
                <w:szCs w:val="18"/>
                <w:vertAlign w:val="superscript"/>
              </w:rPr>
              <w:t>c</w:t>
            </w:r>
          </w:p>
          <w:p>
            <w:pPr>
              <w:pStyle w:val="29"/>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blHeader/>
        </w:trPr>
        <w:tc>
          <w:tcPr>
            <w:tcW w:w="2468" w:type="dxa"/>
            <w:gridSpan w:val="2"/>
            <w:vAlign w:val="center"/>
          </w:tcPr>
          <w:p>
            <w:pPr>
              <w:pStyle w:val="29"/>
              <w:ind w:firstLine="0" w:firstLineChars="0"/>
              <w:jc w:val="center"/>
              <w:rPr>
                <w:rFonts w:hint="eastAsia" w:hAnsi="宋体"/>
                <w:color w:val="000000"/>
                <w:sz w:val="18"/>
                <w:szCs w:val="18"/>
              </w:rPr>
            </w:pPr>
            <w:r>
              <w:rPr>
                <w:rFonts w:hAnsi="宋体"/>
                <w:color w:val="000000"/>
                <w:sz w:val="18"/>
                <w:szCs w:val="18"/>
              </w:rPr>
              <w:t>与绝缘接触的金属件</w:t>
            </w:r>
          </w:p>
        </w:tc>
        <w:tc>
          <w:tcPr>
            <w:tcW w:w="1337" w:type="dxa"/>
            <w:vAlign w:val="center"/>
          </w:tcPr>
          <w:p>
            <w:pPr>
              <w:pStyle w:val="29"/>
              <w:ind w:firstLine="0" w:firstLineChars="0"/>
              <w:jc w:val="center"/>
              <w:rPr>
                <w:color w:val="000000"/>
                <w:sz w:val="18"/>
                <w:szCs w:val="18"/>
              </w:rPr>
            </w:pPr>
            <w:r>
              <w:rPr>
                <w:color w:val="000000"/>
                <w:sz w:val="18"/>
                <w:szCs w:val="18"/>
              </w:rPr>
              <w:t>绝缘等级</w:t>
            </w:r>
          </w:p>
        </w:tc>
        <w:tc>
          <w:tcPr>
            <w:tcW w:w="1572" w:type="dxa"/>
            <w:vAlign w:val="center"/>
          </w:tcPr>
          <w:p>
            <w:pPr>
              <w:pStyle w:val="29"/>
              <w:ind w:firstLine="0" w:firstLineChars="0"/>
              <w:jc w:val="center"/>
              <w:rPr>
                <w:color w:val="000000"/>
                <w:sz w:val="18"/>
                <w:szCs w:val="18"/>
              </w:rPr>
            </w:pPr>
            <w:r>
              <w:rPr>
                <w:color w:val="000000"/>
                <w:sz w:val="18"/>
                <w:szCs w:val="18"/>
              </w:rPr>
              <w:t>A级（油浸纸）</w:t>
            </w:r>
          </w:p>
          <w:p>
            <w:pPr>
              <w:pStyle w:val="29"/>
              <w:ind w:firstLine="0" w:firstLineChars="0"/>
              <w:jc w:val="center"/>
              <w:rPr>
                <w:color w:val="000000"/>
                <w:sz w:val="18"/>
                <w:szCs w:val="18"/>
              </w:rPr>
            </w:pPr>
            <w:r>
              <w:rPr>
                <w:color w:val="000000"/>
                <w:sz w:val="18"/>
                <w:szCs w:val="18"/>
              </w:rPr>
              <w:t>E级（胶浸纸）</w:t>
            </w:r>
          </w:p>
          <w:p>
            <w:pPr>
              <w:pStyle w:val="29"/>
              <w:ind w:firstLine="0" w:firstLineChars="0"/>
              <w:jc w:val="center"/>
              <w:rPr>
                <w:color w:val="000000"/>
                <w:sz w:val="18"/>
                <w:szCs w:val="18"/>
              </w:rPr>
            </w:pPr>
          </w:p>
        </w:tc>
        <w:tc>
          <w:tcPr>
            <w:tcW w:w="1235" w:type="dxa"/>
            <w:vAlign w:val="center"/>
          </w:tcPr>
          <w:p>
            <w:pPr>
              <w:pStyle w:val="29"/>
              <w:ind w:firstLine="0" w:firstLineChars="0"/>
              <w:jc w:val="center"/>
              <w:rPr>
                <w:color w:val="000000"/>
                <w:sz w:val="18"/>
                <w:szCs w:val="18"/>
              </w:rPr>
            </w:pPr>
            <w:r>
              <w:rPr>
                <w:color w:val="000000"/>
                <w:sz w:val="18"/>
                <w:szCs w:val="18"/>
              </w:rPr>
              <w:t>75</w:t>
            </w:r>
          </w:p>
          <w:p>
            <w:pPr>
              <w:pStyle w:val="29"/>
              <w:ind w:firstLine="0" w:firstLineChars="0"/>
              <w:jc w:val="center"/>
              <w:rPr>
                <w:color w:val="000000"/>
                <w:sz w:val="18"/>
                <w:szCs w:val="18"/>
              </w:rPr>
            </w:pPr>
            <w:r>
              <w:rPr>
                <w:color w:val="000000"/>
                <w:sz w:val="18"/>
                <w:szCs w:val="18"/>
              </w:rPr>
              <w:t>90</w:t>
            </w:r>
          </w:p>
          <w:p>
            <w:pPr>
              <w:pStyle w:val="29"/>
              <w:ind w:firstLine="0" w:firstLineChars="0"/>
              <w:jc w:val="center"/>
              <w:rPr>
                <w:color w:val="000000"/>
                <w:sz w:val="18"/>
                <w:szCs w:val="18"/>
              </w:rPr>
            </w:pPr>
            <w:r>
              <w:rPr>
                <w:rFonts w:hint="eastAsia"/>
                <w:color w:val="000000"/>
                <w:sz w:val="18"/>
                <w:szCs w:val="18"/>
              </w:rPr>
              <w:t>110</w:t>
            </w:r>
          </w:p>
        </w:tc>
        <w:tc>
          <w:tcPr>
            <w:tcW w:w="1364" w:type="dxa"/>
            <w:vAlign w:val="center"/>
          </w:tcPr>
          <w:p>
            <w:pPr>
              <w:pStyle w:val="29"/>
              <w:ind w:firstLine="0" w:firstLineChars="0"/>
              <w:jc w:val="center"/>
              <w:rPr>
                <w:color w:val="000000"/>
                <w:sz w:val="18"/>
                <w:szCs w:val="18"/>
              </w:rPr>
            </w:pPr>
            <w:r>
              <w:rPr>
                <w:color w:val="000000"/>
                <w:sz w:val="18"/>
                <w:szCs w:val="18"/>
              </w:rPr>
              <w:t>105</w:t>
            </w:r>
          </w:p>
          <w:p>
            <w:pPr>
              <w:pStyle w:val="29"/>
              <w:ind w:firstLine="0" w:firstLineChars="0"/>
              <w:jc w:val="center"/>
              <w:rPr>
                <w:color w:val="000000"/>
                <w:sz w:val="18"/>
                <w:szCs w:val="18"/>
              </w:rPr>
            </w:pPr>
            <w:r>
              <w:rPr>
                <w:color w:val="000000"/>
                <w:sz w:val="18"/>
                <w:szCs w:val="18"/>
              </w:rPr>
              <w:t>120</w:t>
            </w:r>
          </w:p>
          <w:p>
            <w:pPr>
              <w:pStyle w:val="29"/>
              <w:ind w:firstLine="0" w:firstLineChars="0"/>
              <w:jc w:val="center"/>
              <w:rPr>
                <w:color w:val="000000"/>
                <w:sz w:val="18"/>
                <w:szCs w:val="18"/>
              </w:rPr>
            </w:pPr>
            <w:r>
              <w:rPr>
                <w:rFonts w:hint="eastAsia"/>
                <w:color w:val="000000"/>
                <w:sz w:val="18"/>
                <w:szCs w:val="18"/>
              </w:rPr>
              <w:t>140</w:t>
            </w:r>
          </w:p>
        </w:tc>
        <w:tc>
          <w:tcPr>
            <w:tcW w:w="1179" w:type="dxa"/>
            <w:vAlign w:val="center"/>
          </w:tcPr>
          <w:p>
            <w:pPr>
              <w:pStyle w:val="29"/>
              <w:ind w:firstLine="0" w:firstLineChars="0"/>
              <w:jc w:val="center"/>
              <w:rPr>
                <w:color w:val="000000"/>
                <w:sz w:val="18"/>
                <w:szCs w:val="18"/>
              </w:rPr>
            </w:pPr>
          </w:p>
          <w:p>
            <w:pPr>
              <w:pStyle w:val="29"/>
              <w:ind w:firstLine="0" w:firstLineChars="0"/>
              <w:jc w:val="center"/>
              <w:rPr>
                <w:color w:val="000000"/>
                <w:sz w:val="18"/>
                <w:szCs w:val="18"/>
              </w:rPr>
            </w:pPr>
          </w:p>
          <w:p>
            <w:pPr>
              <w:pStyle w:val="29"/>
              <w:ind w:firstLine="0" w:firstLineChars="0"/>
              <w:jc w:val="center"/>
              <w:rPr>
                <w:color w:val="000000"/>
                <w:sz w:val="18"/>
                <w:szCs w:val="18"/>
              </w:rPr>
            </w:pPr>
            <w:r>
              <w:rPr>
                <w:rFonts w:hint="eastAsia"/>
                <w:color w:val="000000"/>
                <w:sz w:val="18"/>
                <w:szCs w:val="18"/>
                <w:vertAlign w:val="super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9155" w:type="dxa"/>
            <w:gridSpan w:val="7"/>
            <w:vAlign w:val="center"/>
          </w:tcPr>
          <w:p>
            <w:pPr>
              <w:pStyle w:val="29"/>
              <w:ind w:firstLine="419" w:firstLineChars="233"/>
              <w:jc w:val="left"/>
              <w:rPr>
                <w:color w:val="000000"/>
                <w:sz w:val="18"/>
                <w:szCs w:val="18"/>
              </w:rPr>
            </w:pPr>
            <w:r>
              <w:rPr>
                <w:rFonts w:hint="eastAsia" w:hAnsi="宋体"/>
                <w:color w:val="000000"/>
                <w:sz w:val="18"/>
                <w:szCs w:val="18"/>
                <w:vertAlign w:val="superscript"/>
              </w:rPr>
              <w:t>a</w:t>
            </w:r>
            <w:r>
              <w:rPr>
                <w:rFonts w:hint="eastAsia" w:hAnsi="宋体"/>
                <w:color w:val="000000"/>
                <w:sz w:val="18"/>
                <w:szCs w:val="18"/>
              </w:rPr>
              <w:t xml:space="preserve">  </w:t>
            </w:r>
            <w:r>
              <w:rPr>
                <w:rFonts w:hAnsi="宋体"/>
                <w:color w:val="000000"/>
                <w:sz w:val="18"/>
                <w:szCs w:val="18"/>
              </w:rPr>
              <w:t>温升的数值根据最大日平均温度</w:t>
            </w:r>
            <w:r>
              <w:rPr>
                <w:color w:val="000000"/>
                <w:sz w:val="18"/>
                <w:szCs w:val="18"/>
              </w:rPr>
              <w:t xml:space="preserve">30 </w:t>
            </w:r>
            <w:r>
              <w:rPr>
                <w:rFonts w:hAnsi="宋体"/>
                <w:color w:val="000000"/>
                <w:sz w:val="18"/>
                <w:szCs w:val="18"/>
              </w:rPr>
              <w:t>℃为基础。</w:t>
            </w:r>
          </w:p>
          <w:p>
            <w:pPr>
              <w:pStyle w:val="29"/>
              <w:ind w:firstLine="419" w:firstLineChars="233"/>
              <w:jc w:val="left"/>
              <w:rPr>
                <w:color w:val="000000"/>
                <w:sz w:val="18"/>
                <w:szCs w:val="18"/>
              </w:rPr>
            </w:pPr>
            <w:r>
              <w:rPr>
                <w:rFonts w:hint="eastAsia" w:hAnsi="宋体"/>
                <w:color w:val="000000"/>
                <w:sz w:val="18"/>
                <w:szCs w:val="18"/>
                <w:vertAlign w:val="superscript"/>
              </w:rPr>
              <w:t>b</w:t>
            </w:r>
            <w:r>
              <w:rPr>
                <w:rFonts w:hint="eastAsia" w:hAnsi="宋体"/>
                <w:color w:val="000000"/>
                <w:sz w:val="18"/>
                <w:szCs w:val="18"/>
              </w:rPr>
              <w:t xml:space="preserve">  </w:t>
            </w:r>
            <w:r>
              <w:rPr>
                <w:rFonts w:hAnsi="宋体"/>
                <w:color w:val="000000"/>
                <w:sz w:val="18"/>
                <w:szCs w:val="18"/>
              </w:rPr>
              <w:t>弹性接触是用弹簧压力维持连接，如插入式连接。</w:t>
            </w:r>
          </w:p>
          <w:p>
            <w:pPr>
              <w:pStyle w:val="29"/>
              <w:ind w:firstLine="419" w:firstLineChars="233"/>
              <w:jc w:val="left"/>
              <w:rPr>
                <w:rFonts w:hint="eastAsia" w:hAnsi="宋体"/>
                <w:color w:val="000000"/>
                <w:sz w:val="18"/>
                <w:szCs w:val="18"/>
              </w:rPr>
            </w:pPr>
            <w:r>
              <w:rPr>
                <w:rFonts w:hint="eastAsia" w:hAnsi="宋体"/>
                <w:color w:val="000000"/>
                <w:sz w:val="18"/>
                <w:szCs w:val="18"/>
                <w:vertAlign w:val="superscript"/>
              </w:rPr>
              <w:t>c</w:t>
            </w:r>
            <w:r>
              <w:rPr>
                <w:rFonts w:hint="eastAsia" w:hAnsi="宋体"/>
                <w:color w:val="000000"/>
                <w:sz w:val="18"/>
                <w:szCs w:val="18"/>
              </w:rPr>
              <w:t xml:space="preserve">  </w:t>
            </w:r>
            <w:r>
              <w:rPr>
                <w:rFonts w:hAnsi="宋体"/>
                <w:color w:val="000000"/>
                <w:sz w:val="18"/>
                <w:szCs w:val="18"/>
              </w:rPr>
              <w:t>估计有严重氧化，温升应限制在</w:t>
            </w:r>
            <w:r>
              <w:rPr>
                <w:color w:val="000000"/>
                <w:sz w:val="18"/>
                <w:szCs w:val="18"/>
              </w:rPr>
              <w:t>50 K</w:t>
            </w:r>
            <w:r>
              <w:rPr>
                <w:rFonts w:hAnsi="宋体"/>
                <w:color w:val="000000"/>
                <w:sz w:val="18"/>
                <w:szCs w:val="18"/>
              </w:rPr>
              <w:t>。</w:t>
            </w:r>
          </w:p>
          <w:p>
            <w:pPr>
              <w:pStyle w:val="29"/>
              <w:ind w:firstLine="419" w:firstLineChars="233"/>
              <w:jc w:val="left"/>
              <w:rPr>
                <w:rFonts w:hint="eastAsia" w:hAnsi="宋体"/>
                <w:color w:val="000000"/>
                <w:sz w:val="18"/>
                <w:szCs w:val="18"/>
              </w:rPr>
            </w:pPr>
            <w:r>
              <w:rPr>
                <w:rFonts w:hint="eastAsia" w:hAnsi="宋体"/>
                <w:color w:val="000000"/>
                <w:sz w:val="18"/>
                <w:szCs w:val="18"/>
                <w:vertAlign w:val="superscript"/>
              </w:rPr>
              <w:t>d</w:t>
            </w:r>
            <w:r>
              <w:rPr>
                <w:rFonts w:hint="eastAsia" w:hAnsi="宋体"/>
                <w:color w:val="000000"/>
                <w:sz w:val="18"/>
                <w:szCs w:val="18"/>
              </w:rPr>
              <w:t xml:space="preserve">  适用于导体（穿缆或穿杆式套管）穿入中心管的变压器套管</w:t>
            </w:r>
            <w:r>
              <w:rPr>
                <w:rFonts w:hAnsi="宋体"/>
                <w:color w:val="000000"/>
                <w:sz w:val="18"/>
                <w:szCs w:val="18"/>
              </w:rPr>
              <w:t>。</w:t>
            </w:r>
          </w:p>
        </w:tc>
      </w:tr>
    </w:tbl>
    <w:p>
      <w:pPr>
        <w:pStyle w:val="260"/>
        <w:ind w:left="0" w:firstLine="0"/>
        <w:rPr>
          <w:szCs w:val="20"/>
        </w:rPr>
      </w:pPr>
      <w:bookmarkStart w:id="105" w:name="_Toc180511533"/>
      <w:bookmarkStart w:id="106" w:name="_Toc475092999"/>
      <w:bookmarkStart w:id="107" w:name="_Toc129097038"/>
      <w:r>
        <w:rPr>
          <w:szCs w:val="20"/>
        </w:rPr>
        <w:t>套管的</w:t>
      </w:r>
      <w:r>
        <w:rPr>
          <w:rFonts w:hint="eastAsia"/>
          <w:szCs w:val="20"/>
        </w:rPr>
        <w:t>悬臂</w:t>
      </w:r>
      <w:r>
        <w:rPr>
          <w:szCs w:val="20"/>
        </w:rPr>
        <w:t>耐受负荷</w:t>
      </w:r>
      <w:bookmarkEnd w:id="105"/>
      <w:bookmarkEnd w:id="106"/>
      <w:bookmarkEnd w:id="107"/>
    </w:p>
    <w:p>
      <w:pPr>
        <w:widowControl/>
        <w:autoSpaceDE w:val="0"/>
        <w:autoSpaceDN w:val="0"/>
        <w:ind w:firstLine="420" w:firstLineChars="200"/>
        <w:rPr>
          <w:rFonts w:ascii="宋体"/>
          <w:kern w:val="0"/>
          <w:szCs w:val="20"/>
        </w:rPr>
      </w:pPr>
      <w:r>
        <w:rPr>
          <w:kern w:val="0"/>
          <w:szCs w:val="20"/>
        </w:rPr>
        <w:t>套管应能耐受</w:t>
      </w:r>
      <w:r>
        <w:rPr>
          <w:rFonts w:hint="eastAsia"/>
          <w:kern w:val="0"/>
          <w:szCs w:val="20"/>
        </w:rPr>
        <w:t>G</w:t>
      </w:r>
      <w:r>
        <w:rPr>
          <w:kern w:val="0"/>
          <w:szCs w:val="20"/>
        </w:rPr>
        <w:t>B/T 4109</w:t>
      </w:r>
      <w:r>
        <w:rPr>
          <w:rFonts w:hint="eastAsia"/>
          <w:kern w:val="0"/>
          <w:szCs w:val="20"/>
        </w:rPr>
        <w:t>—2</w:t>
      </w:r>
      <w:r>
        <w:rPr>
          <w:kern w:val="0"/>
          <w:szCs w:val="20"/>
        </w:rPr>
        <w:t>022</w:t>
      </w:r>
      <w:r>
        <w:rPr>
          <w:rFonts w:hint="eastAsia"/>
          <w:kern w:val="0"/>
          <w:szCs w:val="20"/>
        </w:rPr>
        <w:t>中</w:t>
      </w:r>
      <w:r>
        <w:rPr>
          <w:kern w:val="0"/>
          <w:szCs w:val="20"/>
        </w:rPr>
        <w:t>表1给出的负荷</w:t>
      </w:r>
      <w:r>
        <w:rPr>
          <w:rFonts w:hint="eastAsia" w:ascii="宋体"/>
          <w:kern w:val="0"/>
          <w:szCs w:val="20"/>
        </w:rPr>
        <w:t>水</w:t>
      </w:r>
      <w:r>
        <w:rPr>
          <w:kern w:val="0"/>
          <w:szCs w:val="20"/>
        </w:rPr>
        <w:t>平Ⅰ或Ⅱ的悬臂</w:t>
      </w:r>
      <w:r>
        <w:rPr>
          <w:rFonts w:hint="eastAsia" w:ascii="宋体"/>
          <w:kern w:val="0"/>
          <w:szCs w:val="20"/>
        </w:rPr>
        <w:t>负荷值。</w:t>
      </w:r>
      <w:r>
        <w:rPr>
          <w:rFonts w:ascii="宋体"/>
          <w:kern w:val="0"/>
          <w:szCs w:val="20"/>
        </w:rPr>
        <w:t>厂家应考虑套管在工程中运行时</w:t>
      </w:r>
      <w:r>
        <w:rPr>
          <w:rFonts w:hint="eastAsia" w:ascii="宋体"/>
          <w:kern w:val="0"/>
          <w:szCs w:val="20"/>
        </w:rPr>
        <w:t>，</w:t>
      </w:r>
      <w:r>
        <w:rPr>
          <w:rFonts w:ascii="宋体"/>
          <w:kern w:val="0"/>
          <w:szCs w:val="20"/>
        </w:rPr>
        <w:t>空气侧</w:t>
      </w:r>
      <w:r>
        <w:rPr>
          <w:rFonts w:hint="eastAsia" w:ascii="宋体"/>
          <w:kern w:val="0"/>
          <w:szCs w:val="20"/>
        </w:rPr>
        <w:t>接线端子长期受到高压引线的拉力作用，可能会导致套管出现形变和密封问题。</w:t>
      </w:r>
    </w:p>
    <w:p>
      <w:pPr>
        <w:pStyle w:val="260"/>
        <w:ind w:left="0" w:firstLine="0"/>
        <w:rPr>
          <w:szCs w:val="20"/>
        </w:rPr>
      </w:pPr>
      <w:bookmarkStart w:id="108" w:name="_Toc129097040"/>
      <w:bookmarkStart w:id="109" w:name="_Toc475093001"/>
      <w:bookmarkStart w:id="110" w:name="_Toc180511534"/>
      <w:r>
        <w:rPr>
          <w:szCs w:val="20"/>
        </w:rPr>
        <w:t>套管内</w:t>
      </w:r>
      <w:r>
        <w:rPr>
          <w:rFonts w:hint="eastAsia"/>
          <w:szCs w:val="20"/>
        </w:rPr>
        <w:t>部变压器</w:t>
      </w:r>
      <w:r>
        <w:rPr>
          <w:szCs w:val="20"/>
        </w:rPr>
        <w:t>油</w:t>
      </w:r>
      <w:r>
        <w:rPr>
          <w:rFonts w:hint="eastAsia"/>
          <w:szCs w:val="20"/>
        </w:rPr>
        <w:t>的</w:t>
      </w:r>
      <w:r>
        <w:rPr>
          <w:szCs w:val="20"/>
        </w:rPr>
        <w:t>性能</w:t>
      </w:r>
      <w:bookmarkEnd w:id="108"/>
      <w:bookmarkEnd w:id="109"/>
      <w:bookmarkEnd w:id="110"/>
    </w:p>
    <w:p>
      <w:pPr>
        <w:widowControl/>
        <w:autoSpaceDE w:val="0"/>
        <w:autoSpaceDN w:val="0"/>
        <w:ind w:firstLine="420" w:firstLineChars="200"/>
        <w:rPr>
          <w:kern w:val="0"/>
          <w:szCs w:val="20"/>
        </w:rPr>
      </w:pPr>
      <w:r>
        <w:rPr>
          <w:kern w:val="0"/>
          <w:szCs w:val="20"/>
        </w:rPr>
        <w:t>充油绝缘套管内部变压器油的性能应符合表6规定。</w:t>
      </w:r>
    </w:p>
    <w:p>
      <w:pPr>
        <w:widowControl/>
        <w:autoSpaceDE w:val="0"/>
        <w:autoSpaceDN w:val="0"/>
        <w:ind w:firstLine="420" w:firstLineChars="200"/>
        <w:rPr>
          <w:kern w:val="0"/>
          <w:szCs w:val="20"/>
        </w:rPr>
      </w:pPr>
      <w:r>
        <w:rPr>
          <w:kern w:val="0"/>
          <w:szCs w:val="20"/>
        </w:rPr>
        <w:t>当用户有要求时，可在工厂进行套管内变压器油的性能测试，其具体测试项目和指标也可由供需双方协议商定。</w:t>
      </w:r>
    </w:p>
    <w:p>
      <w:pPr>
        <w:pStyle w:val="301"/>
        <w:numPr>
          <w:ilvl w:val="0"/>
          <w:numId w:val="0"/>
        </w:numPr>
        <w:tabs>
          <w:tab w:val="clear" w:pos="360"/>
        </w:tabs>
        <w:ind w:left="420" w:hanging="420"/>
      </w:pPr>
      <w:r>
        <w:rPr>
          <w:rFonts w:hint="eastAsia"/>
        </w:rPr>
        <w:t>表6 充油绝缘套管内部变压器油性能值</w:t>
      </w:r>
    </w:p>
    <w:tbl>
      <w:tblPr>
        <w:tblStyle w:val="88"/>
        <w:tblW w:w="4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284"/>
        <w:gridCol w:w="1765"/>
        <w:gridCol w:w="1768"/>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2" w:type="pct"/>
            <w:gridSpan w:val="2"/>
            <w:vMerge w:val="restart"/>
            <w:vAlign w:val="center"/>
          </w:tcPr>
          <w:p>
            <w:pPr>
              <w:autoSpaceDE w:val="0"/>
              <w:autoSpaceDN w:val="0"/>
              <w:jc w:val="center"/>
              <w:rPr>
                <w:sz w:val="18"/>
                <w:szCs w:val="18"/>
              </w:rPr>
            </w:pPr>
            <w:r>
              <w:rPr>
                <w:sz w:val="18"/>
                <w:szCs w:val="18"/>
              </w:rPr>
              <w:t>项     目</w:t>
            </w:r>
          </w:p>
        </w:tc>
        <w:tc>
          <w:tcPr>
            <w:tcW w:w="1142" w:type="pct"/>
            <w:vMerge w:val="restart"/>
            <w:vAlign w:val="center"/>
          </w:tcPr>
          <w:p>
            <w:pPr>
              <w:autoSpaceDE w:val="0"/>
              <w:autoSpaceDN w:val="0"/>
              <w:jc w:val="center"/>
              <w:rPr>
                <w:sz w:val="18"/>
                <w:szCs w:val="18"/>
              </w:rPr>
            </w:pPr>
            <w:r>
              <w:rPr>
                <w:rFonts w:hint="eastAsia"/>
                <w:sz w:val="18"/>
                <w:szCs w:val="18"/>
              </w:rPr>
              <w:t>套管</w:t>
            </w:r>
            <w:r>
              <w:rPr>
                <w:sz w:val="18"/>
                <w:szCs w:val="18"/>
              </w:rPr>
              <w:t>额定电压等级</w:t>
            </w:r>
          </w:p>
          <w:p>
            <w:pPr>
              <w:autoSpaceDE w:val="0"/>
              <w:autoSpaceDN w:val="0"/>
              <w:jc w:val="center"/>
              <w:rPr>
                <w:sz w:val="18"/>
                <w:szCs w:val="18"/>
              </w:rPr>
            </w:pPr>
            <w:r>
              <w:rPr>
                <w:sz w:val="18"/>
                <w:szCs w:val="18"/>
              </w:rPr>
              <w:t>kV</w:t>
            </w:r>
          </w:p>
        </w:tc>
        <w:tc>
          <w:tcPr>
            <w:tcW w:w="2197" w:type="pct"/>
            <w:gridSpan w:val="2"/>
            <w:vAlign w:val="center"/>
          </w:tcPr>
          <w:p>
            <w:pPr>
              <w:autoSpaceDE w:val="0"/>
              <w:autoSpaceDN w:val="0"/>
              <w:jc w:val="center"/>
              <w:rPr>
                <w:sz w:val="18"/>
                <w:szCs w:val="18"/>
              </w:rPr>
            </w:pPr>
            <w:r>
              <w:rPr>
                <w:sz w:val="18"/>
                <w:szCs w:val="18"/>
              </w:rPr>
              <w:t>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2" w:type="pct"/>
            <w:gridSpan w:val="2"/>
            <w:vMerge w:val="continue"/>
            <w:vAlign w:val="center"/>
          </w:tcPr>
          <w:p>
            <w:pPr>
              <w:autoSpaceDE w:val="0"/>
              <w:autoSpaceDN w:val="0"/>
              <w:jc w:val="center"/>
              <w:rPr>
                <w:sz w:val="18"/>
                <w:szCs w:val="18"/>
              </w:rPr>
            </w:pPr>
          </w:p>
        </w:tc>
        <w:tc>
          <w:tcPr>
            <w:tcW w:w="1142" w:type="pct"/>
            <w:vMerge w:val="continue"/>
            <w:vAlign w:val="center"/>
          </w:tcPr>
          <w:p>
            <w:pPr>
              <w:autoSpaceDE w:val="0"/>
              <w:autoSpaceDN w:val="0"/>
              <w:jc w:val="center"/>
              <w:rPr>
                <w:sz w:val="18"/>
                <w:szCs w:val="18"/>
              </w:rPr>
            </w:pPr>
          </w:p>
        </w:tc>
        <w:tc>
          <w:tcPr>
            <w:tcW w:w="1144" w:type="pct"/>
            <w:vAlign w:val="center"/>
          </w:tcPr>
          <w:p>
            <w:pPr>
              <w:autoSpaceDE w:val="0"/>
              <w:autoSpaceDN w:val="0"/>
              <w:jc w:val="center"/>
              <w:rPr>
                <w:sz w:val="18"/>
                <w:szCs w:val="18"/>
              </w:rPr>
            </w:pPr>
            <w:r>
              <w:rPr>
                <w:sz w:val="18"/>
                <w:szCs w:val="18"/>
              </w:rPr>
              <w:t>新投运前</w:t>
            </w:r>
          </w:p>
        </w:tc>
        <w:tc>
          <w:tcPr>
            <w:tcW w:w="1052" w:type="pct"/>
            <w:vAlign w:val="center"/>
          </w:tcPr>
          <w:p>
            <w:pPr>
              <w:autoSpaceDE w:val="0"/>
              <w:autoSpaceDN w:val="0"/>
              <w:jc w:val="center"/>
              <w:rPr>
                <w:sz w:val="18"/>
                <w:szCs w:val="18"/>
              </w:rPr>
            </w:pPr>
            <w:r>
              <w:rPr>
                <w:sz w:val="18"/>
                <w:szCs w:val="18"/>
              </w:rPr>
              <w:t>运行中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2" w:type="pct"/>
            <w:gridSpan w:val="2"/>
            <w:vMerge w:val="restart"/>
            <w:vAlign w:val="center"/>
          </w:tcPr>
          <w:p>
            <w:pPr>
              <w:autoSpaceDE w:val="0"/>
              <w:autoSpaceDN w:val="0"/>
              <w:jc w:val="center"/>
              <w:rPr>
                <w:sz w:val="18"/>
                <w:szCs w:val="18"/>
              </w:rPr>
            </w:pPr>
            <w:r>
              <w:rPr>
                <w:sz w:val="18"/>
                <w:szCs w:val="18"/>
              </w:rPr>
              <w:t>击穿电压</w:t>
            </w:r>
          </w:p>
          <w:p>
            <w:pPr>
              <w:autoSpaceDE w:val="0"/>
              <w:autoSpaceDN w:val="0"/>
              <w:jc w:val="center"/>
              <w:rPr>
                <w:sz w:val="18"/>
                <w:szCs w:val="18"/>
              </w:rPr>
            </w:pPr>
            <w:r>
              <w:rPr>
                <w:sz w:val="18"/>
                <w:szCs w:val="18"/>
              </w:rPr>
              <w:t>kV</w:t>
            </w:r>
          </w:p>
        </w:tc>
        <w:tc>
          <w:tcPr>
            <w:tcW w:w="1142" w:type="pct"/>
            <w:vAlign w:val="center"/>
          </w:tcPr>
          <w:p>
            <w:pPr>
              <w:jc w:val="center"/>
              <w:rPr>
                <w:sz w:val="18"/>
                <w:szCs w:val="18"/>
              </w:rPr>
            </w:pPr>
            <w:r>
              <w:rPr>
                <w:rFonts w:ascii="宋体" w:hAnsi="宋体"/>
                <w:color w:val="000000"/>
                <w:sz w:val="18"/>
                <w:szCs w:val="18"/>
              </w:rPr>
              <w:t>≤</w:t>
            </w:r>
            <w:r>
              <w:rPr>
                <w:sz w:val="18"/>
                <w:szCs w:val="18"/>
              </w:rPr>
              <w:t>35</w:t>
            </w:r>
          </w:p>
        </w:tc>
        <w:tc>
          <w:tcPr>
            <w:tcW w:w="1144" w:type="pct"/>
            <w:vAlign w:val="center"/>
          </w:tcPr>
          <w:p>
            <w:pPr>
              <w:jc w:val="center"/>
              <w:rPr>
                <w:sz w:val="18"/>
                <w:szCs w:val="18"/>
              </w:rPr>
            </w:pPr>
            <w:r>
              <w:rPr>
                <w:rFonts w:ascii="宋体" w:hAnsi="宋体"/>
                <w:color w:val="000000"/>
                <w:sz w:val="18"/>
                <w:szCs w:val="18"/>
              </w:rPr>
              <w:t>≥</w:t>
            </w:r>
            <w:r>
              <w:rPr>
                <w:sz w:val="18"/>
                <w:szCs w:val="18"/>
              </w:rPr>
              <w:t>40</w:t>
            </w:r>
          </w:p>
        </w:tc>
        <w:tc>
          <w:tcPr>
            <w:tcW w:w="1052" w:type="pct"/>
            <w:vAlign w:val="center"/>
          </w:tcPr>
          <w:p>
            <w:pPr>
              <w:jc w:val="center"/>
              <w:rPr>
                <w:sz w:val="18"/>
                <w:szCs w:val="18"/>
              </w:rPr>
            </w:pPr>
            <w:r>
              <w:rPr>
                <w:rFonts w:ascii="宋体" w:hAnsi="宋体"/>
                <w:color w:val="000000"/>
                <w:sz w:val="18"/>
                <w:szCs w:val="18"/>
              </w:rPr>
              <w:t>≥</w:t>
            </w:r>
            <w:r>
              <w:rPr>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2" w:type="pct"/>
            <w:gridSpan w:val="2"/>
            <w:vMerge w:val="continue"/>
            <w:vAlign w:val="center"/>
          </w:tcPr>
          <w:p>
            <w:pPr>
              <w:autoSpaceDE w:val="0"/>
              <w:autoSpaceDN w:val="0"/>
              <w:jc w:val="center"/>
              <w:rPr>
                <w:sz w:val="18"/>
                <w:szCs w:val="18"/>
              </w:rPr>
            </w:pPr>
          </w:p>
        </w:tc>
        <w:tc>
          <w:tcPr>
            <w:tcW w:w="1142" w:type="pct"/>
            <w:vAlign w:val="center"/>
          </w:tcPr>
          <w:p>
            <w:pPr>
              <w:autoSpaceDE w:val="0"/>
              <w:autoSpaceDN w:val="0"/>
              <w:jc w:val="center"/>
              <w:rPr>
                <w:sz w:val="18"/>
                <w:szCs w:val="18"/>
              </w:rPr>
            </w:pPr>
            <w:r>
              <w:rPr>
                <w:sz w:val="18"/>
                <w:szCs w:val="18"/>
              </w:rPr>
              <w:t>66</w:t>
            </w:r>
            <w:r>
              <w:t>～</w:t>
            </w:r>
            <w:r>
              <w:rPr>
                <w:sz w:val="18"/>
                <w:szCs w:val="18"/>
              </w:rPr>
              <w:t>220</w:t>
            </w:r>
          </w:p>
        </w:tc>
        <w:tc>
          <w:tcPr>
            <w:tcW w:w="1144" w:type="pct"/>
            <w:vAlign w:val="center"/>
          </w:tcPr>
          <w:p>
            <w:pPr>
              <w:autoSpaceDE w:val="0"/>
              <w:autoSpaceDN w:val="0"/>
              <w:jc w:val="center"/>
              <w:rPr>
                <w:sz w:val="18"/>
                <w:szCs w:val="18"/>
              </w:rPr>
            </w:pPr>
            <w:r>
              <w:rPr>
                <w:rFonts w:ascii="宋体" w:hAnsi="宋体"/>
                <w:color w:val="000000"/>
                <w:sz w:val="18"/>
                <w:szCs w:val="18"/>
              </w:rPr>
              <w:t>≥</w:t>
            </w:r>
            <w:r>
              <w:rPr>
                <w:sz w:val="18"/>
                <w:szCs w:val="18"/>
              </w:rPr>
              <w:t>45</w:t>
            </w:r>
          </w:p>
        </w:tc>
        <w:tc>
          <w:tcPr>
            <w:tcW w:w="1052" w:type="pct"/>
            <w:vAlign w:val="center"/>
          </w:tcPr>
          <w:p>
            <w:pPr>
              <w:autoSpaceDE w:val="0"/>
              <w:autoSpaceDN w:val="0"/>
              <w:jc w:val="center"/>
              <w:rPr>
                <w:sz w:val="18"/>
                <w:szCs w:val="18"/>
              </w:rPr>
            </w:pPr>
            <w:r>
              <w:rPr>
                <w:rFonts w:ascii="宋体" w:hAnsi="宋体"/>
                <w:color w:val="000000"/>
                <w:sz w:val="18"/>
                <w:szCs w:val="18"/>
              </w:rPr>
              <w:t>≥</w:t>
            </w:r>
            <w:r>
              <w:rPr>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2" w:type="pct"/>
            <w:gridSpan w:val="2"/>
            <w:vAlign w:val="center"/>
          </w:tcPr>
          <w:p>
            <w:pPr>
              <w:autoSpaceDE w:val="0"/>
              <w:autoSpaceDN w:val="0"/>
              <w:jc w:val="center"/>
              <w:rPr>
                <w:sz w:val="18"/>
                <w:szCs w:val="18"/>
              </w:rPr>
            </w:pPr>
            <w:r>
              <w:rPr>
                <w:sz w:val="18"/>
                <w:szCs w:val="18"/>
              </w:rPr>
              <w:t>介质损耗因数(90℃)</w:t>
            </w:r>
          </w:p>
          <w:p>
            <w:pPr>
              <w:autoSpaceDE w:val="0"/>
              <w:autoSpaceDN w:val="0"/>
              <w:jc w:val="center"/>
              <w:rPr>
                <w:sz w:val="18"/>
                <w:szCs w:val="18"/>
              </w:rPr>
            </w:pPr>
            <w:r>
              <w:rPr>
                <w:sz w:val="18"/>
                <w:szCs w:val="18"/>
              </w:rPr>
              <w:t>%</w:t>
            </w:r>
          </w:p>
        </w:tc>
        <w:tc>
          <w:tcPr>
            <w:tcW w:w="1142" w:type="pct"/>
            <w:vAlign w:val="center"/>
          </w:tcPr>
          <w:p>
            <w:pPr>
              <w:autoSpaceDE w:val="0"/>
              <w:autoSpaceDN w:val="0"/>
              <w:jc w:val="center"/>
              <w:rPr>
                <w:sz w:val="18"/>
                <w:szCs w:val="18"/>
              </w:rPr>
            </w:pPr>
            <w:r>
              <w:rPr>
                <w:rFonts w:ascii="宋体" w:hAnsi="宋体"/>
                <w:color w:val="000000"/>
                <w:sz w:val="18"/>
                <w:szCs w:val="18"/>
              </w:rPr>
              <w:t>≤</w:t>
            </w:r>
            <w:r>
              <w:rPr>
                <w:sz w:val="18"/>
                <w:szCs w:val="18"/>
              </w:rPr>
              <w:t>220</w:t>
            </w:r>
          </w:p>
        </w:tc>
        <w:tc>
          <w:tcPr>
            <w:tcW w:w="1144" w:type="pct"/>
            <w:vAlign w:val="center"/>
          </w:tcPr>
          <w:p>
            <w:pPr>
              <w:autoSpaceDE w:val="0"/>
              <w:autoSpaceDN w:val="0"/>
              <w:jc w:val="center"/>
              <w:rPr>
                <w:sz w:val="18"/>
                <w:szCs w:val="18"/>
              </w:rPr>
            </w:pPr>
            <w:r>
              <w:rPr>
                <w:rFonts w:ascii="宋体" w:hAnsi="宋体"/>
                <w:color w:val="000000"/>
                <w:sz w:val="18"/>
                <w:szCs w:val="18"/>
              </w:rPr>
              <w:t>≤</w:t>
            </w:r>
            <w:r>
              <w:rPr>
                <w:sz w:val="18"/>
                <w:szCs w:val="18"/>
              </w:rPr>
              <w:t>1.0</w:t>
            </w:r>
          </w:p>
        </w:tc>
        <w:tc>
          <w:tcPr>
            <w:tcW w:w="1052" w:type="pct"/>
            <w:vAlign w:val="center"/>
          </w:tcPr>
          <w:p>
            <w:pPr>
              <w:autoSpaceDE w:val="0"/>
              <w:autoSpaceDN w:val="0"/>
              <w:jc w:val="center"/>
              <w:rPr>
                <w:sz w:val="18"/>
                <w:szCs w:val="18"/>
              </w:rPr>
            </w:pPr>
            <w:r>
              <w:rPr>
                <w:rFonts w:ascii="宋体" w:hAnsi="宋体"/>
                <w:color w:val="000000"/>
                <w:sz w:val="18"/>
                <w:szCs w:val="18"/>
              </w:rPr>
              <w:t>≤</w:t>
            </w:r>
            <w:r>
              <w:rPr>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2" w:type="pct"/>
            <w:gridSpan w:val="2"/>
            <w:vMerge w:val="restart"/>
            <w:vAlign w:val="center"/>
          </w:tcPr>
          <w:p>
            <w:pPr>
              <w:autoSpaceDE w:val="0"/>
              <w:autoSpaceDN w:val="0"/>
              <w:jc w:val="center"/>
              <w:rPr>
                <w:sz w:val="18"/>
                <w:szCs w:val="18"/>
              </w:rPr>
            </w:pPr>
            <w:r>
              <w:rPr>
                <w:sz w:val="18"/>
                <w:szCs w:val="18"/>
              </w:rPr>
              <w:t>含水量</w:t>
            </w:r>
          </w:p>
          <w:p>
            <w:pPr>
              <w:autoSpaceDE w:val="0"/>
              <w:autoSpaceDN w:val="0"/>
              <w:jc w:val="center"/>
              <w:rPr>
                <w:sz w:val="18"/>
                <w:szCs w:val="18"/>
              </w:rPr>
            </w:pPr>
            <w:r>
              <w:rPr>
                <w:sz w:val="18"/>
                <w:szCs w:val="18"/>
              </w:rPr>
              <w:t>mg/L</w:t>
            </w:r>
          </w:p>
        </w:tc>
        <w:tc>
          <w:tcPr>
            <w:tcW w:w="1142" w:type="pct"/>
            <w:vAlign w:val="center"/>
          </w:tcPr>
          <w:p>
            <w:pPr>
              <w:jc w:val="center"/>
              <w:rPr>
                <w:sz w:val="18"/>
                <w:szCs w:val="18"/>
              </w:rPr>
            </w:pPr>
            <w:r>
              <w:rPr>
                <w:rFonts w:ascii="宋体" w:hAnsi="宋体"/>
                <w:color w:val="000000"/>
                <w:sz w:val="18"/>
                <w:szCs w:val="18"/>
              </w:rPr>
              <w:t>≤</w:t>
            </w:r>
            <w:r>
              <w:rPr>
                <w:sz w:val="18"/>
                <w:szCs w:val="18"/>
              </w:rPr>
              <w:t>110</w:t>
            </w:r>
          </w:p>
        </w:tc>
        <w:tc>
          <w:tcPr>
            <w:tcW w:w="1144" w:type="pct"/>
            <w:vAlign w:val="center"/>
          </w:tcPr>
          <w:p>
            <w:pPr>
              <w:autoSpaceDE w:val="0"/>
              <w:autoSpaceDN w:val="0"/>
              <w:jc w:val="center"/>
              <w:rPr>
                <w:sz w:val="18"/>
                <w:szCs w:val="18"/>
              </w:rPr>
            </w:pPr>
            <w:r>
              <w:rPr>
                <w:rFonts w:ascii="宋体" w:hAnsi="宋体"/>
                <w:color w:val="000000"/>
                <w:sz w:val="18"/>
                <w:szCs w:val="18"/>
              </w:rPr>
              <w:t>≤</w:t>
            </w:r>
            <w:r>
              <w:rPr>
                <w:sz w:val="18"/>
                <w:szCs w:val="18"/>
              </w:rPr>
              <w:t>20</w:t>
            </w:r>
          </w:p>
        </w:tc>
        <w:tc>
          <w:tcPr>
            <w:tcW w:w="1052" w:type="pct"/>
            <w:vAlign w:val="center"/>
          </w:tcPr>
          <w:p>
            <w:pPr>
              <w:autoSpaceDE w:val="0"/>
              <w:autoSpaceDN w:val="0"/>
              <w:jc w:val="center"/>
              <w:rPr>
                <w:sz w:val="18"/>
                <w:szCs w:val="18"/>
              </w:rPr>
            </w:pPr>
            <w:r>
              <w:rPr>
                <w:rFonts w:ascii="宋体" w:hAnsi="宋体"/>
                <w:color w:val="000000"/>
                <w:sz w:val="18"/>
                <w:szCs w:val="18"/>
              </w:rPr>
              <w:t>≤</w:t>
            </w:r>
            <w:r>
              <w:rPr>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2" w:type="pct"/>
            <w:gridSpan w:val="2"/>
            <w:vMerge w:val="continue"/>
            <w:vAlign w:val="center"/>
          </w:tcPr>
          <w:p>
            <w:pPr>
              <w:autoSpaceDE w:val="0"/>
              <w:autoSpaceDN w:val="0"/>
              <w:jc w:val="center"/>
              <w:rPr>
                <w:sz w:val="18"/>
                <w:szCs w:val="18"/>
              </w:rPr>
            </w:pPr>
          </w:p>
        </w:tc>
        <w:tc>
          <w:tcPr>
            <w:tcW w:w="1142" w:type="pct"/>
            <w:vAlign w:val="center"/>
          </w:tcPr>
          <w:p>
            <w:pPr>
              <w:jc w:val="center"/>
              <w:rPr>
                <w:sz w:val="18"/>
                <w:szCs w:val="18"/>
              </w:rPr>
            </w:pPr>
            <w:r>
              <w:rPr>
                <w:sz w:val="18"/>
                <w:szCs w:val="18"/>
              </w:rPr>
              <w:t>220</w:t>
            </w:r>
          </w:p>
        </w:tc>
        <w:tc>
          <w:tcPr>
            <w:tcW w:w="1144" w:type="pct"/>
            <w:vAlign w:val="center"/>
          </w:tcPr>
          <w:p>
            <w:pPr>
              <w:autoSpaceDE w:val="0"/>
              <w:autoSpaceDN w:val="0"/>
              <w:jc w:val="center"/>
              <w:rPr>
                <w:sz w:val="18"/>
                <w:szCs w:val="18"/>
              </w:rPr>
            </w:pPr>
            <w:r>
              <w:rPr>
                <w:rFonts w:ascii="宋体" w:hAnsi="宋体"/>
                <w:color w:val="000000"/>
                <w:sz w:val="18"/>
                <w:szCs w:val="18"/>
              </w:rPr>
              <w:t>≤</w:t>
            </w:r>
            <w:r>
              <w:rPr>
                <w:sz w:val="18"/>
                <w:szCs w:val="18"/>
              </w:rPr>
              <w:t>15</w:t>
            </w:r>
          </w:p>
        </w:tc>
        <w:tc>
          <w:tcPr>
            <w:tcW w:w="1052" w:type="pct"/>
            <w:vAlign w:val="center"/>
          </w:tcPr>
          <w:p>
            <w:pPr>
              <w:autoSpaceDE w:val="0"/>
              <w:autoSpaceDN w:val="0"/>
              <w:jc w:val="center"/>
              <w:rPr>
                <w:sz w:val="18"/>
                <w:szCs w:val="18"/>
              </w:rPr>
            </w:pPr>
            <w:r>
              <w:rPr>
                <w:rFonts w:ascii="宋体" w:hAnsi="宋体"/>
                <w:color w:val="000000"/>
                <w:sz w:val="18"/>
                <w:szCs w:val="18"/>
              </w:rPr>
              <w:t>≤</w:t>
            </w:r>
            <w:r>
              <w:rPr>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pct"/>
            <w:vMerge w:val="restart"/>
            <w:shd w:val="clear" w:color="auto" w:fill="auto"/>
            <w:vAlign w:val="center"/>
          </w:tcPr>
          <w:p>
            <w:pPr>
              <w:jc w:val="center"/>
              <w:rPr>
                <w:sz w:val="18"/>
                <w:szCs w:val="18"/>
              </w:rPr>
            </w:pPr>
            <w:r>
              <w:rPr>
                <w:sz w:val="18"/>
                <w:szCs w:val="18"/>
              </w:rPr>
              <w:t>油中溶解气体色谱分析</w:t>
            </w:r>
          </w:p>
          <w:p>
            <w:pPr>
              <w:jc w:val="center"/>
              <w:rPr>
                <w:sz w:val="18"/>
                <w:szCs w:val="18"/>
              </w:rPr>
            </w:pPr>
            <w:r>
              <w:rPr>
                <w:sz w:val="18"/>
                <w:szCs w:val="18"/>
              </w:rPr>
              <w:t>µL/L</w:t>
            </w:r>
          </w:p>
        </w:tc>
        <w:tc>
          <w:tcPr>
            <w:tcW w:w="831" w:type="pct"/>
            <w:shd w:val="clear" w:color="auto" w:fill="auto"/>
            <w:vAlign w:val="center"/>
          </w:tcPr>
          <w:p>
            <w:pPr>
              <w:jc w:val="center"/>
              <w:rPr>
                <w:sz w:val="18"/>
                <w:szCs w:val="18"/>
              </w:rPr>
            </w:pPr>
            <w:r>
              <w:rPr>
                <w:sz w:val="18"/>
                <w:szCs w:val="18"/>
              </w:rPr>
              <w:t>H</w:t>
            </w:r>
            <w:r>
              <w:rPr>
                <w:sz w:val="18"/>
                <w:szCs w:val="18"/>
                <w:vertAlign w:val="subscript"/>
              </w:rPr>
              <w:t>2</w:t>
            </w:r>
          </w:p>
        </w:tc>
        <w:tc>
          <w:tcPr>
            <w:tcW w:w="1142" w:type="pct"/>
            <w:vMerge w:val="restart"/>
            <w:shd w:val="clear" w:color="auto" w:fill="auto"/>
            <w:vAlign w:val="center"/>
          </w:tcPr>
          <w:p>
            <w:pPr>
              <w:jc w:val="center"/>
              <w:rPr>
                <w:sz w:val="18"/>
                <w:szCs w:val="18"/>
              </w:rPr>
            </w:pPr>
            <w:r>
              <w:rPr>
                <w:rFonts w:ascii="宋体" w:hAnsi="宋体"/>
                <w:color w:val="000000"/>
                <w:sz w:val="18"/>
                <w:szCs w:val="18"/>
              </w:rPr>
              <w:t>≤</w:t>
            </w:r>
            <w:r>
              <w:rPr>
                <w:sz w:val="18"/>
                <w:szCs w:val="18"/>
              </w:rPr>
              <w:t>220</w:t>
            </w:r>
          </w:p>
        </w:tc>
        <w:tc>
          <w:tcPr>
            <w:tcW w:w="1144" w:type="pct"/>
            <w:shd w:val="clear" w:color="auto" w:fill="auto"/>
            <w:vAlign w:val="center"/>
          </w:tcPr>
          <w:p>
            <w:pPr>
              <w:autoSpaceDE w:val="0"/>
              <w:autoSpaceDN w:val="0"/>
              <w:jc w:val="center"/>
              <w:rPr>
                <w:sz w:val="18"/>
                <w:szCs w:val="18"/>
              </w:rPr>
            </w:pPr>
            <w:r>
              <w:rPr>
                <w:sz w:val="18"/>
                <w:szCs w:val="18"/>
              </w:rPr>
              <w:t>＜150</w:t>
            </w:r>
          </w:p>
        </w:tc>
        <w:tc>
          <w:tcPr>
            <w:tcW w:w="1052" w:type="pct"/>
            <w:shd w:val="clear" w:color="auto" w:fill="auto"/>
            <w:vAlign w:val="center"/>
          </w:tcPr>
          <w:p>
            <w:pPr>
              <w:autoSpaceDE w:val="0"/>
              <w:autoSpaceDN w:val="0"/>
              <w:jc w:val="center"/>
              <w:rPr>
                <w:sz w:val="18"/>
                <w:szCs w:val="18"/>
              </w:rPr>
            </w:pPr>
            <w:r>
              <w:rPr>
                <w:rFonts w:ascii="宋体" w:hAnsi="宋体"/>
                <w:color w:val="000000"/>
                <w:sz w:val="18"/>
                <w:szCs w:val="18"/>
              </w:rPr>
              <w:t>≤</w:t>
            </w:r>
            <w:r>
              <w:rPr>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pct"/>
            <w:vMerge w:val="continue"/>
            <w:shd w:val="clear" w:color="auto" w:fill="auto"/>
            <w:vAlign w:val="center"/>
          </w:tcPr>
          <w:p>
            <w:pPr>
              <w:jc w:val="center"/>
              <w:rPr>
                <w:sz w:val="18"/>
                <w:szCs w:val="18"/>
              </w:rPr>
            </w:pPr>
          </w:p>
        </w:tc>
        <w:tc>
          <w:tcPr>
            <w:tcW w:w="831" w:type="pct"/>
            <w:shd w:val="clear" w:color="auto" w:fill="auto"/>
            <w:vAlign w:val="center"/>
          </w:tcPr>
          <w:p>
            <w:pPr>
              <w:jc w:val="center"/>
              <w:rPr>
                <w:sz w:val="18"/>
                <w:szCs w:val="18"/>
              </w:rPr>
            </w:pPr>
            <w:r>
              <w:rPr>
                <w:sz w:val="18"/>
                <w:szCs w:val="18"/>
              </w:rPr>
              <w:t>C</w:t>
            </w:r>
            <w:r>
              <w:rPr>
                <w:sz w:val="18"/>
                <w:szCs w:val="18"/>
                <w:vertAlign w:val="subscript"/>
              </w:rPr>
              <w:t>2</w:t>
            </w:r>
            <w:r>
              <w:rPr>
                <w:sz w:val="18"/>
                <w:szCs w:val="18"/>
              </w:rPr>
              <w:t>H</w:t>
            </w:r>
            <w:r>
              <w:rPr>
                <w:sz w:val="18"/>
                <w:szCs w:val="18"/>
                <w:vertAlign w:val="subscript"/>
              </w:rPr>
              <w:t>2</w:t>
            </w:r>
          </w:p>
        </w:tc>
        <w:tc>
          <w:tcPr>
            <w:tcW w:w="1142" w:type="pct"/>
            <w:vMerge w:val="continue"/>
            <w:shd w:val="clear" w:color="auto" w:fill="auto"/>
            <w:vAlign w:val="center"/>
          </w:tcPr>
          <w:p>
            <w:pPr>
              <w:jc w:val="center"/>
              <w:rPr>
                <w:rFonts w:hint="eastAsia" w:ascii="宋体" w:hAnsi="宋体"/>
                <w:color w:val="000000"/>
                <w:sz w:val="18"/>
                <w:szCs w:val="18"/>
              </w:rPr>
            </w:pPr>
          </w:p>
        </w:tc>
        <w:tc>
          <w:tcPr>
            <w:tcW w:w="1144" w:type="pct"/>
            <w:shd w:val="clear" w:color="auto" w:fill="auto"/>
            <w:vAlign w:val="center"/>
          </w:tcPr>
          <w:p>
            <w:pPr>
              <w:autoSpaceDE w:val="0"/>
              <w:autoSpaceDN w:val="0"/>
              <w:jc w:val="center"/>
              <w:rPr>
                <w:sz w:val="18"/>
                <w:szCs w:val="18"/>
              </w:rPr>
            </w:pPr>
            <w:r>
              <w:rPr>
                <w:sz w:val="18"/>
                <w:szCs w:val="18"/>
              </w:rPr>
              <w:t>＜0.1</w:t>
            </w:r>
          </w:p>
        </w:tc>
        <w:tc>
          <w:tcPr>
            <w:tcW w:w="1052" w:type="pct"/>
            <w:shd w:val="clear" w:color="auto" w:fill="auto"/>
            <w:vAlign w:val="center"/>
          </w:tcPr>
          <w:p>
            <w:pPr>
              <w:autoSpaceDE w:val="0"/>
              <w:autoSpaceDN w:val="0"/>
              <w:jc w:val="center"/>
              <w:rPr>
                <w:rFonts w:eastAsiaTheme="minorEastAsia"/>
                <w:sz w:val="18"/>
                <w:szCs w:val="18"/>
              </w:rPr>
            </w:pPr>
            <w:r>
              <w:rPr>
                <w:rFonts w:ascii="宋体" w:hAnsi="宋体"/>
                <w:color w:val="000000"/>
                <w:sz w:val="18"/>
                <w:szCs w:val="18"/>
              </w:rPr>
              <w:t>≤</w:t>
            </w: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pct"/>
            <w:vMerge w:val="continue"/>
            <w:shd w:val="clear" w:color="auto" w:fill="auto"/>
            <w:vAlign w:val="center"/>
          </w:tcPr>
          <w:p>
            <w:pPr>
              <w:jc w:val="center"/>
              <w:rPr>
                <w:sz w:val="18"/>
                <w:szCs w:val="18"/>
              </w:rPr>
            </w:pPr>
          </w:p>
        </w:tc>
        <w:tc>
          <w:tcPr>
            <w:tcW w:w="831" w:type="pct"/>
            <w:shd w:val="clear" w:color="auto" w:fill="auto"/>
            <w:vAlign w:val="center"/>
          </w:tcPr>
          <w:p>
            <w:pPr>
              <w:jc w:val="center"/>
              <w:rPr>
                <w:sz w:val="18"/>
                <w:szCs w:val="18"/>
              </w:rPr>
            </w:pPr>
            <w:r>
              <w:rPr>
                <w:sz w:val="18"/>
                <w:szCs w:val="18"/>
              </w:rPr>
              <w:t>总烃</w:t>
            </w:r>
          </w:p>
        </w:tc>
        <w:tc>
          <w:tcPr>
            <w:tcW w:w="1142" w:type="pct"/>
            <w:vMerge w:val="continue"/>
            <w:shd w:val="clear" w:color="auto" w:fill="auto"/>
            <w:vAlign w:val="center"/>
          </w:tcPr>
          <w:p>
            <w:pPr>
              <w:jc w:val="center"/>
              <w:rPr>
                <w:rFonts w:hint="eastAsia" w:ascii="宋体" w:hAnsi="宋体"/>
                <w:color w:val="000000"/>
                <w:sz w:val="18"/>
                <w:szCs w:val="18"/>
              </w:rPr>
            </w:pPr>
          </w:p>
        </w:tc>
        <w:tc>
          <w:tcPr>
            <w:tcW w:w="1144" w:type="pct"/>
            <w:shd w:val="clear" w:color="auto" w:fill="auto"/>
            <w:vAlign w:val="center"/>
          </w:tcPr>
          <w:p>
            <w:pPr>
              <w:autoSpaceDE w:val="0"/>
              <w:autoSpaceDN w:val="0"/>
              <w:jc w:val="center"/>
              <w:rPr>
                <w:sz w:val="18"/>
                <w:szCs w:val="18"/>
              </w:rPr>
            </w:pPr>
            <w:r>
              <w:rPr>
                <w:sz w:val="18"/>
                <w:szCs w:val="18"/>
              </w:rPr>
              <w:t>＜10</w:t>
            </w:r>
          </w:p>
        </w:tc>
        <w:tc>
          <w:tcPr>
            <w:tcW w:w="1052" w:type="pct"/>
            <w:shd w:val="clear" w:color="auto" w:fill="auto"/>
            <w:vAlign w:val="center"/>
          </w:tcPr>
          <w:p>
            <w:pPr>
              <w:autoSpaceDE w:val="0"/>
              <w:autoSpaceDN w:val="0"/>
              <w:jc w:val="center"/>
              <w:rPr>
                <w:rFonts w:eastAsiaTheme="minorEastAsia"/>
                <w:sz w:val="18"/>
                <w:szCs w:val="18"/>
              </w:rPr>
            </w:pPr>
            <w:r>
              <w:rPr>
                <w:rFonts w:ascii="宋体" w:hAnsi="宋体"/>
                <w:color w:val="000000"/>
                <w:sz w:val="18"/>
                <w:szCs w:val="18"/>
              </w:rPr>
              <w:t>≤</w:t>
            </w:r>
            <w:r>
              <w:rPr>
                <w:rFonts w:eastAsiaTheme="minorEastAsia"/>
                <w:sz w:val="18"/>
                <w:szCs w:val="18"/>
              </w:rPr>
              <w:t>150</w:t>
            </w:r>
          </w:p>
        </w:tc>
      </w:tr>
    </w:tbl>
    <w:p>
      <w:pPr>
        <w:pStyle w:val="259"/>
      </w:pPr>
      <w:bookmarkStart w:id="111" w:name="_Toc180511535"/>
      <w:r>
        <w:rPr>
          <w:rFonts w:hint="eastAsia"/>
        </w:rPr>
        <w:t>试验要求</w:t>
      </w:r>
      <w:bookmarkEnd w:id="111"/>
    </w:p>
    <w:p>
      <w:pPr>
        <w:pStyle w:val="260"/>
        <w:ind w:left="0" w:firstLine="0"/>
        <w:rPr>
          <w:szCs w:val="20"/>
        </w:rPr>
      </w:pPr>
      <w:bookmarkStart w:id="112" w:name="_Toc180511536"/>
      <w:r>
        <w:rPr>
          <w:rFonts w:hint="eastAsia"/>
          <w:szCs w:val="20"/>
        </w:rPr>
        <w:t>试验分类</w:t>
      </w:r>
      <w:bookmarkEnd w:id="112"/>
    </w:p>
    <w:p>
      <w:pPr>
        <w:pStyle w:val="261"/>
        <w:spacing w:before="156" w:after="156"/>
      </w:pPr>
      <w:bookmarkStart w:id="113" w:name="_Toc475093022"/>
      <w:bookmarkStart w:id="114" w:name="_Toc129097058"/>
      <w:r>
        <w:t>逐个试验</w:t>
      </w:r>
      <w:bookmarkEnd w:id="113"/>
      <w:bookmarkEnd w:id="114"/>
    </w:p>
    <w:p>
      <w:pPr>
        <w:widowControl/>
        <w:autoSpaceDE w:val="0"/>
        <w:autoSpaceDN w:val="0"/>
        <w:ind w:firstLine="420" w:firstLineChars="200"/>
        <w:rPr>
          <w:rFonts w:ascii="宋体"/>
          <w:kern w:val="0"/>
          <w:szCs w:val="20"/>
        </w:rPr>
      </w:pPr>
      <w:r>
        <w:rPr>
          <w:rFonts w:ascii="宋体"/>
          <w:kern w:val="0"/>
          <w:szCs w:val="20"/>
        </w:rPr>
        <w:t>出厂的</w:t>
      </w:r>
      <w:r>
        <w:rPr>
          <w:kern w:val="0"/>
          <w:szCs w:val="20"/>
        </w:rPr>
        <w:t>每一支套管，应按表</w:t>
      </w:r>
      <w:r>
        <w:rPr>
          <w:rFonts w:hint="eastAsia"/>
          <w:kern w:val="0"/>
          <w:szCs w:val="20"/>
        </w:rPr>
        <w:t>7的试验项目</w:t>
      </w:r>
      <w:r>
        <w:rPr>
          <w:kern w:val="0"/>
          <w:szCs w:val="20"/>
        </w:rPr>
        <w:t>进行逐个试验。试验时，如套管有不符合表7中的</w:t>
      </w:r>
      <w:r>
        <w:rPr>
          <w:rFonts w:ascii="宋体"/>
          <w:kern w:val="0"/>
          <w:szCs w:val="20"/>
        </w:rPr>
        <w:t>规定的任何一项要求时，则此套管不合格。</w:t>
      </w:r>
      <w:r>
        <w:rPr>
          <w:rFonts w:hint="eastAsia"/>
          <w:kern w:val="0"/>
          <w:szCs w:val="21"/>
        </w:rPr>
        <w:t>在全部试验后，还应及时抽取充油绝缘套管试品内部油样进行分析，作为套管内部是否发生放电或过热现象的辅助判据。</w:t>
      </w:r>
    </w:p>
    <w:p>
      <w:pPr>
        <w:pStyle w:val="301"/>
        <w:numPr>
          <w:ilvl w:val="0"/>
          <w:numId w:val="0"/>
        </w:numPr>
        <w:tabs>
          <w:tab w:val="clear" w:pos="360"/>
        </w:tabs>
        <w:ind w:left="420" w:hanging="420"/>
      </w:pPr>
      <w:r>
        <w:rPr>
          <w:rFonts w:hint="eastAsia"/>
        </w:rPr>
        <w:t>表7 逐个试验项目</w:t>
      </w:r>
    </w:p>
    <w:tbl>
      <w:tblPr>
        <w:tblStyle w:val="8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400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1" w:type="dxa"/>
            <w:vAlign w:val="center"/>
          </w:tcPr>
          <w:p>
            <w:pPr>
              <w:jc w:val="center"/>
              <w:rPr>
                <w:rFonts w:hint="eastAsia" w:ascii="宋体" w:hAnsi="宋体"/>
                <w:color w:val="000000"/>
                <w:sz w:val="18"/>
                <w:szCs w:val="18"/>
              </w:rPr>
            </w:pPr>
            <w:r>
              <w:rPr>
                <w:rFonts w:hint="eastAsia" w:ascii="宋体" w:hAnsi="宋体"/>
                <w:color w:val="000000"/>
                <w:sz w:val="18"/>
                <w:szCs w:val="18"/>
              </w:rPr>
              <w:t>序号</w:t>
            </w:r>
          </w:p>
        </w:tc>
        <w:tc>
          <w:tcPr>
            <w:tcW w:w="4002" w:type="dxa"/>
            <w:vAlign w:val="center"/>
          </w:tcPr>
          <w:p>
            <w:pPr>
              <w:jc w:val="center"/>
              <w:rPr>
                <w:rFonts w:hint="eastAsia" w:ascii="宋体" w:hAnsi="宋体"/>
                <w:color w:val="000000"/>
                <w:sz w:val="18"/>
                <w:szCs w:val="18"/>
              </w:rPr>
            </w:pPr>
            <w:r>
              <w:rPr>
                <w:rFonts w:ascii="宋体" w:hAnsi="宋体"/>
                <w:color w:val="000000"/>
                <w:sz w:val="18"/>
                <w:szCs w:val="18"/>
              </w:rPr>
              <w:t>试验名称</w:t>
            </w:r>
          </w:p>
        </w:tc>
        <w:tc>
          <w:tcPr>
            <w:tcW w:w="4536" w:type="dxa"/>
            <w:vAlign w:val="center"/>
          </w:tcPr>
          <w:p>
            <w:pPr>
              <w:jc w:val="center"/>
              <w:rPr>
                <w:rFonts w:hint="eastAsia" w:ascii="宋体" w:hAnsi="宋体"/>
                <w:color w:val="000000"/>
                <w:sz w:val="18"/>
                <w:szCs w:val="18"/>
              </w:rPr>
            </w:pPr>
            <w:r>
              <w:rPr>
                <w:rFonts w:ascii="宋体" w:hAnsi="宋体"/>
                <w:color w:val="000000"/>
                <w:sz w:val="18"/>
                <w:szCs w:val="18"/>
              </w:rPr>
              <w:t>试验方法</w:t>
            </w:r>
            <w:r>
              <w:rPr>
                <w:rFonts w:hint="eastAsia" w:ascii="宋体" w:hAnsi="宋体"/>
                <w:color w:val="000000"/>
                <w:sz w:val="18"/>
                <w:szCs w:val="18"/>
              </w:rPr>
              <w:t>及接收准则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1" w:type="dxa"/>
          </w:tcPr>
          <w:p>
            <w:pPr>
              <w:ind w:firstLine="180" w:firstLineChars="100"/>
              <w:rPr>
                <w:color w:val="000000"/>
                <w:sz w:val="18"/>
                <w:szCs w:val="18"/>
              </w:rPr>
            </w:pPr>
            <w:r>
              <w:rPr>
                <w:color w:val="000000"/>
                <w:sz w:val="18"/>
                <w:szCs w:val="18"/>
              </w:rPr>
              <w:t>1</w:t>
            </w:r>
          </w:p>
        </w:tc>
        <w:tc>
          <w:tcPr>
            <w:tcW w:w="4002" w:type="dxa"/>
          </w:tcPr>
          <w:p>
            <w:pPr>
              <w:rPr>
                <w:color w:val="000000"/>
                <w:sz w:val="18"/>
                <w:szCs w:val="18"/>
              </w:rPr>
            </w:pPr>
            <w:r>
              <w:rPr>
                <w:rFonts w:hAnsi="宋体"/>
                <w:color w:val="000000"/>
                <w:sz w:val="18"/>
                <w:szCs w:val="18"/>
              </w:rPr>
              <w:t>外观</w:t>
            </w:r>
            <w:r>
              <w:rPr>
                <w:rFonts w:hint="eastAsia" w:hAnsi="宋体"/>
                <w:color w:val="000000"/>
                <w:sz w:val="18"/>
                <w:szCs w:val="18"/>
              </w:rPr>
              <w:t>和</w:t>
            </w:r>
            <w:r>
              <w:rPr>
                <w:rFonts w:hAnsi="宋体"/>
                <w:color w:val="000000"/>
                <w:sz w:val="18"/>
                <w:szCs w:val="18"/>
              </w:rPr>
              <w:t>尺寸检查</w:t>
            </w:r>
          </w:p>
        </w:tc>
        <w:tc>
          <w:tcPr>
            <w:tcW w:w="4536" w:type="dxa"/>
          </w:tcPr>
          <w:p>
            <w:pPr>
              <w:jc w:val="center"/>
              <w:rPr>
                <w:color w:val="000000"/>
                <w:sz w:val="18"/>
                <w:szCs w:val="18"/>
              </w:rPr>
            </w:pPr>
            <w:r>
              <w:rPr>
                <w:rFonts w:hint="eastAsia"/>
                <w:color w:val="000000"/>
                <w:sz w:val="18"/>
                <w:szCs w:val="18"/>
              </w:rPr>
              <w:t>本文件7.3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1" w:type="dxa"/>
          </w:tcPr>
          <w:p>
            <w:pPr>
              <w:ind w:firstLine="180" w:firstLineChars="100"/>
              <w:rPr>
                <w:color w:val="000000"/>
                <w:sz w:val="18"/>
                <w:szCs w:val="18"/>
              </w:rPr>
            </w:pPr>
            <w:r>
              <w:rPr>
                <w:color w:val="000000"/>
                <w:sz w:val="18"/>
                <w:szCs w:val="18"/>
              </w:rPr>
              <w:t>2</w:t>
            </w:r>
          </w:p>
        </w:tc>
        <w:tc>
          <w:tcPr>
            <w:tcW w:w="4002" w:type="dxa"/>
          </w:tcPr>
          <w:p>
            <w:pPr>
              <w:rPr>
                <w:color w:val="000000"/>
                <w:spacing w:val="-6"/>
                <w:sz w:val="18"/>
                <w:szCs w:val="18"/>
              </w:rPr>
            </w:pPr>
            <w:r>
              <w:rPr>
                <w:rFonts w:hint="eastAsia" w:hAnsi="宋体"/>
                <w:color w:val="000000"/>
                <w:spacing w:val="-6"/>
                <w:sz w:val="18"/>
                <w:szCs w:val="18"/>
              </w:rPr>
              <w:t>环境温度下</w:t>
            </w:r>
            <w:r>
              <w:rPr>
                <w:rFonts w:hAnsi="宋体"/>
                <w:color w:val="000000"/>
                <w:spacing w:val="-6"/>
                <w:sz w:val="18"/>
                <w:szCs w:val="18"/>
              </w:rPr>
              <w:t>介质损耗因数（</w:t>
            </w:r>
            <w:r>
              <w:rPr>
                <w:color w:val="000000"/>
                <w:spacing w:val="-6"/>
                <w:sz w:val="18"/>
                <w:szCs w:val="18"/>
              </w:rPr>
              <w:t>tan</w:t>
            </w:r>
            <w:r>
              <w:rPr>
                <w:i/>
                <w:color w:val="000000"/>
                <w:spacing w:val="-6"/>
                <w:sz w:val="18"/>
                <w:szCs w:val="18"/>
              </w:rPr>
              <w:t>δ</w:t>
            </w:r>
            <w:r>
              <w:rPr>
                <w:rFonts w:hAnsi="宋体"/>
                <w:color w:val="000000"/>
                <w:spacing w:val="-6"/>
                <w:sz w:val="18"/>
                <w:szCs w:val="18"/>
              </w:rPr>
              <w:t>）</w:t>
            </w:r>
            <w:r>
              <w:rPr>
                <w:rFonts w:hint="eastAsia" w:hAnsi="宋体"/>
                <w:color w:val="000000"/>
                <w:spacing w:val="-6"/>
                <w:sz w:val="18"/>
                <w:szCs w:val="18"/>
              </w:rPr>
              <w:t>和</w:t>
            </w:r>
            <w:r>
              <w:rPr>
                <w:rFonts w:hAnsi="宋体"/>
                <w:color w:val="000000"/>
                <w:spacing w:val="-6"/>
                <w:sz w:val="18"/>
                <w:szCs w:val="18"/>
              </w:rPr>
              <w:t>电容量测量</w:t>
            </w:r>
          </w:p>
        </w:tc>
        <w:tc>
          <w:tcPr>
            <w:tcW w:w="4536" w:type="dxa"/>
          </w:tcPr>
          <w:p>
            <w:pPr>
              <w:jc w:val="center"/>
              <w:rPr>
                <w:color w:val="000000"/>
                <w:sz w:val="18"/>
                <w:szCs w:val="18"/>
              </w:rPr>
            </w:pPr>
            <w:r>
              <w:rPr>
                <w:rFonts w:hint="eastAsia"/>
                <w:color w:val="000000"/>
                <w:sz w:val="18"/>
                <w:szCs w:val="18"/>
              </w:rPr>
              <w:t>本文件7.8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1" w:type="dxa"/>
          </w:tcPr>
          <w:p>
            <w:pPr>
              <w:ind w:firstLine="180" w:firstLineChars="100"/>
              <w:rPr>
                <w:color w:val="000000"/>
                <w:sz w:val="18"/>
                <w:szCs w:val="18"/>
              </w:rPr>
            </w:pPr>
            <w:r>
              <w:rPr>
                <w:color w:val="000000"/>
                <w:sz w:val="18"/>
                <w:szCs w:val="18"/>
              </w:rPr>
              <w:t>3</w:t>
            </w:r>
          </w:p>
        </w:tc>
        <w:tc>
          <w:tcPr>
            <w:tcW w:w="4002" w:type="dxa"/>
          </w:tcPr>
          <w:p>
            <w:pPr>
              <w:rPr>
                <w:color w:val="000000"/>
                <w:sz w:val="18"/>
                <w:szCs w:val="18"/>
                <w:vertAlign w:val="superscript"/>
              </w:rPr>
            </w:pPr>
            <w:r>
              <w:rPr>
                <w:rFonts w:hAnsi="宋体"/>
                <w:color w:val="000000"/>
                <w:sz w:val="18"/>
                <w:szCs w:val="18"/>
              </w:rPr>
              <w:t>雷电冲击干耐受电压试验</w:t>
            </w:r>
            <w:r>
              <w:rPr>
                <w:rFonts w:hint="eastAsia" w:hAnsi="宋体"/>
                <w:color w:val="000000"/>
                <w:sz w:val="18"/>
                <w:szCs w:val="18"/>
                <w:vertAlign w:val="superscript"/>
              </w:rPr>
              <w:t>a</w:t>
            </w:r>
          </w:p>
        </w:tc>
        <w:tc>
          <w:tcPr>
            <w:tcW w:w="4536" w:type="dxa"/>
          </w:tcPr>
          <w:p>
            <w:pPr>
              <w:jc w:val="center"/>
              <w:rPr>
                <w:color w:val="000000"/>
                <w:sz w:val="18"/>
                <w:szCs w:val="18"/>
              </w:rPr>
            </w:pPr>
            <w:r>
              <w:rPr>
                <w:rFonts w:hint="eastAsia"/>
                <w:color w:val="000000"/>
                <w:sz w:val="18"/>
                <w:szCs w:val="18"/>
              </w:rPr>
              <w:t>本文件7.6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1" w:type="dxa"/>
          </w:tcPr>
          <w:p>
            <w:pPr>
              <w:ind w:firstLine="180" w:firstLineChars="100"/>
              <w:rPr>
                <w:color w:val="000000"/>
                <w:sz w:val="18"/>
                <w:szCs w:val="18"/>
              </w:rPr>
            </w:pPr>
            <w:r>
              <w:rPr>
                <w:color w:val="000000"/>
                <w:sz w:val="18"/>
                <w:szCs w:val="18"/>
              </w:rPr>
              <w:t>4</w:t>
            </w:r>
          </w:p>
        </w:tc>
        <w:tc>
          <w:tcPr>
            <w:tcW w:w="4002" w:type="dxa"/>
          </w:tcPr>
          <w:p>
            <w:pPr>
              <w:rPr>
                <w:color w:val="000000"/>
                <w:sz w:val="18"/>
                <w:szCs w:val="18"/>
              </w:rPr>
            </w:pPr>
            <w:r>
              <w:rPr>
                <w:rFonts w:hint="eastAsia" w:hAnsi="宋体"/>
                <w:color w:val="000000"/>
                <w:sz w:val="18"/>
                <w:szCs w:val="18"/>
              </w:rPr>
              <w:t>额定频率交流</w:t>
            </w:r>
            <w:r>
              <w:rPr>
                <w:rFonts w:hAnsi="宋体"/>
                <w:color w:val="000000"/>
                <w:sz w:val="18"/>
                <w:szCs w:val="18"/>
              </w:rPr>
              <w:t>干耐受电压试验</w:t>
            </w:r>
          </w:p>
        </w:tc>
        <w:tc>
          <w:tcPr>
            <w:tcW w:w="4536" w:type="dxa"/>
          </w:tcPr>
          <w:p>
            <w:pPr>
              <w:jc w:val="center"/>
              <w:rPr>
                <w:color w:val="000000"/>
                <w:sz w:val="18"/>
                <w:szCs w:val="18"/>
              </w:rPr>
            </w:pPr>
            <w:r>
              <w:rPr>
                <w:rFonts w:hint="eastAsia"/>
                <w:color w:val="000000"/>
                <w:sz w:val="18"/>
                <w:szCs w:val="18"/>
              </w:rPr>
              <w:t>本文件7.4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1" w:type="dxa"/>
          </w:tcPr>
          <w:p>
            <w:pPr>
              <w:ind w:firstLine="180" w:firstLineChars="100"/>
              <w:rPr>
                <w:color w:val="000000"/>
                <w:sz w:val="18"/>
                <w:szCs w:val="18"/>
              </w:rPr>
            </w:pPr>
            <w:r>
              <w:rPr>
                <w:color w:val="000000"/>
                <w:sz w:val="18"/>
                <w:szCs w:val="18"/>
              </w:rPr>
              <w:t>5</w:t>
            </w:r>
          </w:p>
        </w:tc>
        <w:tc>
          <w:tcPr>
            <w:tcW w:w="4002" w:type="dxa"/>
          </w:tcPr>
          <w:p>
            <w:pPr>
              <w:rPr>
                <w:color w:val="000000"/>
                <w:sz w:val="18"/>
                <w:szCs w:val="18"/>
              </w:rPr>
            </w:pPr>
            <w:r>
              <w:rPr>
                <w:rFonts w:hAnsi="宋体"/>
                <w:color w:val="000000"/>
                <w:sz w:val="18"/>
                <w:szCs w:val="18"/>
              </w:rPr>
              <w:t>局部放电</w:t>
            </w:r>
            <w:r>
              <w:rPr>
                <w:rFonts w:hint="eastAsia" w:hAnsi="宋体"/>
                <w:color w:val="000000"/>
                <w:sz w:val="18"/>
                <w:szCs w:val="18"/>
              </w:rPr>
              <w:t>测量</w:t>
            </w:r>
          </w:p>
        </w:tc>
        <w:tc>
          <w:tcPr>
            <w:tcW w:w="4536" w:type="dxa"/>
          </w:tcPr>
          <w:p>
            <w:pPr>
              <w:jc w:val="center"/>
              <w:rPr>
                <w:color w:val="000000"/>
                <w:sz w:val="18"/>
                <w:szCs w:val="18"/>
              </w:rPr>
            </w:pPr>
            <w:r>
              <w:rPr>
                <w:rFonts w:hint="eastAsia"/>
                <w:color w:val="000000"/>
                <w:sz w:val="18"/>
                <w:szCs w:val="18"/>
              </w:rPr>
              <w:t>本文件7.9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1" w:type="dxa"/>
          </w:tcPr>
          <w:p>
            <w:pPr>
              <w:ind w:firstLine="180" w:firstLineChars="100"/>
              <w:rPr>
                <w:color w:val="000000"/>
                <w:sz w:val="18"/>
                <w:szCs w:val="18"/>
              </w:rPr>
            </w:pPr>
            <w:r>
              <w:rPr>
                <w:color w:val="000000"/>
                <w:sz w:val="18"/>
                <w:szCs w:val="18"/>
              </w:rPr>
              <w:t>6</w:t>
            </w:r>
          </w:p>
        </w:tc>
        <w:tc>
          <w:tcPr>
            <w:tcW w:w="4002" w:type="dxa"/>
          </w:tcPr>
          <w:p>
            <w:pPr>
              <w:rPr>
                <w:color w:val="000000"/>
                <w:sz w:val="18"/>
                <w:szCs w:val="18"/>
              </w:rPr>
            </w:pPr>
            <w:r>
              <w:rPr>
                <w:rFonts w:hAnsi="宋体"/>
                <w:color w:val="000000"/>
                <w:sz w:val="18"/>
                <w:szCs w:val="18"/>
              </w:rPr>
              <w:t>抽头绝缘试验</w:t>
            </w:r>
          </w:p>
        </w:tc>
        <w:tc>
          <w:tcPr>
            <w:tcW w:w="4536" w:type="dxa"/>
          </w:tcPr>
          <w:p>
            <w:pPr>
              <w:jc w:val="center"/>
              <w:rPr>
                <w:color w:val="000000"/>
                <w:sz w:val="18"/>
                <w:szCs w:val="18"/>
              </w:rPr>
            </w:pPr>
            <w:r>
              <w:rPr>
                <w:rFonts w:hint="eastAsia"/>
                <w:color w:val="000000"/>
                <w:sz w:val="18"/>
                <w:szCs w:val="18"/>
              </w:rPr>
              <w:t>本文件7.10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1" w:type="dxa"/>
            <w:vAlign w:val="center"/>
          </w:tcPr>
          <w:p>
            <w:pPr>
              <w:ind w:firstLine="180" w:firstLineChars="100"/>
              <w:rPr>
                <w:color w:val="000000"/>
                <w:sz w:val="18"/>
                <w:szCs w:val="18"/>
              </w:rPr>
            </w:pPr>
            <w:r>
              <w:rPr>
                <w:rFonts w:hint="eastAsia"/>
                <w:color w:val="000000"/>
                <w:sz w:val="18"/>
                <w:szCs w:val="18"/>
              </w:rPr>
              <w:t>7</w:t>
            </w:r>
          </w:p>
        </w:tc>
        <w:tc>
          <w:tcPr>
            <w:tcW w:w="4002" w:type="dxa"/>
            <w:vAlign w:val="center"/>
          </w:tcPr>
          <w:p>
            <w:pPr>
              <w:rPr>
                <w:color w:val="000000"/>
                <w:sz w:val="18"/>
                <w:szCs w:val="18"/>
              </w:rPr>
            </w:pPr>
            <w:r>
              <w:rPr>
                <w:rFonts w:hint="eastAsia" w:hAnsi="宋体"/>
                <w:color w:val="000000"/>
                <w:sz w:val="18"/>
                <w:szCs w:val="18"/>
              </w:rPr>
              <w:t>充液体、充混合物以及液体绝缘套管的密封试验</w:t>
            </w:r>
          </w:p>
        </w:tc>
        <w:tc>
          <w:tcPr>
            <w:tcW w:w="4536" w:type="dxa"/>
            <w:vAlign w:val="center"/>
          </w:tcPr>
          <w:p>
            <w:pPr>
              <w:jc w:val="center"/>
              <w:rPr>
                <w:color w:val="000000"/>
                <w:sz w:val="18"/>
                <w:szCs w:val="18"/>
              </w:rPr>
            </w:pPr>
            <w:r>
              <w:rPr>
                <w:rFonts w:hint="eastAsia"/>
                <w:color w:val="000000"/>
                <w:sz w:val="18"/>
                <w:szCs w:val="18"/>
              </w:rPr>
              <w:t>本文件7.15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1" w:type="dxa"/>
          </w:tcPr>
          <w:p>
            <w:pPr>
              <w:ind w:firstLine="180" w:firstLineChars="100"/>
              <w:rPr>
                <w:color w:val="000000"/>
                <w:sz w:val="18"/>
                <w:szCs w:val="18"/>
              </w:rPr>
            </w:pPr>
            <w:r>
              <w:rPr>
                <w:rFonts w:hint="eastAsia"/>
                <w:color w:val="000000"/>
                <w:sz w:val="18"/>
                <w:szCs w:val="18"/>
              </w:rPr>
              <w:t>8</w:t>
            </w:r>
          </w:p>
        </w:tc>
        <w:tc>
          <w:tcPr>
            <w:tcW w:w="4002" w:type="dxa"/>
          </w:tcPr>
          <w:p>
            <w:pPr>
              <w:rPr>
                <w:color w:val="000000"/>
                <w:sz w:val="18"/>
                <w:szCs w:val="18"/>
              </w:rPr>
            </w:pPr>
            <w:r>
              <w:rPr>
                <w:rFonts w:hAnsi="宋体"/>
                <w:color w:val="000000"/>
                <w:sz w:val="18"/>
                <w:szCs w:val="18"/>
              </w:rPr>
              <w:t>法兰或其它紧固件上的密封试验</w:t>
            </w:r>
          </w:p>
        </w:tc>
        <w:tc>
          <w:tcPr>
            <w:tcW w:w="4536" w:type="dxa"/>
          </w:tcPr>
          <w:p>
            <w:pPr>
              <w:jc w:val="center"/>
              <w:rPr>
                <w:color w:val="000000"/>
                <w:sz w:val="18"/>
                <w:szCs w:val="18"/>
              </w:rPr>
            </w:pPr>
            <w:r>
              <w:rPr>
                <w:rFonts w:hint="eastAsia"/>
                <w:color w:val="000000"/>
                <w:sz w:val="18"/>
                <w:szCs w:val="18"/>
              </w:rPr>
              <w:t>本文件7.16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209" w:type="dxa"/>
            <w:gridSpan w:val="3"/>
          </w:tcPr>
          <w:p>
            <w:pPr>
              <w:ind w:firstLine="360" w:firstLineChars="200"/>
              <w:rPr>
                <w:color w:val="000000"/>
                <w:sz w:val="18"/>
                <w:szCs w:val="18"/>
              </w:rPr>
            </w:pPr>
            <w:r>
              <w:rPr>
                <w:rFonts w:hint="eastAsia"/>
                <w:color w:val="000000"/>
                <w:sz w:val="18"/>
                <w:szCs w:val="18"/>
                <w:vertAlign w:val="superscript"/>
              </w:rPr>
              <w:t>a</w:t>
            </w:r>
            <w:r>
              <w:rPr>
                <w:rFonts w:hint="eastAsia"/>
                <w:color w:val="000000"/>
                <w:sz w:val="18"/>
                <w:szCs w:val="18"/>
              </w:rPr>
              <w:t xml:space="preserve">  </w:t>
            </w:r>
            <w:r>
              <w:rPr>
                <w:i/>
                <w:iCs/>
                <w:color w:val="000000"/>
                <w:sz w:val="18"/>
                <w:szCs w:val="18"/>
              </w:rPr>
              <w:t>U</w:t>
            </w:r>
            <w:r>
              <w:rPr>
                <w:color w:val="000000"/>
                <w:sz w:val="18"/>
                <w:szCs w:val="18"/>
                <w:vertAlign w:val="subscript"/>
              </w:rPr>
              <w:t>m</w:t>
            </w:r>
            <w:r>
              <w:rPr>
                <w:rFonts w:hint="eastAsia"/>
                <w:color w:val="000000"/>
                <w:sz w:val="18"/>
                <w:szCs w:val="18"/>
              </w:rPr>
              <w:t>≥</w:t>
            </w:r>
            <w:r>
              <w:rPr>
                <w:color w:val="000000"/>
                <w:sz w:val="18"/>
                <w:szCs w:val="18"/>
              </w:rPr>
              <w:t>72.5kV</w:t>
            </w:r>
            <w:r>
              <w:rPr>
                <w:rFonts w:hint="eastAsia"/>
                <w:color w:val="000000"/>
                <w:sz w:val="18"/>
                <w:szCs w:val="18"/>
              </w:rPr>
              <w:t>的电容式套管需开展该项试验。</w:t>
            </w:r>
          </w:p>
        </w:tc>
      </w:tr>
    </w:tbl>
    <w:p>
      <w:pPr>
        <w:pStyle w:val="261"/>
        <w:spacing w:before="156" w:after="156"/>
      </w:pPr>
      <w:bookmarkStart w:id="115" w:name="_Toc475093023"/>
      <w:bookmarkStart w:id="116" w:name="_Toc129097059"/>
      <w:r>
        <w:t>型式试验</w:t>
      </w:r>
      <w:bookmarkEnd w:id="115"/>
      <w:bookmarkEnd w:id="116"/>
    </w:p>
    <w:p>
      <w:pPr>
        <w:widowControl/>
        <w:autoSpaceDE w:val="0"/>
        <w:autoSpaceDN w:val="0"/>
        <w:ind w:firstLine="420" w:firstLineChars="200"/>
        <w:rPr>
          <w:rFonts w:ascii="宋体"/>
          <w:kern w:val="0"/>
          <w:szCs w:val="20"/>
        </w:rPr>
      </w:pPr>
      <w:bookmarkStart w:id="117" w:name="_Hlk180261334"/>
      <w:r>
        <w:rPr>
          <w:rFonts w:ascii="宋体"/>
          <w:kern w:val="0"/>
          <w:szCs w:val="20"/>
        </w:rPr>
        <w:t>新产品定型或正常产品修改结构、改变原材料及生产工艺时，应进行产品</w:t>
      </w:r>
      <w:r>
        <w:rPr>
          <w:rFonts w:hint="eastAsia" w:ascii="宋体"/>
          <w:kern w:val="0"/>
          <w:szCs w:val="20"/>
        </w:rPr>
        <w:t>的</w:t>
      </w:r>
      <w:r>
        <w:rPr>
          <w:rFonts w:ascii="宋体"/>
          <w:kern w:val="0"/>
          <w:szCs w:val="20"/>
        </w:rPr>
        <w:t>型式试验。试验用的套管应与正常交货的套管相同。型式试验应在通过逐个试验合格后的产品中随机</w:t>
      </w:r>
      <w:r>
        <w:rPr>
          <w:kern w:val="0"/>
          <w:szCs w:val="20"/>
        </w:rPr>
        <w:t>抽取1只，按表</w:t>
      </w:r>
      <w:r>
        <w:rPr>
          <w:rFonts w:hint="eastAsia"/>
          <w:kern w:val="0"/>
          <w:szCs w:val="20"/>
        </w:rPr>
        <w:t>8的试验项目进行</w:t>
      </w:r>
      <w:r>
        <w:rPr>
          <w:kern w:val="0"/>
          <w:szCs w:val="20"/>
        </w:rPr>
        <w:t>试</w:t>
      </w:r>
      <w:r>
        <w:rPr>
          <w:rFonts w:ascii="宋体"/>
          <w:kern w:val="0"/>
          <w:szCs w:val="20"/>
        </w:rPr>
        <w:t>验。试验时，如套管有不符合表中规定的任何一项要求时，则型式试验不合格。</w:t>
      </w:r>
    </w:p>
    <w:p>
      <w:pPr>
        <w:widowControl/>
        <w:autoSpaceDE w:val="0"/>
        <w:autoSpaceDN w:val="0"/>
        <w:ind w:firstLine="420" w:firstLineChars="200"/>
        <w:rPr>
          <w:rFonts w:ascii="宋体"/>
          <w:kern w:val="0"/>
          <w:szCs w:val="20"/>
        </w:rPr>
      </w:pPr>
      <w:r>
        <w:rPr>
          <w:rFonts w:hint="eastAsia"/>
          <w:kern w:val="0"/>
          <w:szCs w:val="21"/>
        </w:rPr>
        <w:t>在套管全部试验后，应及时抽取试验油箱内的变压器油样进行分析作为试验装置内是否发生放电的辅助判据。在全部试验后，还应及时抽取充油绝缘套管试品内部油样进行分析，作为套管内部是否发生放电或过热现象的辅助判据。</w:t>
      </w:r>
      <w:r>
        <w:rPr>
          <w:rFonts w:ascii="宋体"/>
          <w:kern w:val="0"/>
          <w:szCs w:val="20"/>
        </w:rPr>
        <w:t>在型式试验</w:t>
      </w:r>
      <w:r>
        <w:rPr>
          <w:rFonts w:hint="eastAsia" w:ascii="宋体"/>
          <w:kern w:val="0"/>
          <w:szCs w:val="20"/>
        </w:rPr>
        <w:t>前</w:t>
      </w:r>
      <w:r>
        <w:rPr>
          <w:rFonts w:ascii="宋体"/>
          <w:kern w:val="0"/>
          <w:szCs w:val="20"/>
        </w:rPr>
        <w:t>后，应</w:t>
      </w:r>
      <w:r>
        <w:rPr>
          <w:kern w:val="0"/>
          <w:szCs w:val="20"/>
        </w:rPr>
        <w:t>按表</w:t>
      </w:r>
      <w:r>
        <w:rPr>
          <w:rFonts w:hint="eastAsia"/>
          <w:kern w:val="0"/>
          <w:szCs w:val="20"/>
        </w:rPr>
        <w:t>7</w:t>
      </w:r>
      <w:r>
        <w:rPr>
          <w:kern w:val="0"/>
          <w:szCs w:val="20"/>
        </w:rPr>
        <w:t>第2项、第5项规定进行</w:t>
      </w:r>
      <w:r>
        <w:rPr>
          <w:rFonts w:hint="eastAsia"/>
          <w:kern w:val="0"/>
          <w:szCs w:val="20"/>
        </w:rPr>
        <w:t>套管</w:t>
      </w:r>
      <w:r>
        <w:rPr>
          <w:rFonts w:hAnsi="宋体"/>
          <w:color w:val="000000"/>
          <w:spacing w:val="-6"/>
          <w:szCs w:val="21"/>
        </w:rPr>
        <w:t>介质损耗因数（</w:t>
      </w:r>
      <w:r>
        <w:rPr>
          <w:color w:val="000000"/>
          <w:spacing w:val="-6"/>
          <w:szCs w:val="21"/>
        </w:rPr>
        <w:t>tan</w:t>
      </w:r>
      <w:r>
        <w:rPr>
          <w:i/>
          <w:color w:val="000000"/>
          <w:spacing w:val="-6"/>
          <w:szCs w:val="21"/>
        </w:rPr>
        <w:t>δ</w:t>
      </w:r>
      <w:r>
        <w:rPr>
          <w:rFonts w:hAnsi="宋体"/>
          <w:color w:val="000000"/>
          <w:spacing w:val="-6"/>
          <w:szCs w:val="21"/>
        </w:rPr>
        <w:t>）</w:t>
      </w:r>
      <w:r>
        <w:rPr>
          <w:kern w:val="0"/>
          <w:szCs w:val="20"/>
        </w:rPr>
        <w:t>、电容量及局部放电量测量，以便检验套管是否发生击穿或者其他明显的损伤</w:t>
      </w:r>
      <w:r>
        <w:rPr>
          <w:rFonts w:ascii="宋体"/>
          <w:kern w:val="0"/>
          <w:szCs w:val="20"/>
        </w:rPr>
        <w:t>。</w:t>
      </w:r>
    </w:p>
    <w:p>
      <w:pPr>
        <w:pStyle w:val="301"/>
        <w:numPr>
          <w:ilvl w:val="0"/>
          <w:numId w:val="0"/>
        </w:numPr>
        <w:tabs>
          <w:tab w:val="clear" w:pos="360"/>
        </w:tabs>
        <w:ind w:left="420" w:hanging="420"/>
      </w:pPr>
      <w:r>
        <w:rPr>
          <w:rFonts w:hint="eastAsia"/>
        </w:rPr>
        <w:t>表8 型式试验项目</w:t>
      </w:r>
    </w:p>
    <w:tbl>
      <w:tblPr>
        <w:tblStyle w:val="8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400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hint="eastAsia" w:ascii="宋体" w:hAnsi="宋体"/>
                <w:color w:val="000000"/>
                <w:sz w:val="18"/>
                <w:szCs w:val="18"/>
              </w:rPr>
            </w:pPr>
            <w:r>
              <w:rPr>
                <w:rFonts w:hint="eastAsia" w:ascii="宋体" w:hAnsi="宋体"/>
                <w:color w:val="000000"/>
                <w:sz w:val="18"/>
                <w:szCs w:val="18"/>
              </w:rPr>
              <w:t>序号</w:t>
            </w:r>
          </w:p>
        </w:tc>
        <w:tc>
          <w:tcPr>
            <w:tcW w:w="4000" w:type="dxa"/>
            <w:vAlign w:val="center"/>
          </w:tcPr>
          <w:p>
            <w:pPr>
              <w:jc w:val="center"/>
              <w:rPr>
                <w:rFonts w:hint="eastAsia" w:ascii="宋体" w:hAnsi="宋体"/>
                <w:color w:val="000000"/>
                <w:sz w:val="18"/>
                <w:szCs w:val="18"/>
              </w:rPr>
            </w:pPr>
            <w:r>
              <w:rPr>
                <w:rFonts w:ascii="宋体" w:hAnsi="宋体"/>
                <w:color w:val="000000"/>
                <w:sz w:val="18"/>
                <w:szCs w:val="18"/>
              </w:rPr>
              <w:t>试验名称</w:t>
            </w:r>
          </w:p>
        </w:tc>
        <w:tc>
          <w:tcPr>
            <w:tcW w:w="4536" w:type="dxa"/>
            <w:vAlign w:val="center"/>
          </w:tcPr>
          <w:p>
            <w:pPr>
              <w:jc w:val="center"/>
              <w:rPr>
                <w:rFonts w:hint="eastAsia" w:ascii="宋体" w:hAnsi="宋体"/>
                <w:color w:val="000000"/>
                <w:sz w:val="18"/>
                <w:szCs w:val="18"/>
              </w:rPr>
            </w:pPr>
            <w:r>
              <w:rPr>
                <w:rFonts w:ascii="宋体" w:hAnsi="宋体"/>
                <w:color w:val="000000"/>
                <w:sz w:val="18"/>
                <w:szCs w:val="18"/>
              </w:rPr>
              <w:t>试验方法</w:t>
            </w:r>
            <w:r>
              <w:rPr>
                <w:rFonts w:hint="eastAsia" w:ascii="宋体" w:hAnsi="宋体"/>
                <w:color w:val="000000"/>
                <w:sz w:val="18"/>
                <w:szCs w:val="18"/>
              </w:rPr>
              <w:t>及接收准则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color w:val="000000"/>
                <w:sz w:val="18"/>
                <w:szCs w:val="18"/>
              </w:rPr>
            </w:pPr>
            <w:r>
              <w:rPr>
                <w:color w:val="000000"/>
                <w:sz w:val="18"/>
                <w:szCs w:val="18"/>
              </w:rPr>
              <w:t>1</w:t>
            </w:r>
          </w:p>
        </w:tc>
        <w:tc>
          <w:tcPr>
            <w:tcW w:w="4000" w:type="dxa"/>
            <w:vAlign w:val="center"/>
          </w:tcPr>
          <w:p>
            <w:pPr>
              <w:rPr>
                <w:color w:val="000000"/>
                <w:sz w:val="18"/>
                <w:szCs w:val="18"/>
              </w:rPr>
            </w:pPr>
            <w:r>
              <w:rPr>
                <w:rFonts w:hAnsi="宋体"/>
                <w:color w:val="000000"/>
                <w:sz w:val="18"/>
                <w:szCs w:val="18"/>
              </w:rPr>
              <w:t>外观</w:t>
            </w:r>
            <w:r>
              <w:rPr>
                <w:rFonts w:hint="eastAsia" w:hAnsi="宋体"/>
                <w:color w:val="000000"/>
                <w:sz w:val="18"/>
                <w:szCs w:val="18"/>
              </w:rPr>
              <w:t>和</w:t>
            </w:r>
            <w:r>
              <w:rPr>
                <w:rFonts w:hAnsi="宋体"/>
                <w:color w:val="000000"/>
                <w:sz w:val="18"/>
                <w:szCs w:val="18"/>
              </w:rPr>
              <w:t>尺寸检查</w:t>
            </w:r>
          </w:p>
        </w:tc>
        <w:tc>
          <w:tcPr>
            <w:tcW w:w="4536" w:type="dxa"/>
          </w:tcPr>
          <w:p>
            <w:pPr>
              <w:jc w:val="center"/>
              <w:rPr>
                <w:color w:val="000000"/>
                <w:sz w:val="18"/>
                <w:szCs w:val="18"/>
              </w:rPr>
            </w:pPr>
            <w:r>
              <w:rPr>
                <w:rFonts w:hint="eastAsia"/>
                <w:color w:val="000000"/>
                <w:sz w:val="18"/>
                <w:szCs w:val="18"/>
              </w:rPr>
              <w:t>本文件7.3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color w:val="000000"/>
                <w:sz w:val="18"/>
                <w:szCs w:val="18"/>
              </w:rPr>
            </w:pPr>
            <w:r>
              <w:rPr>
                <w:color w:val="000000"/>
                <w:sz w:val="18"/>
                <w:szCs w:val="18"/>
              </w:rPr>
              <w:t>2</w:t>
            </w:r>
          </w:p>
        </w:tc>
        <w:tc>
          <w:tcPr>
            <w:tcW w:w="4000" w:type="dxa"/>
            <w:vAlign w:val="center"/>
          </w:tcPr>
          <w:p>
            <w:pPr>
              <w:rPr>
                <w:color w:val="000000"/>
                <w:sz w:val="18"/>
                <w:szCs w:val="18"/>
                <w:vertAlign w:val="superscript"/>
              </w:rPr>
            </w:pPr>
            <w:r>
              <w:rPr>
                <w:rFonts w:hint="eastAsia" w:hAnsi="宋体"/>
                <w:color w:val="000000"/>
                <w:sz w:val="18"/>
                <w:szCs w:val="18"/>
              </w:rPr>
              <w:t>额定频率交流</w:t>
            </w:r>
            <w:r>
              <w:rPr>
                <w:rFonts w:hAnsi="宋体"/>
                <w:color w:val="000000"/>
                <w:sz w:val="18"/>
                <w:szCs w:val="18"/>
              </w:rPr>
              <w:t>干</w:t>
            </w:r>
            <w:r>
              <w:rPr>
                <w:rFonts w:hint="eastAsia" w:hAnsi="宋体"/>
                <w:color w:val="000000"/>
                <w:sz w:val="18"/>
                <w:szCs w:val="18"/>
              </w:rPr>
              <w:t>或湿</w:t>
            </w:r>
            <w:r>
              <w:rPr>
                <w:rFonts w:hAnsi="宋体"/>
                <w:color w:val="000000"/>
                <w:sz w:val="18"/>
                <w:szCs w:val="18"/>
              </w:rPr>
              <w:t>耐受电压试验</w:t>
            </w:r>
            <w:r>
              <w:rPr>
                <w:rFonts w:hint="eastAsia" w:hAnsi="宋体"/>
                <w:color w:val="000000"/>
                <w:sz w:val="18"/>
                <w:szCs w:val="18"/>
                <w:vertAlign w:val="superscript"/>
              </w:rPr>
              <w:t>a</w:t>
            </w:r>
          </w:p>
        </w:tc>
        <w:tc>
          <w:tcPr>
            <w:tcW w:w="4536" w:type="dxa"/>
          </w:tcPr>
          <w:p>
            <w:pPr>
              <w:jc w:val="center"/>
              <w:rPr>
                <w:color w:val="000000"/>
                <w:sz w:val="18"/>
                <w:szCs w:val="18"/>
              </w:rPr>
            </w:pPr>
            <w:r>
              <w:rPr>
                <w:rFonts w:hint="eastAsia"/>
                <w:color w:val="000000"/>
                <w:sz w:val="18"/>
                <w:szCs w:val="18"/>
              </w:rPr>
              <w:t>本文件7.4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color w:val="000000"/>
                <w:sz w:val="18"/>
                <w:szCs w:val="18"/>
              </w:rPr>
            </w:pPr>
            <w:r>
              <w:rPr>
                <w:color w:val="000000"/>
                <w:sz w:val="18"/>
                <w:szCs w:val="18"/>
              </w:rPr>
              <w:t>3</w:t>
            </w:r>
          </w:p>
        </w:tc>
        <w:tc>
          <w:tcPr>
            <w:tcW w:w="4000" w:type="dxa"/>
            <w:vAlign w:val="center"/>
          </w:tcPr>
          <w:p>
            <w:pPr>
              <w:rPr>
                <w:color w:val="000000"/>
                <w:spacing w:val="-4"/>
                <w:sz w:val="18"/>
                <w:szCs w:val="18"/>
              </w:rPr>
            </w:pPr>
            <w:r>
              <w:rPr>
                <w:rFonts w:hAnsi="宋体"/>
                <w:color w:val="000000"/>
                <w:spacing w:val="-4"/>
                <w:sz w:val="18"/>
                <w:szCs w:val="18"/>
              </w:rPr>
              <w:t>长时</w:t>
            </w:r>
            <w:r>
              <w:rPr>
                <w:rFonts w:hint="eastAsia" w:hAnsi="宋体"/>
                <w:color w:val="000000"/>
                <w:spacing w:val="-4"/>
                <w:sz w:val="18"/>
                <w:szCs w:val="18"/>
              </w:rPr>
              <w:t>额定频率交流</w:t>
            </w:r>
            <w:r>
              <w:rPr>
                <w:rFonts w:hAnsi="宋体"/>
                <w:color w:val="000000"/>
                <w:spacing w:val="-4"/>
                <w:sz w:val="18"/>
                <w:szCs w:val="18"/>
              </w:rPr>
              <w:t>耐受电压试验</w:t>
            </w:r>
            <w:r>
              <w:rPr>
                <w:rFonts w:hint="eastAsia" w:hAnsi="宋体"/>
                <w:color w:val="000000"/>
                <w:spacing w:val="-4"/>
                <w:sz w:val="18"/>
                <w:szCs w:val="18"/>
                <w:vertAlign w:val="superscript"/>
              </w:rPr>
              <w:t>b</w:t>
            </w:r>
          </w:p>
        </w:tc>
        <w:tc>
          <w:tcPr>
            <w:tcW w:w="4536" w:type="dxa"/>
            <w:vAlign w:val="center"/>
          </w:tcPr>
          <w:p>
            <w:pPr>
              <w:jc w:val="center"/>
              <w:rPr>
                <w:color w:val="000000"/>
                <w:spacing w:val="-10"/>
                <w:sz w:val="18"/>
                <w:szCs w:val="18"/>
              </w:rPr>
            </w:pPr>
            <w:r>
              <w:rPr>
                <w:rFonts w:hint="eastAsia"/>
                <w:color w:val="000000"/>
                <w:sz w:val="18"/>
                <w:szCs w:val="18"/>
              </w:rPr>
              <w:t>本文件7.5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color w:val="000000"/>
                <w:sz w:val="18"/>
                <w:szCs w:val="18"/>
              </w:rPr>
            </w:pPr>
            <w:r>
              <w:rPr>
                <w:color w:val="000000"/>
                <w:sz w:val="18"/>
                <w:szCs w:val="18"/>
              </w:rPr>
              <w:t>4</w:t>
            </w:r>
          </w:p>
        </w:tc>
        <w:tc>
          <w:tcPr>
            <w:tcW w:w="4000" w:type="dxa"/>
            <w:vAlign w:val="center"/>
          </w:tcPr>
          <w:p>
            <w:pPr>
              <w:rPr>
                <w:color w:val="000000"/>
                <w:sz w:val="18"/>
                <w:szCs w:val="18"/>
              </w:rPr>
            </w:pPr>
            <w:r>
              <w:rPr>
                <w:rFonts w:hAnsi="宋体"/>
                <w:color w:val="000000"/>
                <w:sz w:val="18"/>
                <w:szCs w:val="18"/>
              </w:rPr>
              <w:t>雷电冲击干耐受电压试验</w:t>
            </w:r>
          </w:p>
        </w:tc>
        <w:tc>
          <w:tcPr>
            <w:tcW w:w="4536" w:type="dxa"/>
          </w:tcPr>
          <w:p>
            <w:pPr>
              <w:jc w:val="center"/>
              <w:rPr>
                <w:color w:val="000000"/>
                <w:sz w:val="18"/>
                <w:szCs w:val="18"/>
              </w:rPr>
            </w:pPr>
            <w:r>
              <w:rPr>
                <w:rFonts w:hint="eastAsia"/>
                <w:color w:val="000000"/>
                <w:sz w:val="18"/>
                <w:szCs w:val="18"/>
              </w:rPr>
              <w:t>本文件7.6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color w:val="000000"/>
                <w:sz w:val="18"/>
                <w:szCs w:val="18"/>
              </w:rPr>
            </w:pPr>
            <w:r>
              <w:rPr>
                <w:color w:val="000000"/>
                <w:sz w:val="18"/>
                <w:szCs w:val="18"/>
              </w:rPr>
              <w:t>5</w:t>
            </w:r>
          </w:p>
        </w:tc>
        <w:tc>
          <w:tcPr>
            <w:tcW w:w="4000" w:type="dxa"/>
            <w:vAlign w:val="center"/>
          </w:tcPr>
          <w:p>
            <w:pPr>
              <w:rPr>
                <w:color w:val="000000"/>
                <w:sz w:val="18"/>
                <w:szCs w:val="18"/>
                <w:vertAlign w:val="superscript"/>
              </w:rPr>
            </w:pPr>
            <w:r>
              <w:rPr>
                <w:rFonts w:hAnsi="宋体"/>
                <w:color w:val="000000"/>
                <w:sz w:val="18"/>
                <w:szCs w:val="18"/>
              </w:rPr>
              <w:t>操作冲击</w:t>
            </w:r>
            <w:r>
              <w:rPr>
                <w:rFonts w:hint="eastAsia" w:hAnsi="宋体"/>
                <w:color w:val="000000"/>
                <w:sz w:val="18"/>
                <w:szCs w:val="18"/>
              </w:rPr>
              <w:t>干或湿</w:t>
            </w:r>
            <w:r>
              <w:rPr>
                <w:rFonts w:hAnsi="宋体"/>
                <w:color w:val="000000"/>
                <w:sz w:val="18"/>
                <w:szCs w:val="18"/>
              </w:rPr>
              <w:t>耐受电压试验</w:t>
            </w:r>
            <w:r>
              <w:rPr>
                <w:rFonts w:hint="eastAsia" w:hAnsi="宋体"/>
                <w:color w:val="000000"/>
                <w:sz w:val="18"/>
                <w:szCs w:val="18"/>
                <w:vertAlign w:val="superscript"/>
              </w:rPr>
              <w:t>c</w:t>
            </w:r>
          </w:p>
        </w:tc>
        <w:tc>
          <w:tcPr>
            <w:tcW w:w="4536" w:type="dxa"/>
          </w:tcPr>
          <w:p>
            <w:pPr>
              <w:jc w:val="center"/>
              <w:rPr>
                <w:color w:val="000000"/>
                <w:sz w:val="18"/>
                <w:szCs w:val="18"/>
              </w:rPr>
            </w:pPr>
            <w:r>
              <w:rPr>
                <w:rFonts w:hint="eastAsia"/>
                <w:color w:val="000000"/>
                <w:sz w:val="18"/>
                <w:szCs w:val="18"/>
              </w:rPr>
              <w:t>本文件7.7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color w:val="000000"/>
                <w:sz w:val="18"/>
                <w:szCs w:val="18"/>
              </w:rPr>
            </w:pPr>
            <w:r>
              <w:rPr>
                <w:rFonts w:hint="eastAsia"/>
                <w:color w:val="000000"/>
                <w:sz w:val="18"/>
                <w:szCs w:val="18"/>
              </w:rPr>
              <w:t>6</w:t>
            </w:r>
          </w:p>
        </w:tc>
        <w:tc>
          <w:tcPr>
            <w:tcW w:w="4000" w:type="dxa"/>
            <w:vAlign w:val="center"/>
          </w:tcPr>
          <w:p>
            <w:pPr>
              <w:rPr>
                <w:color w:val="000000"/>
                <w:sz w:val="18"/>
                <w:szCs w:val="18"/>
              </w:rPr>
            </w:pPr>
            <w:r>
              <w:rPr>
                <w:rFonts w:hAnsi="宋体"/>
                <w:color w:val="000000"/>
                <w:sz w:val="18"/>
                <w:szCs w:val="18"/>
              </w:rPr>
              <w:t>无线电干扰</w:t>
            </w:r>
            <w:r>
              <w:rPr>
                <w:rFonts w:hint="eastAsia" w:hAnsi="宋体"/>
                <w:color w:val="000000"/>
                <w:sz w:val="18"/>
                <w:szCs w:val="18"/>
              </w:rPr>
              <w:t>电压</w:t>
            </w:r>
            <w:r>
              <w:rPr>
                <w:rFonts w:hAnsi="宋体"/>
                <w:color w:val="000000"/>
                <w:sz w:val="18"/>
                <w:szCs w:val="18"/>
              </w:rPr>
              <w:t>试验</w:t>
            </w:r>
            <w:r>
              <w:rPr>
                <w:rFonts w:hint="eastAsia" w:hAnsi="宋体"/>
                <w:color w:val="000000"/>
                <w:sz w:val="18"/>
                <w:szCs w:val="18"/>
                <w:vertAlign w:val="superscript"/>
              </w:rPr>
              <w:t>d</w:t>
            </w:r>
          </w:p>
        </w:tc>
        <w:tc>
          <w:tcPr>
            <w:tcW w:w="4536" w:type="dxa"/>
            <w:vAlign w:val="center"/>
          </w:tcPr>
          <w:p>
            <w:pPr>
              <w:jc w:val="center"/>
              <w:rPr>
                <w:color w:val="000000"/>
                <w:spacing w:val="-10"/>
                <w:sz w:val="18"/>
                <w:szCs w:val="18"/>
              </w:rPr>
            </w:pPr>
            <w:r>
              <w:rPr>
                <w:rFonts w:hint="eastAsia"/>
                <w:color w:val="000000"/>
                <w:sz w:val="18"/>
                <w:szCs w:val="18"/>
              </w:rPr>
              <w:t>本文件7.11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color w:val="000000"/>
                <w:sz w:val="18"/>
                <w:szCs w:val="18"/>
              </w:rPr>
            </w:pPr>
            <w:r>
              <w:rPr>
                <w:rFonts w:hint="eastAsia"/>
                <w:color w:val="000000"/>
                <w:sz w:val="18"/>
                <w:szCs w:val="18"/>
              </w:rPr>
              <w:t>7</w:t>
            </w:r>
          </w:p>
        </w:tc>
        <w:tc>
          <w:tcPr>
            <w:tcW w:w="4000" w:type="dxa"/>
            <w:vAlign w:val="center"/>
          </w:tcPr>
          <w:p>
            <w:pPr>
              <w:rPr>
                <w:color w:val="000000"/>
                <w:sz w:val="18"/>
                <w:szCs w:val="18"/>
                <w:vertAlign w:val="superscript"/>
              </w:rPr>
            </w:pPr>
            <w:r>
              <w:rPr>
                <w:rFonts w:hAnsi="宋体"/>
                <w:color w:val="000000"/>
                <w:sz w:val="18"/>
                <w:szCs w:val="18"/>
              </w:rPr>
              <w:t>温升试验</w:t>
            </w:r>
          </w:p>
        </w:tc>
        <w:tc>
          <w:tcPr>
            <w:tcW w:w="4536" w:type="dxa"/>
            <w:vAlign w:val="center"/>
          </w:tcPr>
          <w:p>
            <w:pPr>
              <w:jc w:val="center"/>
              <w:rPr>
                <w:color w:val="000000"/>
                <w:spacing w:val="-10"/>
                <w:sz w:val="18"/>
                <w:szCs w:val="18"/>
              </w:rPr>
            </w:pPr>
            <w:r>
              <w:rPr>
                <w:rFonts w:hint="eastAsia"/>
                <w:color w:val="000000"/>
                <w:sz w:val="18"/>
                <w:szCs w:val="18"/>
              </w:rPr>
              <w:t>本文件7.12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color w:val="000000"/>
                <w:sz w:val="18"/>
                <w:szCs w:val="18"/>
              </w:rPr>
            </w:pPr>
            <w:r>
              <w:rPr>
                <w:rFonts w:hint="eastAsia"/>
                <w:color w:val="000000"/>
                <w:sz w:val="18"/>
                <w:szCs w:val="18"/>
              </w:rPr>
              <w:t>8</w:t>
            </w:r>
          </w:p>
        </w:tc>
        <w:tc>
          <w:tcPr>
            <w:tcW w:w="4000" w:type="dxa"/>
            <w:vAlign w:val="center"/>
          </w:tcPr>
          <w:p>
            <w:pPr>
              <w:rPr>
                <w:color w:val="000000"/>
                <w:sz w:val="18"/>
                <w:szCs w:val="18"/>
              </w:rPr>
            </w:pPr>
            <w:r>
              <w:rPr>
                <w:rFonts w:hAnsi="宋体"/>
                <w:color w:val="000000"/>
                <w:sz w:val="18"/>
                <w:szCs w:val="18"/>
              </w:rPr>
              <w:t>热短时电流耐受试验</w:t>
            </w:r>
          </w:p>
        </w:tc>
        <w:tc>
          <w:tcPr>
            <w:tcW w:w="4536" w:type="dxa"/>
            <w:vAlign w:val="center"/>
          </w:tcPr>
          <w:p>
            <w:pPr>
              <w:jc w:val="center"/>
              <w:rPr>
                <w:color w:val="000000"/>
                <w:sz w:val="18"/>
                <w:szCs w:val="18"/>
              </w:rPr>
            </w:pPr>
            <w:r>
              <w:rPr>
                <w:rFonts w:hint="eastAsia"/>
                <w:color w:val="000000"/>
                <w:sz w:val="18"/>
                <w:szCs w:val="18"/>
              </w:rPr>
              <w:t>本文件7.13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color w:val="000000"/>
                <w:sz w:val="18"/>
                <w:szCs w:val="18"/>
              </w:rPr>
            </w:pPr>
            <w:r>
              <w:rPr>
                <w:rFonts w:hint="eastAsia"/>
                <w:color w:val="000000"/>
                <w:sz w:val="18"/>
                <w:szCs w:val="18"/>
              </w:rPr>
              <w:t>9</w:t>
            </w:r>
          </w:p>
        </w:tc>
        <w:tc>
          <w:tcPr>
            <w:tcW w:w="4000" w:type="dxa"/>
            <w:vAlign w:val="center"/>
          </w:tcPr>
          <w:p>
            <w:pPr>
              <w:rPr>
                <w:color w:val="000000"/>
                <w:sz w:val="18"/>
                <w:szCs w:val="18"/>
              </w:rPr>
            </w:pPr>
            <w:r>
              <w:rPr>
                <w:rFonts w:hAnsi="宋体"/>
                <w:color w:val="000000"/>
                <w:sz w:val="18"/>
                <w:szCs w:val="18"/>
              </w:rPr>
              <w:t>悬臂负荷耐受试验</w:t>
            </w:r>
          </w:p>
        </w:tc>
        <w:tc>
          <w:tcPr>
            <w:tcW w:w="4536" w:type="dxa"/>
            <w:vAlign w:val="center"/>
          </w:tcPr>
          <w:p>
            <w:pPr>
              <w:jc w:val="center"/>
              <w:rPr>
                <w:color w:val="000000"/>
                <w:sz w:val="18"/>
                <w:szCs w:val="18"/>
              </w:rPr>
            </w:pPr>
            <w:r>
              <w:rPr>
                <w:rFonts w:hint="eastAsia"/>
                <w:color w:val="000000"/>
                <w:sz w:val="18"/>
                <w:szCs w:val="18"/>
              </w:rPr>
              <w:t>本文件7.14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color w:val="000000"/>
                <w:sz w:val="18"/>
                <w:szCs w:val="18"/>
              </w:rPr>
            </w:pPr>
            <w:r>
              <w:rPr>
                <w:rFonts w:hint="eastAsia"/>
                <w:color w:val="000000"/>
                <w:sz w:val="18"/>
                <w:szCs w:val="18"/>
              </w:rPr>
              <w:t>10</w:t>
            </w:r>
          </w:p>
        </w:tc>
        <w:tc>
          <w:tcPr>
            <w:tcW w:w="4000" w:type="dxa"/>
            <w:vAlign w:val="center"/>
          </w:tcPr>
          <w:p>
            <w:pPr>
              <w:rPr>
                <w:color w:val="000000"/>
                <w:sz w:val="18"/>
                <w:szCs w:val="18"/>
              </w:rPr>
            </w:pPr>
            <w:r>
              <w:rPr>
                <w:rFonts w:hint="eastAsia" w:hAnsi="宋体"/>
                <w:color w:val="000000"/>
                <w:sz w:val="18"/>
                <w:szCs w:val="18"/>
              </w:rPr>
              <w:t>充液体、充混合物以及液体绝缘套管的密封试验</w:t>
            </w:r>
          </w:p>
        </w:tc>
        <w:tc>
          <w:tcPr>
            <w:tcW w:w="4536" w:type="dxa"/>
            <w:vAlign w:val="center"/>
          </w:tcPr>
          <w:p>
            <w:pPr>
              <w:jc w:val="center"/>
              <w:rPr>
                <w:color w:val="000000"/>
                <w:sz w:val="18"/>
                <w:szCs w:val="18"/>
              </w:rPr>
            </w:pPr>
            <w:r>
              <w:rPr>
                <w:rFonts w:hint="eastAsia"/>
                <w:color w:val="000000"/>
                <w:sz w:val="18"/>
                <w:szCs w:val="18"/>
              </w:rPr>
              <w:t>本文件7.15</w:t>
            </w:r>
          </w:p>
        </w:tc>
      </w:tr>
    </w:tbl>
    <w:p>
      <w:pPr>
        <w:pStyle w:val="301"/>
        <w:numPr>
          <w:ilvl w:val="0"/>
          <w:numId w:val="0"/>
        </w:numPr>
        <w:tabs>
          <w:tab w:val="clear" w:pos="360"/>
        </w:tabs>
        <w:ind w:left="420" w:hanging="420"/>
      </w:pPr>
      <w:r>
        <w:rPr>
          <w:rFonts w:hint="eastAsia"/>
        </w:rPr>
        <w:t>表8 型式试验项目</w:t>
      </w:r>
      <w:r>
        <w:rPr>
          <w:rFonts w:hint="eastAsia" w:ascii="宋体" w:hAnsi="宋体" w:eastAsia="宋体"/>
        </w:rPr>
        <w:t>（续）</w:t>
      </w:r>
    </w:p>
    <w:tbl>
      <w:tblPr>
        <w:tblStyle w:val="8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vAlign w:val="center"/>
          </w:tcPr>
          <w:p>
            <w:pPr>
              <w:ind w:firstLine="360" w:firstLineChars="200"/>
              <w:jc w:val="left"/>
              <w:rPr>
                <w:rFonts w:hint="eastAsia" w:hAnsi="宋体"/>
                <w:color w:val="000000"/>
                <w:sz w:val="18"/>
                <w:szCs w:val="18"/>
              </w:rPr>
            </w:pPr>
            <w:r>
              <w:rPr>
                <w:rFonts w:hint="eastAsia"/>
                <w:color w:val="000000"/>
                <w:sz w:val="18"/>
                <w:szCs w:val="18"/>
                <w:vertAlign w:val="superscript"/>
              </w:rPr>
              <w:t>a</w:t>
            </w:r>
            <w:r>
              <w:rPr>
                <w:rFonts w:hint="eastAsia"/>
                <w:color w:val="000000"/>
                <w:sz w:val="18"/>
                <w:szCs w:val="18"/>
              </w:rPr>
              <w:t xml:space="preserve">  用于户内的套管开展</w:t>
            </w:r>
            <w:r>
              <w:rPr>
                <w:rFonts w:hint="eastAsia" w:hAnsi="宋体"/>
                <w:color w:val="000000"/>
                <w:sz w:val="18"/>
                <w:szCs w:val="18"/>
              </w:rPr>
              <w:t>额定频率交流</w:t>
            </w:r>
            <w:r>
              <w:rPr>
                <w:rFonts w:hAnsi="宋体"/>
                <w:color w:val="000000"/>
                <w:sz w:val="18"/>
                <w:szCs w:val="18"/>
              </w:rPr>
              <w:t>干</w:t>
            </w:r>
            <w:r>
              <w:rPr>
                <w:rFonts w:hint="eastAsia" w:hAnsi="宋体"/>
                <w:color w:val="000000"/>
                <w:sz w:val="18"/>
                <w:szCs w:val="18"/>
              </w:rPr>
              <w:t>耐受电压试验，用于户外的套管开展额定频率交流湿耐受电压试验。</w:t>
            </w:r>
          </w:p>
          <w:p>
            <w:pPr>
              <w:ind w:firstLine="360" w:firstLineChars="200"/>
              <w:jc w:val="left"/>
              <w:rPr>
                <w:color w:val="000000"/>
                <w:sz w:val="18"/>
                <w:szCs w:val="18"/>
              </w:rPr>
            </w:pPr>
            <w:r>
              <w:rPr>
                <w:rFonts w:hint="eastAsia"/>
                <w:color w:val="000000"/>
                <w:sz w:val="18"/>
                <w:szCs w:val="18"/>
                <w:vertAlign w:val="superscript"/>
              </w:rPr>
              <w:t>b</w:t>
            </w:r>
            <w:r>
              <w:rPr>
                <w:rFonts w:hint="eastAsia"/>
                <w:color w:val="000000"/>
                <w:sz w:val="18"/>
                <w:szCs w:val="18"/>
              </w:rPr>
              <w:t xml:space="preserve">  </w:t>
            </w:r>
            <w:r>
              <w:rPr>
                <w:i/>
                <w:iCs/>
                <w:color w:val="000000"/>
                <w:sz w:val="18"/>
                <w:szCs w:val="18"/>
              </w:rPr>
              <w:t>U</w:t>
            </w:r>
            <w:r>
              <w:rPr>
                <w:color w:val="000000"/>
                <w:sz w:val="18"/>
                <w:szCs w:val="18"/>
                <w:vertAlign w:val="subscript"/>
              </w:rPr>
              <w:t>m</w:t>
            </w:r>
            <w:r>
              <w:rPr>
                <w:rFonts w:hint="eastAsia"/>
                <w:color w:val="000000"/>
                <w:sz w:val="18"/>
                <w:szCs w:val="18"/>
              </w:rPr>
              <w:t>≥</w:t>
            </w:r>
            <w:r>
              <w:rPr>
                <w:color w:val="000000"/>
                <w:sz w:val="18"/>
                <w:szCs w:val="18"/>
              </w:rPr>
              <w:t>72.5kV</w:t>
            </w:r>
            <w:r>
              <w:rPr>
                <w:rFonts w:hint="eastAsia"/>
                <w:color w:val="000000"/>
                <w:sz w:val="18"/>
                <w:szCs w:val="18"/>
              </w:rPr>
              <w:t>的套管开展该项试验。</w:t>
            </w:r>
          </w:p>
          <w:p>
            <w:pPr>
              <w:ind w:firstLine="360" w:firstLineChars="200"/>
              <w:jc w:val="left"/>
              <w:rPr>
                <w:rFonts w:hint="eastAsia" w:hAnsi="宋体"/>
                <w:color w:val="000000"/>
                <w:sz w:val="18"/>
                <w:szCs w:val="18"/>
              </w:rPr>
            </w:pPr>
            <w:r>
              <w:rPr>
                <w:rFonts w:hint="eastAsia"/>
                <w:color w:val="000000"/>
                <w:sz w:val="18"/>
                <w:szCs w:val="18"/>
                <w:vertAlign w:val="superscript"/>
              </w:rPr>
              <w:t>c</w:t>
            </w:r>
            <w:r>
              <w:rPr>
                <w:rFonts w:hint="eastAsia"/>
                <w:color w:val="000000"/>
                <w:sz w:val="18"/>
                <w:szCs w:val="18"/>
              </w:rPr>
              <w:t xml:space="preserve">  </w:t>
            </w:r>
            <w:r>
              <w:rPr>
                <w:i/>
                <w:iCs/>
                <w:color w:val="000000"/>
                <w:sz w:val="18"/>
                <w:szCs w:val="18"/>
              </w:rPr>
              <w:t>U</w:t>
            </w:r>
            <w:r>
              <w:rPr>
                <w:color w:val="000000"/>
                <w:sz w:val="18"/>
                <w:szCs w:val="18"/>
                <w:vertAlign w:val="subscript"/>
              </w:rPr>
              <w:t>m</w:t>
            </w:r>
            <w:r>
              <w:rPr>
                <w:rFonts w:hint="eastAsia"/>
                <w:color w:val="000000"/>
                <w:sz w:val="18"/>
                <w:szCs w:val="18"/>
              </w:rPr>
              <w:t>为252</w:t>
            </w:r>
            <w:r>
              <w:rPr>
                <w:color w:val="000000"/>
                <w:sz w:val="18"/>
                <w:szCs w:val="18"/>
              </w:rPr>
              <w:t>kV</w:t>
            </w:r>
            <w:r>
              <w:rPr>
                <w:rFonts w:hint="eastAsia"/>
                <w:color w:val="000000"/>
                <w:sz w:val="18"/>
                <w:szCs w:val="18"/>
              </w:rPr>
              <w:t>的套管开展该项试验，用于户内的套管开展</w:t>
            </w:r>
            <w:r>
              <w:rPr>
                <w:rFonts w:hAnsi="宋体"/>
                <w:color w:val="000000"/>
                <w:sz w:val="18"/>
                <w:szCs w:val="18"/>
              </w:rPr>
              <w:t>操作冲击</w:t>
            </w:r>
            <w:r>
              <w:rPr>
                <w:rFonts w:hint="eastAsia" w:hAnsi="宋体"/>
                <w:color w:val="000000"/>
                <w:sz w:val="18"/>
                <w:szCs w:val="18"/>
              </w:rPr>
              <w:t>干</w:t>
            </w:r>
            <w:r>
              <w:rPr>
                <w:rFonts w:hAnsi="宋体"/>
                <w:color w:val="000000"/>
                <w:sz w:val="18"/>
                <w:szCs w:val="18"/>
              </w:rPr>
              <w:t>耐受试验</w:t>
            </w:r>
            <w:r>
              <w:rPr>
                <w:rFonts w:hint="eastAsia" w:hAnsi="宋体"/>
                <w:color w:val="000000"/>
                <w:sz w:val="18"/>
                <w:szCs w:val="18"/>
              </w:rPr>
              <w:t>，用于户外的套管开展操作冲击湿耐受试验。</w:t>
            </w:r>
          </w:p>
          <w:p>
            <w:pPr>
              <w:ind w:firstLine="360" w:firstLineChars="200"/>
              <w:jc w:val="left"/>
            </w:pPr>
            <w:r>
              <w:rPr>
                <w:rFonts w:hint="eastAsia"/>
                <w:color w:val="000000"/>
                <w:sz w:val="18"/>
                <w:szCs w:val="18"/>
                <w:vertAlign w:val="superscript"/>
              </w:rPr>
              <w:t>d</w:t>
            </w:r>
            <w:r>
              <w:rPr>
                <w:rFonts w:hint="eastAsia"/>
                <w:color w:val="000000"/>
                <w:sz w:val="18"/>
                <w:szCs w:val="18"/>
              </w:rPr>
              <w:t xml:space="preserve">  </w:t>
            </w:r>
            <w:r>
              <w:rPr>
                <w:i/>
                <w:iCs/>
                <w:color w:val="000000"/>
                <w:sz w:val="18"/>
                <w:szCs w:val="18"/>
              </w:rPr>
              <w:t>U</w:t>
            </w:r>
            <w:r>
              <w:rPr>
                <w:color w:val="000000"/>
                <w:sz w:val="18"/>
                <w:szCs w:val="18"/>
                <w:vertAlign w:val="subscript"/>
              </w:rPr>
              <w:t>m</w:t>
            </w:r>
            <w:r>
              <w:rPr>
                <w:rFonts w:hint="eastAsia"/>
                <w:color w:val="000000"/>
                <w:sz w:val="18"/>
                <w:szCs w:val="18"/>
              </w:rPr>
              <w:t>≥123</w:t>
            </w:r>
            <w:r>
              <w:rPr>
                <w:color w:val="000000"/>
                <w:sz w:val="18"/>
                <w:szCs w:val="18"/>
              </w:rPr>
              <w:t>kV</w:t>
            </w:r>
            <w:r>
              <w:rPr>
                <w:rFonts w:hint="eastAsia"/>
                <w:color w:val="000000"/>
                <w:sz w:val="18"/>
                <w:szCs w:val="18"/>
              </w:rPr>
              <w:t>的套管开展该项试验。</w:t>
            </w:r>
          </w:p>
        </w:tc>
      </w:tr>
      <w:bookmarkEnd w:id="117"/>
    </w:tbl>
    <w:p>
      <w:pPr>
        <w:pStyle w:val="261"/>
        <w:spacing w:before="156" w:after="156"/>
      </w:pPr>
      <w:r>
        <w:rPr>
          <w:rFonts w:hint="eastAsia"/>
        </w:rPr>
        <w:t>现场交接试验</w:t>
      </w:r>
    </w:p>
    <w:p>
      <w:pPr>
        <w:widowControl/>
        <w:autoSpaceDE w:val="0"/>
        <w:autoSpaceDN w:val="0"/>
        <w:ind w:firstLine="420" w:firstLineChars="200"/>
        <w:rPr>
          <w:rFonts w:ascii="宋体"/>
          <w:kern w:val="0"/>
          <w:szCs w:val="20"/>
        </w:rPr>
      </w:pPr>
      <w:r>
        <w:rPr>
          <w:rFonts w:ascii="宋体"/>
          <w:kern w:val="0"/>
          <w:szCs w:val="20"/>
        </w:rPr>
        <w:t>现场交接验收试验在</w:t>
      </w:r>
      <w:r>
        <w:rPr>
          <w:rFonts w:hint="eastAsia" w:ascii="宋体"/>
          <w:kern w:val="0"/>
          <w:szCs w:val="20"/>
        </w:rPr>
        <w:t>装有</w:t>
      </w:r>
      <w:r>
        <w:rPr>
          <w:rFonts w:ascii="宋体"/>
          <w:kern w:val="0"/>
          <w:szCs w:val="20"/>
        </w:rPr>
        <w:t>套管</w:t>
      </w:r>
      <w:r>
        <w:rPr>
          <w:rFonts w:hint="eastAsia" w:ascii="宋体"/>
          <w:kern w:val="0"/>
          <w:szCs w:val="20"/>
        </w:rPr>
        <w:t>的设备</w:t>
      </w:r>
      <w:r>
        <w:rPr>
          <w:rFonts w:ascii="宋体"/>
          <w:kern w:val="0"/>
          <w:szCs w:val="20"/>
        </w:rPr>
        <w:t>安装完毕后进行</w:t>
      </w:r>
      <w:r>
        <w:rPr>
          <w:rFonts w:hint="eastAsia" w:ascii="宋体"/>
          <w:kern w:val="0"/>
          <w:szCs w:val="20"/>
        </w:rPr>
        <w:t>，</w:t>
      </w:r>
      <w:r>
        <w:rPr>
          <w:rFonts w:ascii="宋体"/>
          <w:kern w:val="0"/>
          <w:szCs w:val="20"/>
        </w:rPr>
        <w:t>所有试验结果均应符合产品的技术规范。</w:t>
      </w:r>
    </w:p>
    <w:p>
      <w:pPr>
        <w:pStyle w:val="301"/>
        <w:numPr>
          <w:ilvl w:val="0"/>
          <w:numId w:val="0"/>
        </w:numPr>
        <w:tabs>
          <w:tab w:val="clear" w:pos="360"/>
        </w:tabs>
        <w:ind w:left="420" w:hanging="420"/>
      </w:pPr>
      <w:r>
        <w:rPr>
          <w:rFonts w:hint="eastAsia"/>
        </w:rPr>
        <w:t>表9 现场交接试验项目</w:t>
      </w:r>
    </w:p>
    <w:tbl>
      <w:tblPr>
        <w:tblStyle w:val="8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400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hint="eastAsia" w:ascii="宋体" w:hAnsi="宋体"/>
                <w:color w:val="000000"/>
                <w:sz w:val="18"/>
                <w:szCs w:val="18"/>
              </w:rPr>
            </w:pPr>
            <w:r>
              <w:rPr>
                <w:rFonts w:hint="eastAsia" w:ascii="宋体" w:hAnsi="宋体"/>
                <w:color w:val="000000"/>
                <w:sz w:val="18"/>
                <w:szCs w:val="18"/>
              </w:rPr>
              <w:t>序号</w:t>
            </w:r>
          </w:p>
        </w:tc>
        <w:tc>
          <w:tcPr>
            <w:tcW w:w="4000" w:type="dxa"/>
            <w:vAlign w:val="center"/>
          </w:tcPr>
          <w:p>
            <w:pPr>
              <w:jc w:val="center"/>
              <w:rPr>
                <w:rFonts w:hint="eastAsia" w:ascii="宋体" w:hAnsi="宋体"/>
                <w:color w:val="000000"/>
                <w:sz w:val="18"/>
                <w:szCs w:val="18"/>
              </w:rPr>
            </w:pPr>
            <w:r>
              <w:rPr>
                <w:rFonts w:ascii="宋体" w:hAnsi="宋体"/>
                <w:color w:val="000000"/>
                <w:sz w:val="18"/>
                <w:szCs w:val="18"/>
              </w:rPr>
              <w:t>试验名称</w:t>
            </w:r>
          </w:p>
        </w:tc>
        <w:tc>
          <w:tcPr>
            <w:tcW w:w="4536" w:type="dxa"/>
            <w:vAlign w:val="center"/>
          </w:tcPr>
          <w:p>
            <w:pPr>
              <w:jc w:val="center"/>
              <w:rPr>
                <w:rFonts w:hint="eastAsia" w:ascii="宋体" w:hAnsi="宋体"/>
                <w:color w:val="000000"/>
                <w:sz w:val="18"/>
                <w:szCs w:val="18"/>
              </w:rPr>
            </w:pPr>
            <w:r>
              <w:rPr>
                <w:rFonts w:ascii="宋体" w:hAnsi="宋体"/>
                <w:color w:val="000000"/>
                <w:sz w:val="18"/>
                <w:szCs w:val="18"/>
              </w:rPr>
              <w:t>试验方法</w:t>
            </w:r>
            <w:r>
              <w:rPr>
                <w:rFonts w:hint="eastAsia" w:ascii="宋体" w:hAnsi="宋体"/>
                <w:color w:val="000000"/>
                <w:sz w:val="18"/>
                <w:szCs w:val="18"/>
              </w:rPr>
              <w:t>及接收准则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color w:val="000000"/>
                <w:sz w:val="18"/>
                <w:szCs w:val="18"/>
              </w:rPr>
            </w:pPr>
            <w:r>
              <w:rPr>
                <w:color w:val="000000"/>
                <w:sz w:val="18"/>
                <w:szCs w:val="18"/>
              </w:rPr>
              <w:t>1</w:t>
            </w:r>
          </w:p>
        </w:tc>
        <w:tc>
          <w:tcPr>
            <w:tcW w:w="4000" w:type="dxa"/>
            <w:vAlign w:val="center"/>
          </w:tcPr>
          <w:p>
            <w:pPr>
              <w:rPr>
                <w:color w:val="000000"/>
                <w:sz w:val="18"/>
                <w:szCs w:val="18"/>
              </w:rPr>
            </w:pPr>
            <w:r>
              <w:rPr>
                <w:rFonts w:hint="eastAsia" w:hAnsi="宋体"/>
                <w:color w:val="000000"/>
                <w:sz w:val="18"/>
                <w:szCs w:val="18"/>
              </w:rPr>
              <w:t>外观检查</w:t>
            </w:r>
          </w:p>
        </w:tc>
        <w:tc>
          <w:tcPr>
            <w:tcW w:w="4536" w:type="dxa"/>
          </w:tcPr>
          <w:p>
            <w:pPr>
              <w:jc w:val="center"/>
              <w:rPr>
                <w:color w:val="000000"/>
                <w:sz w:val="18"/>
                <w:szCs w:val="18"/>
              </w:rPr>
            </w:pPr>
            <w:r>
              <w:rPr>
                <w:rFonts w:hint="eastAsia"/>
                <w:color w:val="000000"/>
                <w:sz w:val="18"/>
                <w:szCs w:val="18"/>
              </w:rPr>
              <w:t>本文件7.3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color w:val="000000"/>
                <w:sz w:val="18"/>
                <w:szCs w:val="18"/>
              </w:rPr>
            </w:pPr>
            <w:r>
              <w:rPr>
                <w:color w:val="000000"/>
                <w:sz w:val="18"/>
                <w:szCs w:val="18"/>
              </w:rPr>
              <w:t>2</w:t>
            </w:r>
          </w:p>
        </w:tc>
        <w:tc>
          <w:tcPr>
            <w:tcW w:w="4000" w:type="dxa"/>
            <w:vAlign w:val="center"/>
          </w:tcPr>
          <w:p>
            <w:pPr>
              <w:rPr>
                <w:color w:val="000000"/>
                <w:sz w:val="18"/>
                <w:szCs w:val="18"/>
              </w:rPr>
            </w:pPr>
            <w:r>
              <w:rPr>
                <w:rFonts w:hint="eastAsia"/>
                <w:sz w:val="18"/>
                <w:szCs w:val="18"/>
              </w:rPr>
              <w:t>绝缘电阻测量</w:t>
            </w:r>
          </w:p>
        </w:tc>
        <w:tc>
          <w:tcPr>
            <w:tcW w:w="4536" w:type="dxa"/>
          </w:tcPr>
          <w:p>
            <w:pPr>
              <w:jc w:val="center"/>
              <w:rPr>
                <w:color w:val="000000"/>
                <w:sz w:val="18"/>
                <w:szCs w:val="18"/>
              </w:rPr>
            </w:pPr>
            <w:r>
              <w:rPr>
                <w:rFonts w:hint="eastAsia"/>
                <w:color w:val="000000"/>
                <w:sz w:val="18"/>
                <w:szCs w:val="18"/>
              </w:rPr>
              <w:t>本文件7.17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color w:val="000000"/>
                <w:sz w:val="18"/>
                <w:szCs w:val="18"/>
              </w:rPr>
            </w:pPr>
            <w:r>
              <w:rPr>
                <w:rFonts w:hint="eastAsia"/>
                <w:color w:val="000000"/>
                <w:sz w:val="18"/>
                <w:szCs w:val="18"/>
              </w:rPr>
              <w:t>3</w:t>
            </w:r>
          </w:p>
        </w:tc>
        <w:tc>
          <w:tcPr>
            <w:tcW w:w="4000" w:type="dxa"/>
            <w:vAlign w:val="center"/>
          </w:tcPr>
          <w:p>
            <w:pPr>
              <w:rPr>
                <w:color w:val="000000"/>
                <w:sz w:val="18"/>
                <w:szCs w:val="18"/>
              </w:rPr>
            </w:pPr>
            <w:r>
              <w:rPr>
                <w:rFonts w:hint="eastAsia"/>
                <w:sz w:val="18"/>
                <w:szCs w:val="18"/>
              </w:rPr>
              <w:t>10 kV电压下套管主绝缘的</w:t>
            </w:r>
            <w:r>
              <w:rPr>
                <w:sz w:val="18"/>
                <w:szCs w:val="18"/>
              </w:rPr>
              <w:t>tan</w:t>
            </w:r>
            <w:r>
              <w:rPr>
                <w:i/>
                <w:sz w:val="18"/>
                <w:szCs w:val="18"/>
              </w:rPr>
              <w:t>δ</w:t>
            </w:r>
            <w:r>
              <w:rPr>
                <w:rFonts w:hint="eastAsia"/>
                <w:sz w:val="18"/>
                <w:szCs w:val="18"/>
              </w:rPr>
              <w:t>和电容量测量</w:t>
            </w:r>
          </w:p>
        </w:tc>
        <w:tc>
          <w:tcPr>
            <w:tcW w:w="4536" w:type="dxa"/>
          </w:tcPr>
          <w:p>
            <w:pPr>
              <w:jc w:val="center"/>
              <w:rPr>
                <w:color w:val="000000"/>
                <w:sz w:val="18"/>
                <w:szCs w:val="18"/>
              </w:rPr>
            </w:pPr>
            <w:r>
              <w:rPr>
                <w:rFonts w:hint="eastAsia"/>
                <w:color w:val="000000"/>
                <w:sz w:val="18"/>
                <w:szCs w:val="18"/>
              </w:rPr>
              <w:t>本文件7.18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color w:val="000000"/>
                <w:sz w:val="18"/>
                <w:szCs w:val="18"/>
              </w:rPr>
            </w:pPr>
            <w:r>
              <w:rPr>
                <w:rFonts w:hint="eastAsia"/>
                <w:color w:val="000000"/>
                <w:sz w:val="18"/>
                <w:szCs w:val="18"/>
              </w:rPr>
              <w:t>4</w:t>
            </w:r>
          </w:p>
        </w:tc>
        <w:tc>
          <w:tcPr>
            <w:tcW w:w="4000" w:type="dxa"/>
            <w:vAlign w:val="center"/>
          </w:tcPr>
          <w:p>
            <w:pPr>
              <w:rPr>
                <w:color w:val="000000"/>
                <w:sz w:val="18"/>
                <w:szCs w:val="18"/>
              </w:rPr>
            </w:pPr>
            <w:r>
              <w:rPr>
                <w:rFonts w:hint="eastAsia"/>
                <w:sz w:val="18"/>
                <w:szCs w:val="18"/>
              </w:rPr>
              <w:t>试验抽头对地的tan</w:t>
            </w:r>
            <w:r>
              <w:rPr>
                <w:i/>
                <w:sz w:val="18"/>
                <w:szCs w:val="18"/>
              </w:rPr>
              <w:t>δ</w:t>
            </w:r>
            <w:r>
              <w:rPr>
                <w:rFonts w:hint="eastAsia"/>
                <w:sz w:val="18"/>
                <w:szCs w:val="18"/>
              </w:rPr>
              <w:t>测量</w:t>
            </w:r>
          </w:p>
        </w:tc>
        <w:tc>
          <w:tcPr>
            <w:tcW w:w="4536" w:type="dxa"/>
          </w:tcPr>
          <w:p>
            <w:pPr>
              <w:jc w:val="center"/>
              <w:rPr>
                <w:color w:val="000000"/>
                <w:sz w:val="18"/>
                <w:szCs w:val="18"/>
              </w:rPr>
            </w:pPr>
            <w:r>
              <w:rPr>
                <w:rFonts w:hint="eastAsia"/>
                <w:color w:val="000000"/>
                <w:sz w:val="18"/>
                <w:szCs w:val="18"/>
              </w:rPr>
              <w:t>本文件7.19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color w:val="000000"/>
                <w:sz w:val="18"/>
                <w:szCs w:val="18"/>
              </w:rPr>
            </w:pPr>
            <w:r>
              <w:rPr>
                <w:rFonts w:hint="eastAsia"/>
                <w:color w:val="000000"/>
                <w:sz w:val="18"/>
                <w:szCs w:val="18"/>
              </w:rPr>
              <w:t>5</w:t>
            </w:r>
          </w:p>
        </w:tc>
        <w:tc>
          <w:tcPr>
            <w:tcW w:w="4000" w:type="dxa"/>
            <w:vAlign w:val="center"/>
          </w:tcPr>
          <w:p>
            <w:pPr>
              <w:rPr>
                <w:color w:val="000000"/>
                <w:sz w:val="18"/>
                <w:szCs w:val="18"/>
              </w:rPr>
            </w:pPr>
            <w:r>
              <w:rPr>
                <w:rFonts w:hint="eastAsia"/>
                <w:sz w:val="18"/>
                <w:szCs w:val="18"/>
              </w:rPr>
              <w:t>密封检查</w:t>
            </w:r>
          </w:p>
        </w:tc>
        <w:tc>
          <w:tcPr>
            <w:tcW w:w="4536" w:type="dxa"/>
          </w:tcPr>
          <w:p>
            <w:pPr>
              <w:jc w:val="center"/>
              <w:rPr>
                <w:color w:val="000000"/>
                <w:sz w:val="18"/>
                <w:szCs w:val="18"/>
              </w:rPr>
            </w:pPr>
            <w:r>
              <w:rPr>
                <w:rFonts w:hint="eastAsia"/>
                <w:color w:val="000000"/>
                <w:sz w:val="18"/>
                <w:szCs w:val="18"/>
              </w:rPr>
              <w:t>-</w:t>
            </w:r>
          </w:p>
        </w:tc>
      </w:tr>
    </w:tbl>
    <w:p>
      <w:pPr>
        <w:pStyle w:val="261"/>
        <w:spacing w:before="156" w:after="156"/>
      </w:pPr>
      <w:bookmarkStart w:id="118" w:name="_Toc475093026"/>
      <w:bookmarkStart w:id="119" w:name="_Toc129097060"/>
      <w:r>
        <w:rPr>
          <w:rFonts w:hint="eastAsia"/>
        </w:rPr>
        <w:t>特殊试验</w:t>
      </w:r>
      <w:bookmarkEnd w:id="118"/>
      <w:bookmarkEnd w:id="119"/>
    </w:p>
    <w:p>
      <w:pPr>
        <w:widowControl/>
        <w:autoSpaceDE w:val="0"/>
        <w:autoSpaceDN w:val="0"/>
        <w:ind w:firstLine="420" w:firstLineChars="200"/>
        <w:rPr>
          <w:rFonts w:ascii="宋体"/>
          <w:kern w:val="0"/>
          <w:szCs w:val="20"/>
        </w:rPr>
      </w:pPr>
      <w:r>
        <w:rPr>
          <w:rFonts w:hint="eastAsia" w:ascii="宋体"/>
          <w:kern w:val="0"/>
          <w:szCs w:val="20"/>
        </w:rPr>
        <w:t>特殊试验包括以下试验项目，仅在供需双方有合同协议的情况下进行，</w:t>
      </w:r>
      <w:r>
        <w:rPr>
          <w:rFonts w:hint="eastAsia"/>
          <w:kern w:val="0"/>
          <w:szCs w:val="21"/>
        </w:rPr>
        <w:t>试验方法和要求由供需双方协议商定</w:t>
      </w:r>
      <w:r>
        <w:rPr>
          <w:rFonts w:hint="eastAsia" w:ascii="宋体"/>
          <w:kern w:val="0"/>
          <w:szCs w:val="20"/>
        </w:rPr>
        <w:t>。</w:t>
      </w:r>
    </w:p>
    <w:p>
      <w:pPr>
        <w:widowControl/>
        <w:autoSpaceDE w:val="0"/>
        <w:autoSpaceDN w:val="0"/>
        <w:ind w:firstLine="420" w:firstLineChars="200"/>
        <w:rPr>
          <w:rFonts w:ascii="宋体"/>
          <w:kern w:val="0"/>
          <w:szCs w:val="21"/>
        </w:rPr>
      </w:pPr>
      <w:r>
        <w:rPr>
          <w:kern w:val="0"/>
          <w:szCs w:val="21"/>
        </w:rPr>
        <w:t>——长时间性能考核试验</w:t>
      </w:r>
      <w:r>
        <w:rPr>
          <w:rFonts w:hint="eastAsia" w:ascii="宋体"/>
          <w:kern w:val="0"/>
          <w:szCs w:val="21"/>
        </w:rPr>
        <w:t>。</w:t>
      </w:r>
    </w:p>
    <w:p>
      <w:pPr>
        <w:widowControl/>
        <w:autoSpaceDE w:val="0"/>
        <w:autoSpaceDN w:val="0"/>
        <w:ind w:firstLine="420" w:firstLineChars="200"/>
        <w:rPr>
          <w:rFonts w:ascii="宋体"/>
          <w:kern w:val="0"/>
          <w:szCs w:val="20"/>
        </w:rPr>
      </w:pPr>
      <w:r>
        <w:rPr>
          <w:kern w:val="0"/>
          <w:szCs w:val="21"/>
        </w:rPr>
        <w:t>——</w:t>
      </w:r>
      <w:r>
        <w:rPr>
          <w:rFonts w:hint="eastAsia" w:ascii="宋体"/>
          <w:kern w:val="0"/>
          <w:szCs w:val="20"/>
        </w:rPr>
        <w:t>地震试验。</w:t>
      </w:r>
    </w:p>
    <w:p>
      <w:pPr>
        <w:pStyle w:val="260"/>
        <w:ind w:left="0" w:firstLine="0"/>
        <w:rPr>
          <w:szCs w:val="20"/>
        </w:rPr>
      </w:pPr>
      <w:bookmarkStart w:id="120" w:name="_Toc180511537"/>
      <w:r>
        <w:rPr>
          <w:rFonts w:hint="eastAsia"/>
          <w:szCs w:val="20"/>
        </w:rPr>
        <w:t>试验的一般要求</w:t>
      </w:r>
      <w:bookmarkEnd w:id="120"/>
    </w:p>
    <w:p>
      <w:pPr>
        <w:widowControl/>
        <w:autoSpaceDE w:val="0"/>
        <w:autoSpaceDN w:val="0"/>
        <w:ind w:firstLine="420" w:firstLineChars="200"/>
        <w:rPr>
          <w:rFonts w:ascii="宋体"/>
          <w:kern w:val="0"/>
          <w:szCs w:val="20"/>
        </w:rPr>
      </w:pPr>
      <w:r>
        <w:rPr>
          <w:rFonts w:ascii="宋体"/>
          <w:kern w:val="0"/>
          <w:szCs w:val="20"/>
        </w:rPr>
        <w:t>在进行套管的绝缘和热试验时，必须完整地具备固定法兰或其他固定装置及在使用时需要的全部附件</w:t>
      </w:r>
      <w:r>
        <w:rPr>
          <w:rFonts w:hint="eastAsia" w:ascii="宋体"/>
          <w:kern w:val="0"/>
          <w:szCs w:val="20"/>
        </w:rPr>
        <w:t>，</w:t>
      </w:r>
      <w:r>
        <w:rPr>
          <w:rFonts w:ascii="宋体"/>
          <w:kern w:val="0"/>
          <w:szCs w:val="20"/>
        </w:rPr>
        <w:t>试验抽头应接地或者接近于地电位。套管</w:t>
      </w:r>
      <w:r>
        <w:rPr>
          <w:rFonts w:hint="eastAsia"/>
          <w:szCs w:val="21"/>
        </w:rPr>
        <w:t>应浸在装有绝缘液体的尺寸合适的试验容器中，套管端部的均压屏蔽罩要确保其表面场强足够低，使其在浸入的介质中不发生局部放电。</w:t>
      </w:r>
    </w:p>
    <w:p>
      <w:pPr>
        <w:widowControl/>
        <w:autoSpaceDE w:val="0"/>
        <w:autoSpaceDN w:val="0"/>
        <w:ind w:firstLine="420" w:firstLineChars="200"/>
        <w:rPr>
          <w:rFonts w:ascii="宋体"/>
          <w:kern w:val="0"/>
          <w:szCs w:val="20"/>
        </w:rPr>
      </w:pPr>
      <w:r>
        <w:rPr>
          <w:rFonts w:hint="eastAsia" w:ascii="宋体"/>
          <w:kern w:val="0"/>
          <w:szCs w:val="20"/>
        </w:rPr>
        <w:t>充油</w:t>
      </w:r>
      <w:r>
        <w:rPr>
          <w:rFonts w:ascii="宋体"/>
          <w:kern w:val="0"/>
          <w:szCs w:val="20"/>
        </w:rPr>
        <w:t>绝缘的套管，须用规定质量的绝缘液体充至正常液面。</w:t>
      </w:r>
    </w:p>
    <w:p>
      <w:pPr>
        <w:widowControl/>
        <w:autoSpaceDE w:val="0"/>
        <w:autoSpaceDN w:val="0"/>
        <w:ind w:firstLine="420" w:firstLineChars="200"/>
        <w:rPr>
          <w:rFonts w:ascii="宋体"/>
          <w:kern w:val="0"/>
          <w:szCs w:val="21"/>
        </w:rPr>
      </w:pPr>
      <w:r>
        <w:rPr>
          <w:rFonts w:ascii="宋体"/>
          <w:kern w:val="0"/>
          <w:szCs w:val="21"/>
        </w:rPr>
        <w:t>套管试验时应垂直安装，要求安装成为其</w:t>
      </w:r>
      <w:r>
        <w:rPr>
          <w:rFonts w:hint="eastAsia" w:ascii="宋体"/>
          <w:kern w:val="0"/>
          <w:szCs w:val="21"/>
        </w:rPr>
        <w:t>它</w:t>
      </w:r>
      <w:r>
        <w:rPr>
          <w:rFonts w:ascii="宋体"/>
          <w:kern w:val="0"/>
          <w:szCs w:val="21"/>
        </w:rPr>
        <w:t>状态时，应由供需双方协议商定。</w:t>
      </w:r>
    </w:p>
    <w:p>
      <w:pPr>
        <w:widowControl/>
        <w:autoSpaceDE w:val="0"/>
        <w:autoSpaceDN w:val="0"/>
        <w:ind w:firstLine="412" w:firstLineChars="200"/>
        <w:rPr>
          <w:rFonts w:ascii="宋体"/>
          <w:spacing w:val="-2"/>
          <w:kern w:val="0"/>
          <w:szCs w:val="20"/>
        </w:rPr>
      </w:pPr>
      <w:r>
        <w:rPr>
          <w:rFonts w:ascii="宋体"/>
          <w:spacing w:val="-2"/>
          <w:kern w:val="0"/>
          <w:szCs w:val="20"/>
        </w:rPr>
        <w:t>试验时的</w:t>
      </w:r>
      <w:r>
        <w:rPr>
          <w:rFonts w:ascii="宋体"/>
          <w:kern w:val="0"/>
          <w:szCs w:val="21"/>
        </w:rPr>
        <w:t>室温</w:t>
      </w:r>
      <w:r>
        <w:rPr>
          <w:rFonts w:ascii="宋体"/>
          <w:spacing w:val="-2"/>
          <w:kern w:val="0"/>
          <w:szCs w:val="20"/>
        </w:rPr>
        <w:t>不得低</w:t>
      </w:r>
      <w:r>
        <w:rPr>
          <w:kern w:val="0"/>
          <w:szCs w:val="20"/>
        </w:rPr>
        <w:t>于10</w:t>
      </w:r>
      <w:r>
        <w:rPr>
          <w:rFonts w:hint="eastAsia"/>
          <w:kern w:val="0"/>
          <w:szCs w:val="20"/>
        </w:rPr>
        <w:t xml:space="preserve"> ℃</w:t>
      </w:r>
      <w:r>
        <w:rPr>
          <w:kern w:val="0"/>
          <w:szCs w:val="20"/>
        </w:rPr>
        <w:t>，试验用介质的温度应在10</w:t>
      </w:r>
      <w:r>
        <w:rPr>
          <w:rFonts w:hint="eastAsia"/>
          <w:kern w:val="0"/>
          <w:szCs w:val="20"/>
        </w:rPr>
        <w:t>℃</w:t>
      </w:r>
      <w:r>
        <w:rPr>
          <w:kern w:val="0"/>
          <w:szCs w:val="20"/>
        </w:rPr>
        <w:t>～40</w:t>
      </w:r>
      <w:r>
        <w:rPr>
          <w:rFonts w:hint="eastAsia"/>
          <w:kern w:val="0"/>
          <w:szCs w:val="20"/>
        </w:rPr>
        <w:t>℃</w:t>
      </w:r>
      <w:r>
        <w:rPr>
          <w:kern w:val="0"/>
          <w:szCs w:val="20"/>
        </w:rPr>
        <w:t>之间</w:t>
      </w:r>
      <w:r>
        <w:rPr>
          <w:rFonts w:hint="eastAsia"/>
          <w:kern w:val="0"/>
          <w:szCs w:val="20"/>
        </w:rPr>
        <w:t>。</w:t>
      </w:r>
      <w:r>
        <w:rPr>
          <w:kern w:val="0"/>
          <w:szCs w:val="20"/>
        </w:rPr>
        <w:t>套管与周围接地部件要有足够的距离（一般不小于1.5倍试品外绝缘距离）</w:t>
      </w:r>
      <w:r>
        <w:rPr>
          <w:rFonts w:hint="eastAsia"/>
          <w:kern w:val="0"/>
          <w:szCs w:val="20"/>
        </w:rPr>
        <w:t>，</w:t>
      </w:r>
      <w:r>
        <w:rPr>
          <w:kern w:val="0"/>
          <w:szCs w:val="20"/>
        </w:rPr>
        <w:t>以避免经</w:t>
      </w:r>
      <w:r>
        <w:rPr>
          <w:rFonts w:ascii="宋体"/>
          <w:spacing w:val="-2"/>
          <w:kern w:val="0"/>
          <w:szCs w:val="20"/>
        </w:rPr>
        <w:t>环境空气或浸渍介质对接地部件发生直接闪络。</w:t>
      </w:r>
    </w:p>
    <w:p>
      <w:pPr>
        <w:widowControl/>
        <w:autoSpaceDE w:val="0"/>
        <w:autoSpaceDN w:val="0"/>
        <w:ind w:firstLine="412" w:firstLineChars="200"/>
      </w:pPr>
      <w:r>
        <w:rPr>
          <w:rFonts w:hint="eastAsia" w:ascii="宋体"/>
          <w:spacing w:val="-2"/>
          <w:kern w:val="0"/>
          <w:szCs w:val="20"/>
        </w:rPr>
        <w:t>如果试验时的大气条件与</w:t>
      </w:r>
      <w:r>
        <w:rPr>
          <w:spacing w:val="-2"/>
          <w:kern w:val="0"/>
          <w:szCs w:val="20"/>
        </w:rPr>
        <w:t>GB/T 16927.1</w:t>
      </w:r>
      <w:r>
        <w:rPr>
          <w:rFonts w:ascii="宋体"/>
          <w:kern w:val="0"/>
          <w:szCs w:val="20"/>
        </w:rPr>
        <w:t>—</w:t>
      </w:r>
      <w:r>
        <w:rPr>
          <w:spacing w:val="-2"/>
          <w:kern w:val="0"/>
          <w:szCs w:val="20"/>
        </w:rPr>
        <w:t>2011</w:t>
      </w:r>
      <w:r>
        <w:rPr>
          <w:rFonts w:hint="eastAsia" w:ascii="宋体"/>
          <w:spacing w:val="-2"/>
          <w:kern w:val="0"/>
          <w:szCs w:val="20"/>
        </w:rPr>
        <w:t>的规定值不同，应对试验电压值进行大气条件校正。</w:t>
      </w:r>
    </w:p>
    <w:p>
      <w:pPr>
        <w:pStyle w:val="260"/>
        <w:ind w:left="0" w:firstLine="0"/>
        <w:rPr>
          <w:szCs w:val="20"/>
        </w:rPr>
      </w:pPr>
      <w:bookmarkStart w:id="121" w:name="_Toc180511538"/>
      <w:r>
        <w:rPr>
          <w:rFonts w:hint="eastAsia"/>
          <w:szCs w:val="20"/>
        </w:rPr>
        <w:t>外观和尺寸检查</w:t>
      </w:r>
      <w:bookmarkEnd w:id="121"/>
    </w:p>
    <w:p>
      <w:pPr>
        <w:widowControl/>
        <w:autoSpaceDE w:val="0"/>
        <w:autoSpaceDN w:val="0"/>
        <w:ind w:firstLine="420" w:firstLineChars="200"/>
        <w:rPr>
          <w:kern w:val="0"/>
          <w:szCs w:val="20"/>
        </w:rPr>
      </w:pPr>
      <w:r>
        <w:rPr>
          <w:rFonts w:ascii="宋体"/>
          <w:kern w:val="0"/>
          <w:szCs w:val="20"/>
        </w:rPr>
        <w:t>本试验应在完整的套管上进行</w:t>
      </w:r>
      <w:r>
        <w:rPr>
          <w:rFonts w:hint="eastAsia" w:ascii="宋体"/>
          <w:kern w:val="0"/>
          <w:szCs w:val="20"/>
        </w:rPr>
        <w:t>，</w:t>
      </w:r>
      <w:r>
        <w:rPr>
          <w:rFonts w:ascii="宋体"/>
          <w:kern w:val="0"/>
          <w:szCs w:val="20"/>
        </w:rPr>
        <w:t>套管的外观及各部位尺寸应符合相关图纸规定</w:t>
      </w:r>
      <w:r>
        <w:rPr>
          <w:rFonts w:hint="eastAsia" w:ascii="宋体"/>
          <w:kern w:val="0"/>
          <w:szCs w:val="20"/>
        </w:rPr>
        <w:t>，</w:t>
      </w:r>
      <w:r>
        <w:rPr>
          <w:rFonts w:ascii="宋体"/>
          <w:kern w:val="0"/>
          <w:szCs w:val="20"/>
        </w:rPr>
        <w:t>不允许有影响套管正常运行的表面缺陷</w:t>
      </w:r>
      <w:r>
        <w:rPr>
          <w:rFonts w:hint="eastAsia" w:ascii="宋体"/>
          <w:kern w:val="0"/>
          <w:szCs w:val="20"/>
        </w:rPr>
        <w:t>，</w:t>
      </w:r>
      <w:r>
        <w:rPr>
          <w:rFonts w:ascii="宋体"/>
          <w:kern w:val="0"/>
          <w:szCs w:val="20"/>
        </w:rPr>
        <w:t>按抽样方法校对</w:t>
      </w:r>
      <w:r>
        <w:rPr>
          <w:rFonts w:hint="eastAsia" w:ascii="宋体"/>
          <w:kern w:val="0"/>
          <w:szCs w:val="20"/>
        </w:rPr>
        <w:t>。</w:t>
      </w:r>
      <w:r>
        <w:rPr>
          <w:rFonts w:ascii="宋体"/>
          <w:kern w:val="0"/>
          <w:szCs w:val="20"/>
        </w:rPr>
        <w:t>套管的</w:t>
      </w:r>
      <w:r>
        <w:rPr>
          <w:rFonts w:hint="eastAsia" w:ascii="宋体"/>
          <w:kern w:val="0"/>
          <w:szCs w:val="20"/>
        </w:rPr>
        <w:t>空心瓷绝缘子</w:t>
      </w:r>
      <w:r>
        <w:rPr>
          <w:kern w:val="0"/>
          <w:szCs w:val="20"/>
        </w:rPr>
        <w:t>应符</w:t>
      </w:r>
      <w:r>
        <w:rPr>
          <w:rFonts w:hint="eastAsia"/>
          <w:kern w:val="0"/>
          <w:szCs w:val="20"/>
        </w:rPr>
        <w:t>合GB/T 23752—2009</w:t>
      </w:r>
      <w:r>
        <w:rPr>
          <w:kern w:val="0"/>
          <w:szCs w:val="20"/>
        </w:rPr>
        <w:t>的规定</w:t>
      </w:r>
      <w:r>
        <w:rPr>
          <w:rFonts w:hint="eastAsia"/>
          <w:kern w:val="0"/>
          <w:szCs w:val="20"/>
        </w:rPr>
        <w:t>；</w:t>
      </w:r>
      <w:r>
        <w:rPr>
          <w:kern w:val="0"/>
          <w:szCs w:val="20"/>
        </w:rPr>
        <w:t>套管的</w:t>
      </w:r>
      <w:r>
        <w:rPr>
          <w:rFonts w:hint="eastAsia"/>
          <w:kern w:val="0"/>
          <w:szCs w:val="20"/>
        </w:rPr>
        <w:t>空心复合绝缘子</w:t>
      </w:r>
      <w:r>
        <w:rPr>
          <w:kern w:val="0"/>
          <w:szCs w:val="20"/>
        </w:rPr>
        <w:t>应符合GB/T</w:t>
      </w:r>
      <w:r>
        <w:rPr>
          <w:rFonts w:hint="eastAsia"/>
          <w:kern w:val="0"/>
          <w:szCs w:val="20"/>
        </w:rPr>
        <w:t xml:space="preserve"> 21429—2008</w:t>
      </w:r>
      <w:r>
        <w:rPr>
          <w:kern w:val="0"/>
          <w:szCs w:val="20"/>
        </w:rPr>
        <w:t>的规定。</w:t>
      </w:r>
    </w:p>
    <w:p>
      <w:pPr>
        <w:pStyle w:val="260"/>
        <w:ind w:left="0" w:firstLine="0"/>
        <w:rPr>
          <w:szCs w:val="20"/>
        </w:rPr>
      </w:pPr>
      <w:bookmarkStart w:id="122" w:name="_Toc475093007"/>
      <w:bookmarkStart w:id="123" w:name="_Toc180511539"/>
      <w:bookmarkStart w:id="124" w:name="_Toc129097045"/>
      <w:r>
        <w:rPr>
          <w:rFonts w:hint="eastAsia"/>
          <w:szCs w:val="20"/>
        </w:rPr>
        <w:t>额定频率交流</w:t>
      </w:r>
      <w:r>
        <w:rPr>
          <w:szCs w:val="20"/>
        </w:rPr>
        <w:t>干</w:t>
      </w:r>
      <w:r>
        <w:rPr>
          <w:rFonts w:hint="eastAsia"/>
          <w:szCs w:val="20"/>
        </w:rPr>
        <w:t>或湿</w:t>
      </w:r>
      <w:r>
        <w:rPr>
          <w:szCs w:val="20"/>
        </w:rPr>
        <w:t>耐受电压试验</w:t>
      </w:r>
      <w:bookmarkEnd w:id="122"/>
      <w:bookmarkEnd w:id="123"/>
      <w:bookmarkEnd w:id="124"/>
    </w:p>
    <w:p>
      <w:pPr>
        <w:widowControl/>
        <w:autoSpaceDE w:val="0"/>
        <w:autoSpaceDN w:val="0"/>
        <w:ind w:firstLine="420" w:firstLineChars="200"/>
        <w:rPr>
          <w:kern w:val="0"/>
          <w:szCs w:val="20"/>
        </w:rPr>
      </w:pPr>
      <w:r>
        <w:rPr>
          <w:rFonts w:hint="eastAsia" w:ascii="宋体"/>
          <w:kern w:val="0"/>
          <w:szCs w:val="20"/>
        </w:rPr>
        <w:t>试验电压为套管额定频率下的交流电压，试验电压值见</w:t>
      </w:r>
      <w:r>
        <w:rPr>
          <w:rFonts w:hint="eastAsia"/>
          <w:kern w:val="0"/>
          <w:szCs w:val="20"/>
        </w:rPr>
        <w:t>表2，试验持续时间</w:t>
      </w:r>
      <w:r>
        <w:rPr>
          <w:kern w:val="0"/>
          <w:szCs w:val="20"/>
        </w:rPr>
        <w:t>60s</w:t>
      </w:r>
      <w:r>
        <w:rPr>
          <w:rFonts w:hint="eastAsia"/>
          <w:kern w:val="0"/>
          <w:szCs w:val="20"/>
        </w:rPr>
        <w:t>。接收准则见GB/T 4109—2022。</w:t>
      </w:r>
    </w:p>
    <w:p>
      <w:pPr>
        <w:pStyle w:val="260"/>
        <w:ind w:left="0" w:firstLine="0"/>
        <w:rPr>
          <w:szCs w:val="20"/>
        </w:rPr>
      </w:pPr>
      <w:bookmarkStart w:id="125" w:name="_Toc129097046"/>
      <w:bookmarkStart w:id="126" w:name="_Toc475093008"/>
      <w:bookmarkStart w:id="127" w:name="_Toc180511540"/>
      <w:r>
        <w:rPr>
          <w:rFonts w:hint="eastAsia"/>
          <w:szCs w:val="20"/>
        </w:rPr>
        <w:t>长时额定频率交流耐受电压试验</w:t>
      </w:r>
      <w:bookmarkEnd w:id="125"/>
      <w:bookmarkEnd w:id="126"/>
      <w:bookmarkEnd w:id="127"/>
    </w:p>
    <w:p>
      <w:pPr>
        <w:widowControl/>
        <w:autoSpaceDE w:val="0"/>
        <w:autoSpaceDN w:val="0"/>
        <w:ind w:firstLine="420" w:firstLineChars="200"/>
        <w:rPr>
          <w:rFonts w:ascii="宋体"/>
          <w:kern w:val="0"/>
          <w:szCs w:val="20"/>
        </w:rPr>
      </w:pPr>
      <w:r>
        <w:rPr>
          <w:rFonts w:hint="eastAsia" w:ascii="宋体"/>
          <w:kern w:val="0"/>
          <w:szCs w:val="20"/>
        </w:rPr>
        <w:t>试验电压为套管额定频率下的交流电压，试验按如下程序进行：</w:t>
      </w:r>
    </w:p>
    <w:p>
      <w:pPr>
        <w:autoSpaceDE w:val="0"/>
        <w:autoSpaceDN w:val="0"/>
        <w:adjustRightInd w:val="0"/>
        <w:snapToGrid w:val="0"/>
        <w:ind w:firstLine="420" w:firstLineChars="200"/>
        <w:jc w:val="left"/>
        <w:rPr>
          <w:kern w:val="0"/>
          <w:szCs w:val="20"/>
        </w:rPr>
      </w:pPr>
      <w:r>
        <w:rPr>
          <w:szCs w:val="21"/>
        </w:rPr>
        <w:t>——</w:t>
      </w:r>
      <w:r>
        <w:rPr>
          <w:rFonts w:hint="eastAsia"/>
          <w:kern w:val="0"/>
          <w:szCs w:val="20"/>
        </w:rPr>
        <w:t>升压至</w:t>
      </w:r>
      <w:r>
        <w:rPr>
          <w:i/>
          <w:kern w:val="0"/>
          <w:szCs w:val="20"/>
        </w:rPr>
        <w:t>U</w:t>
      </w:r>
      <w:r>
        <w:rPr>
          <w:rFonts w:hint="eastAsia"/>
          <w:iCs/>
          <w:kern w:val="0"/>
          <w:szCs w:val="21"/>
          <w:vertAlign w:val="subscript"/>
        </w:rPr>
        <w:t>3</w:t>
      </w:r>
      <w:r>
        <w:rPr>
          <w:kern w:val="0"/>
          <w:szCs w:val="20"/>
        </w:rPr>
        <w:t xml:space="preserve"> = 1.1 </w:t>
      </w:r>
      <w:r>
        <w:rPr>
          <w:i/>
          <w:kern w:val="0"/>
          <w:szCs w:val="20"/>
        </w:rPr>
        <w:t>U</w:t>
      </w:r>
      <w:r>
        <w:rPr>
          <w:rFonts w:hint="eastAsia"/>
          <w:i/>
          <w:kern w:val="0"/>
          <w:sz w:val="13"/>
          <w:szCs w:val="13"/>
        </w:rPr>
        <w:t>m</w:t>
      </w:r>
      <w:r>
        <w:rPr>
          <w:kern w:val="0"/>
          <w:szCs w:val="20"/>
        </w:rPr>
        <w:t>/</w:t>
      </w:r>
      <w:r>
        <w:rPr>
          <w:kern w:val="0"/>
          <w:position w:val="-8"/>
          <w:szCs w:val="20"/>
        </w:rPr>
        <w:drawing>
          <wp:inline distT="0" distB="0" distL="0" distR="0">
            <wp:extent cx="187960" cy="187960"/>
            <wp:effectExtent l="0" t="0" r="2540" b="2540"/>
            <wp:docPr id="65996983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69838" name="图片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7960" cy="187960"/>
                    </a:xfrm>
                    <a:prstGeom prst="rect">
                      <a:avLst/>
                    </a:prstGeom>
                    <a:noFill/>
                    <a:ln>
                      <a:noFill/>
                    </a:ln>
                  </pic:spPr>
                </pic:pic>
              </a:graphicData>
            </a:graphic>
          </wp:inline>
        </w:drawing>
      </w:r>
      <w:r>
        <w:rPr>
          <w:rFonts w:hint="eastAsia"/>
          <w:kern w:val="0"/>
          <w:szCs w:val="20"/>
        </w:rPr>
        <w:t>，持续5 min，测量局部放电。</w:t>
      </w:r>
    </w:p>
    <w:p>
      <w:pPr>
        <w:autoSpaceDE w:val="0"/>
        <w:autoSpaceDN w:val="0"/>
        <w:adjustRightInd w:val="0"/>
        <w:snapToGrid w:val="0"/>
        <w:ind w:firstLine="420" w:firstLineChars="200"/>
        <w:jc w:val="left"/>
        <w:rPr>
          <w:kern w:val="0"/>
          <w:szCs w:val="20"/>
        </w:rPr>
      </w:pPr>
      <w:r>
        <w:rPr>
          <w:szCs w:val="21"/>
        </w:rPr>
        <w:t>——</w:t>
      </w:r>
      <w:r>
        <w:rPr>
          <w:rFonts w:hint="eastAsia"/>
          <w:kern w:val="0"/>
          <w:szCs w:val="20"/>
        </w:rPr>
        <w:t>升压至</w:t>
      </w:r>
      <w:r>
        <w:rPr>
          <w:i/>
          <w:kern w:val="0"/>
          <w:szCs w:val="20"/>
        </w:rPr>
        <w:t>U</w:t>
      </w:r>
      <w:r>
        <w:rPr>
          <w:iCs/>
          <w:kern w:val="0"/>
          <w:szCs w:val="21"/>
          <w:vertAlign w:val="subscript"/>
        </w:rPr>
        <w:t>2</w:t>
      </w:r>
      <w:r>
        <w:rPr>
          <w:kern w:val="0"/>
          <w:szCs w:val="20"/>
        </w:rPr>
        <w:t xml:space="preserve"> = 1.5 </w:t>
      </w:r>
      <w:r>
        <w:rPr>
          <w:i/>
          <w:kern w:val="0"/>
          <w:szCs w:val="20"/>
        </w:rPr>
        <w:t>U</w:t>
      </w:r>
      <w:r>
        <w:rPr>
          <w:rFonts w:hint="eastAsia"/>
          <w:i/>
          <w:kern w:val="0"/>
          <w:sz w:val="13"/>
          <w:szCs w:val="13"/>
        </w:rPr>
        <w:t>m</w:t>
      </w:r>
      <w:r>
        <w:rPr>
          <w:kern w:val="0"/>
          <w:szCs w:val="20"/>
        </w:rPr>
        <w:t>/</w:t>
      </w:r>
      <w:r>
        <w:rPr>
          <w:kern w:val="0"/>
          <w:position w:val="-8"/>
          <w:szCs w:val="20"/>
        </w:rPr>
        <w:drawing>
          <wp:inline distT="0" distB="0" distL="0" distR="0">
            <wp:extent cx="187960" cy="187960"/>
            <wp:effectExtent l="0" t="0" r="2540" b="2540"/>
            <wp:docPr id="38213568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35684"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7960" cy="187960"/>
                    </a:xfrm>
                    <a:prstGeom prst="rect">
                      <a:avLst/>
                    </a:prstGeom>
                    <a:noFill/>
                    <a:ln>
                      <a:noFill/>
                    </a:ln>
                  </pic:spPr>
                </pic:pic>
              </a:graphicData>
            </a:graphic>
          </wp:inline>
        </w:drawing>
      </w:r>
      <w:r>
        <w:rPr>
          <w:rFonts w:hint="eastAsia"/>
          <w:kern w:val="0"/>
          <w:szCs w:val="20"/>
        </w:rPr>
        <w:t>，持续5 min，测量局部放电。</w:t>
      </w:r>
    </w:p>
    <w:p>
      <w:pPr>
        <w:autoSpaceDE w:val="0"/>
        <w:autoSpaceDN w:val="0"/>
        <w:adjustRightInd w:val="0"/>
        <w:snapToGrid w:val="0"/>
        <w:ind w:firstLine="420" w:firstLineChars="200"/>
        <w:jc w:val="left"/>
        <w:rPr>
          <w:kern w:val="0"/>
          <w:szCs w:val="20"/>
        </w:rPr>
      </w:pPr>
      <w:r>
        <w:rPr>
          <w:szCs w:val="21"/>
        </w:rPr>
        <w:t>——</w:t>
      </w:r>
      <w:r>
        <w:rPr>
          <w:rFonts w:hint="eastAsia"/>
          <w:kern w:val="0"/>
          <w:szCs w:val="20"/>
        </w:rPr>
        <w:t>升压至</w:t>
      </w:r>
      <w:r>
        <w:rPr>
          <w:i/>
          <w:kern w:val="0"/>
          <w:szCs w:val="20"/>
        </w:rPr>
        <w:t>U</w:t>
      </w:r>
      <w:r>
        <w:rPr>
          <w:rFonts w:hint="eastAsia"/>
          <w:iCs/>
          <w:kern w:val="0"/>
          <w:szCs w:val="21"/>
          <w:vertAlign w:val="subscript"/>
        </w:rPr>
        <w:t>1</w:t>
      </w:r>
      <w:r>
        <w:rPr>
          <w:kern w:val="0"/>
          <w:szCs w:val="21"/>
          <w:vertAlign w:val="subscript"/>
        </w:rPr>
        <w:t xml:space="preserve"> </w:t>
      </w:r>
      <w:r>
        <w:rPr>
          <w:kern w:val="0"/>
          <w:szCs w:val="20"/>
        </w:rPr>
        <w:t xml:space="preserve">= </w:t>
      </w:r>
      <w:r>
        <w:rPr>
          <w:rFonts w:hint="eastAsia"/>
          <w:i/>
          <w:kern w:val="0"/>
          <w:szCs w:val="20"/>
        </w:rPr>
        <w:t>U</w:t>
      </w:r>
      <w:r>
        <w:rPr>
          <w:rFonts w:hint="eastAsia"/>
          <w:i/>
          <w:kern w:val="0"/>
          <w:szCs w:val="20"/>
          <w:vertAlign w:val="subscript"/>
        </w:rPr>
        <w:t>m</w:t>
      </w:r>
      <w:r>
        <w:rPr>
          <w:rFonts w:hint="eastAsia"/>
          <w:kern w:val="0"/>
          <w:szCs w:val="20"/>
        </w:rPr>
        <w:t>，持续1 min，测量局部放电。</w:t>
      </w:r>
    </w:p>
    <w:p>
      <w:pPr>
        <w:autoSpaceDE w:val="0"/>
        <w:autoSpaceDN w:val="0"/>
        <w:adjustRightInd w:val="0"/>
        <w:snapToGrid w:val="0"/>
        <w:ind w:firstLine="420" w:firstLineChars="200"/>
        <w:jc w:val="left"/>
        <w:rPr>
          <w:kern w:val="0"/>
          <w:szCs w:val="20"/>
        </w:rPr>
      </w:pPr>
      <w:r>
        <w:rPr>
          <w:szCs w:val="21"/>
        </w:rPr>
        <w:t>——</w:t>
      </w:r>
      <w:r>
        <w:rPr>
          <w:rFonts w:hint="eastAsia"/>
          <w:kern w:val="0"/>
          <w:szCs w:val="20"/>
        </w:rPr>
        <w:t>测试完成，即刻平稳降压至</w:t>
      </w:r>
      <w:r>
        <w:rPr>
          <w:i/>
          <w:kern w:val="0"/>
          <w:szCs w:val="20"/>
        </w:rPr>
        <w:t>U</w:t>
      </w:r>
      <w:r>
        <w:rPr>
          <w:i/>
          <w:kern w:val="0"/>
          <w:sz w:val="13"/>
          <w:szCs w:val="13"/>
        </w:rPr>
        <w:t>2</w:t>
      </w:r>
      <w:r>
        <w:rPr>
          <w:rFonts w:hint="eastAsia"/>
          <w:kern w:val="0"/>
          <w:szCs w:val="20"/>
        </w:rPr>
        <w:t>并维持至少1 h，在电压保持过程中应全程监测局部放电，并每隔</w:t>
      </w:r>
      <w:r>
        <w:rPr>
          <w:kern w:val="0"/>
          <w:szCs w:val="20"/>
        </w:rPr>
        <w:t>5min</w:t>
      </w:r>
      <w:r>
        <w:rPr>
          <w:rFonts w:hint="eastAsia"/>
          <w:kern w:val="0"/>
          <w:szCs w:val="20"/>
        </w:rPr>
        <w:t>记录一次。</w:t>
      </w:r>
    </w:p>
    <w:p>
      <w:pPr>
        <w:autoSpaceDE w:val="0"/>
        <w:autoSpaceDN w:val="0"/>
        <w:adjustRightInd w:val="0"/>
        <w:snapToGrid w:val="0"/>
        <w:ind w:firstLine="420" w:firstLineChars="200"/>
        <w:jc w:val="left"/>
        <w:rPr>
          <w:kern w:val="0"/>
          <w:szCs w:val="20"/>
        </w:rPr>
      </w:pPr>
      <w:r>
        <w:rPr>
          <w:szCs w:val="21"/>
        </w:rPr>
        <w:t>——</w:t>
      </w:r>
      <w:r>
        <w:rPr>
          <w:rFonts w:hint="eastAsia"/>
          <w:kern w:val="0"/>
          <w:szCs w:val="20"/>
        </w:rPr>
        <w:t>降压至</w:t>
      </w:r>
      <w:r>
        <w:rPr>
          <w:i/>
          <w:kern w:val="0"/>
          <w:szCs w:val="20"/>
        </w:rPr>
        <w:t>U</w:t>
      </w:r>
      <w:r>
        <w:rPr>
          <w:rFonts w:hint="eastAsia"/>
          <w:iCs/>
          <w:kern w:val="0"/>
          <w:szCs w:val="21"/>
          <w:vertAlign w:val="subscript"/>
        </w:rPr>
        <w:t>3</w:t>
      </w:r>
      <w:r>
        <w:rPr>
          <w:rFonts w:hint="eastAsia"/>
          <w:iCs/>
          <w:kern w:val="0"/>
          <w:szCs w:val="21"/>
        </w:rPr>
        <w:t>，</w:t>
      </w:r>
      <w:r>
        <w:rPr>
          <w:rFonts w:hint="eastAsia"/>
          <w:kern w:val="0"/>
          <w:szCs w:val="20"/>
        </w:rPr>
        <w:t>持续5 min，测量局部放电。</w:t>
      </w:r>
    </w:p>
    <w:p>
      <w:pPr>
        <w:autoSpaceDE w:val="0"/>
        <w:autoSpaceDN w:val="0"/>
        <w:adjustRightInd w:val="0"/>
        <w:snapToGrid w:val="0"/>
        <w:ind w:firstLine="420" w:firstLineChars="200"/>
        <w:jc w:val="left"/>
        <w:rPr>
          <w:kern w:val="0"/>
          <w:szCs w:val="20"/>
        </w:rPr>
      </w:pPr>
      <w:r>
        <w:rPr>
          <w:szCs w:val="21"/>
        </w:rPr>
        <w:t>——</w:t>
      </w:r>
      <w:r>
        <w:rPr>
          <w:rFonts w:hint="eastAsia"/>
          <w:kern w:val="0"/>
          <w:szCs w:val="20"/>
        </w:rPr>
        <w:t>电压降至零。</w:t>
      </w:r>
    </w:p>
    <w:p>
      <w:pPr>
        <w:widowControl/>
        <w:autoSpaceDE w:val="0"/>
        <w:autoSpaceDN w:val="0"/>
        <w:ind w:firstLine="420" w:firstLineChars="200"/>
      </w:pPr>
      <w:r>
        <w:rPr>
          <w:rFonts w:hint="eastAsia"/>
          <w:kern w:val="0"/>
          <w:szCs w:val="20"/>
        </w:rPr>
        <w:t>接收准则见GB/T 4109—2022。</w:t>
      </w:r>
    </w:p>
    <w:p>
      <w:pPr>
        <w:pStyle w:val="260"/>
        <w:ind w:left="0" w:firstLine="0"/>
        <w:rPr>
          <w:szCs w:val="20"/>
        </w:rPr>
      </w:pPr>
      <w:bookmarkStart w:id="128" w:name="_Toc129097044"/>
      <w:bookmarkStart w:id="129" w:name="_Toc475093006"/>
      <w:bookmarkStart w:id="130" w:name="_Toc180511541"/>
      <w:r>
        <w:rPr>
          <w:szCs w:val="20"/>
        </w:rPr>
        <w:t>雷电冲击干耐受电压试验</w:t>
      </w:r>
      <w:bookmarkEnd w:id="128"/>
      <w:bookmarkEnd w:id="129"/>
      <w:bookmarkEnd w:id="130"/>
    </w:p>
    <w:p>
      <w:pPr>
        <w:widowControl/>
        <w:autoSpaceDE w:val="0"/>
        <w:autoSpaceDN w:val="0"/>
        <w:ind w:firstLine="420" w:firstLineChars="200"/>
        <w:rPr>
          <w:kern w:val="0"/>
          <w:szCs w:val="20"/>
        </w:rPr>
      </w:pPr>
      <w:r>
        <w:rPr>
          <w:rFonts w:hint="eastAsia" w:ascii="宋体"/>
          <w:kern w:val="0"/>
          <w:szCs w:val="20"/>
        </w:rPr>
        <w:t>试验电压值</w:t>
      </w:r>
      <w:r>
        <w:rPr>
          <w:rFonts w:hint="eastAsia"/>
          <w:kern w:val="0"/>
          <w:szCs w:val="20"/>
        </w:rPr>
        <w:t>见表2，试验方法参考</w:t>
      </w:r>
      <w:r>
        <w:rPr>
          <w:kern w:val="0"/>
          <w:szCs w:val="20"/>
        </w:rPr>
        <w:t>GB/T</w:t>
      </w:r>
      <w:r>
        <w:rPr>
          <w:rFonts w:hint="eastAsia"/>
          <w:kern w:val="0"/>
          <w:szCs w:val="20"/>
        </w:rPr>
        <w:t xml:space="preserve"> 16927.1—2011。</w:t>
      </w:r>
    </w:p>
    <w:p>
      <w:pPr>
        <w:numPr>
          <w:ilvl w:val="0"/>
          <w:numId w:val="31"/>
        </w:numPr>
        <w:ind w:left="705" w:leftChars="203" w:hanging="279" w:hangingChars="133"/>
      </w:pPr>
      <w:r>
        <w:rPr>
          <w:rFonts w:hint="eastAsia"/>
        </w:rPr>
        <w:t>型式试验时，套管应逐次经受：</w:t>
      </w:r>
    </w:p>
    <w:p>
      <w:pPr>
        <w:widowControl/>
        <w:autoSpaceDE w:val="0"/>
        <w:autoSpaceDN w:val="0"/>
        <w:ind w:firstLine="420" w:firstLineChars="200"/>
        <w:rPr>
          <w:kern w:val="0"/>
          <w:szCs w:val="20"/>
        </w:rPr>
      </w:pPr>
      <w:r>
        <w:rPr>
          <w:kern w:val="0"/>
          <w:szCs w:val="20"/>
        </w:rPr>
        <w:t>——</w:t>
      </w:r>
      <w:r>
        <w:rPr>
          <w:rFonts w:hint="eastAsia"/>
          <w:kern w:val="0"/>
          <w:szCs w:val="20"/>
        </w:rPr>
        <w:t>15次正极性全波雷电冲击；</w:t>
      </w:r>
    </w:p>
    <w:p>
      <w:pPr>
        <w:widowControl/>
        <w:autoSpaceDE w:val="0"/>
        <w:autoSpaceDN w:val="0"/>
        <w:ind w:firstLine="420" w:firstLineChars="200"/>
        <w:rPr>
          <w:rFonts w:ascii="宋体"/>
          <w:kern w:val="0"/>
          <w:szCs w:val="20"/>
        </w:rPr>
      </w:pPr>
      <w:r>
        <w:rPr>
          <w:kern w:val="0"/>
          <w:szCs w:val="20"/>
        </w:rPr>
        <w:t>——</w:t>
      </w:r>
      <w:r>
        <w:rPr>
          <w:rFonts w:hint="eastAsia"/>
          <w:kern w:val="0"/>
          <w:szCs w:val="20"/>
        </w:rPr>
        <w:t>1次负极性全波雷电冲击，施加电压为额定耐受电压值的</w:t>
      </w:r>
      <w:r>
        <w:rPr>
          <w:kern w:val="0"/>
          <w:szCs w:val="20"/>
        </w:rPr>
        <w:t>110%</w:t>
      </w:r>
      <w:r>
        <w:rPr>
          <w:rFonts w:hint="eastAsia"/>
          <w:kern w:val="0"/>
          <w:szCs w:val="20"/>
        </w:rPr>
        <w:t>；</w:t>
      </w:r>
    </w:p>
    <w:p>
      <w:pPr>
        <w:widowControl/>
        <w:autoSpaceDE w:val="0"/>
        <w:autoSpaceDN w:val="0"/>
        <w:ind w:firstLine="420" w:firstLineChars="200"/>
        <w:rPr>
          <w:kern w:val="0"/>
          <w:szCs w:val="20"/>
        </w:rPr>
      </w:pPr>
      <w:r>
        <w:rPr>
          <w:kern w:val="0"/>
          <w:szCs w:val="21"/>
        </w:rPr>
        <w:t>——</w:t>
      </w:r>
      <w:r>
        <w:rPr>
          <w:rFonts w:hint="eastAsia"/>
          <w:kern w:val="0"/>
          <w:szCs w:val="20"/>
        </w:rPr>
        <w:t>5次负极性截波雷电冲击，施加电压为额定耐受电压值的</w:t>
      </w:r>
      <w:r>
        <w:rPr>
          <w:kern w:val="0"/>
          <w:szCs w:val="20"/>
        </w:rPr>
        <w:t>121%</w:t>
      </w:r>
      <w:r>
        <w:rPr>
          <w:rFonts w:hint="eastAsia"/>
          <w:kern w:val="0"/>
          <w:szCs w:val="20"/>
        </w:rPr>
        <w:t>；</w:t>
      </w:r>
    </w:p>
    <w:p>
      <w:pPr>
        <w:widowControl/>
        <w:autoSpaceDE w:val="0"/>
        <w:autoSpaceDN w:val="0"/>
        <w:ind w:firstLine="420" w:firstLineChars="200"/>
        <w:rPr>
          <w:kern w:val="0"/>
          <w:szCs w:val="20"/>
        </w:rPr>
      </w:pPr>
      <w:r>
        <w:rPr>
          <w:kern w:val="0"/>
          <w:szCs w:val="20"/>
        </w:rPr>
        <w:t>——</w:t>
      </w:r>
      <w:r>
        <w:rPr>
          <w:rFonts w:hint="eastAsia"/>
          <w:kern w:val="0"/>
          <w:szCs w:val="20"/>
        </w:rPr>
        <w:t>14次负极性全波雷电冲击，施加电压为额定耐受电压值的</w:t>
      </w:r>
      <w:r>
        <w:rPr>
          <w:kern w:val="0"/>
          <w:szCs w:val="20"/>
        </w:rPr>
        <w:t>110%</w:t>
      </w:r>
      <w:r>
        <w:rPr>
          <w:rFonts w:hint="eastAsia"/>
          <w:kern w:val="0"/>
          <w:szCs w:val="20"/>
        </w:rPr>
        <w:t>。</w:t>
      </w:r>
    </w:p>
    <w:p>
      <w:pPr>
        <w:numPr>
          <w:ilvl w:val="0"/>
          <w:numId w:val="31"/>
        </w:numPr>
        <w:ind w:left="705" w:leftChars="203" w:hanging="279" w:hangingChars="133"/>
      </w:pPr>
      <w:r>
        <w:rPr>
          <w:rFonts w:hint="eastAsia"/>
        </w:rPr>
        <w:t>逐个试验时，套管应逐次经受：</w:t>
      </w:r>
    </w:p>
    <w:p>
      <w:pPr>
        <w:widowControl/>
        <w:autoSpaceDE w:val="0"/>
        <w:autoSpaceDN w:val="0"/>
        <w:ind w:firstLine="420" w:firstLineChars="200"/>
        <w:rPr>
          <w:kern w:val="0"/>
          <w:szCs w:val="20"/>
        </w:rPr>
      </w:pPr>
      <w:r>
        <w:rPr>
          <w:kern w:val="0"/>
          <w:szCs w:val="20"/>
        </w:rPr>
        <w:t>——5次负极性全波雷电冲击，</w:t>
      </w:r>
      <w:r>
        <w:rPr>
          <w:rFonts w:hint="eastAsia"/>
          <w:kern w:val="0"/>
          <w:szCs w:val="20"/>
        </w:rPr>
        <w:t>施加电压为额定耐受电压值的</w:t>
      </w:r>
      <w:r>
        <w:rPr>
          <w:kern w:val="0"/>
          <w:szCs w:val="20"/>
        </w:rPr>
        <w:t>105%</w:t>
      </w:r>
      <w:r>
        <w:rPr>
          <w:rFonts w:hint="eastAsia"/>
          <w:kern w:val="0"/>
          <w:szCs w:val="20"/>
        </w:rPr>
        <w:t>；</w:t>
      </w:r>
    </w:p>
    <w:p>
      <w:pPr>
        <w:widowControl/>
        <w:autoSpaceDE w:val="0"/>
        <w:autoSpaceDN w:val="0"/>
        <w:ind w:firstLine="420" w:firstLineChars="200"/>
        <w:rPr>
          <w:kern w:val="0"/>
          <w:szCs w:val="20"/>
        </w:rPr>
      </w:pPr>
      <w:r>
        <w:rPr>
          <w:kern w:val="0"/>
          <w:szCs w:val="20"/>
        </w:rPr>
        <w:t>或</w:t>
      </w:r>
      <w:r>
        <w:rPr>
          <w:rFonts w:hint="eastAsia"/>
          <w:kern w:val="0"/>
          <w:szCs w:val="20"/>
        </w:rPr>
        <w:t>由</w:t>
      </w:r>
      <w:r>
        <w:rPr>
          <w:kern w:val="0"/>
          <w:szCs w:val="20"/>
        </w:rPr>
        <w:t>合同协议</w:t>
      </w:r>
      <w:r>
        <w:rPr>
          <w:rFonts w:hint="eastAsia"/>
          <w:kern w:val="0"/>
          <w:szCs w:val="20"/>
        </w:rPr>
        <w:t>替换为：</w:t>
      </w:r>
    </w:p>
    <w:p>
      <w:pPr>
        <w:widowControl/>
        <w:autoSpaceDE w:val="0"/>
        <w:autoSpaceDN w:val="0"/>
        <w:ind w:firstLine="420" w:firstLineChars="200"/>
        <w:rPr>
          <w:kern w:val="0"/>
          <w:szCs w:val="20"/>
        </w:rPr>
      </w:pPr>
      <w:r>
        <w:rPr>
          <w:kern w:val="0"/>
          <w:szCs w:val="20"/>
        </w:rPr>
        <w:t>——1次负极性全波雷电冲击</w:t>
      </w:r>
      <w:r>
        <w:rPr>
          <w:rFonts w:hint="eastAsia"/>
          <w:kern w:val="0"/>
          <w:szCs w:val="20"/>
        </w:rPr>
        <w:t>，施加电压为额定耐受电压值的</w:t>
      </w:r>
      <w:r>
        <w:rPr>
          <w:kern w:val="0"/>
          <w:szCs w:val="20"/>
        </w:rPr>
        <w:t>105%；</w:t>
      </w:r>
    </w:p>
    <w:p>
      <w:pPr>
        <w:widowControl/>
        <w:autoSpaceDE w:val="0"/>
        <w:autoSpaceDN w:val="0"/>
        <w:ind w:firstLine="420" w:firstLineChars="200"/>
        <w:rPr>
          <w:kern w:val="0"/>
          <w:szCs w:val="20"/>
        </w:rPr>
      </w:pPr>
      <w:r>
        <w:rPr>
          <w:kern w:val="0"/>
          <w:szCs w:val="20"/>
        </w:rPr>
        <w:t>——2次负极性截波雷电冲击</w:t>
      </w:r>
      <w:r>
        <w:rPr>
          <w:rFonts w:hint="eastAsia"/>
          <w:kern w:val="0"/>
          <w:szCs w:val="20"/>
        </w:rPr>
        <w:t>，施加电压为额定耐受电压值的</w:t>
      </w:r>
      <w:r>
        <w:rPr>
          <w:kern w:val="0"/>
          <w:szCs w:val="20"/>
        </w:rPr>
        <w:t>1</w:t>
      </w:r>
      <w:r>
        <w:rPr>
          <w:rFonts w:hint="eastAsia"/>
          <w:kern w:val="0"/>
          <w:szCs w:val="20"/>
        </w:rPr>
        <w:t>1</w:t>
      </w:r>
      <w:r>
        <w:rPr>
          <w:kern w:val="0"/>
          <w:szCs w:val="20"/>
        </w:rPr>
        <w:t>5%；</w:t>
      </w:r>
    </w:p>
    <w:p>
      <w:pPr>
        <w:widowControl/>
        <w:autoSpaceDE w:val="0"/>
        <w:autoSpaceDN w:val="0"/>
        <w:ind w:firstLine="420" w:firstLineChars="200"/>
        <w:rPr>
          <w:kern w:val="0"/>
          <w:szCs w:val="20"/>
        </w:rPr>
      </w:pPr>
      <w:r>
        <w:rPr>
          <w:kern w:val="0"/>
          <w:szCs w:val="20"/>
        </w:rPr>
        <w:t>——2次负极性全波雷电冲击</w:t>
      </w:r>
      <w:r>
        <w:rPr>
          <w:rFonts w:hint="eastAsia"/>
          <w:kern w:val="0"/>
          <w:szCs w:val="20"/>
        </w:rPr>
        <w:t>，施加电压为额定耐受电压值的</w:t>
      </w:r>
      <w:r>
        <w:rPr>
          <w:kern w:val="0"/>
          <w:szCs w:val="20"/>
        </w:rPr>
        <w:t>105%</w:t>
      </w:r>
      <w:r>
        <w:rPr>
          <w:rFonts w:hint="eastAsia"/>
          <w:kern w:val="0"/>
          <w:szCs w:val="20"/>
        </w:rPr>
        <w:t>。</w:t>
      </w:r>
    </w:p>
    <w:p>
      <w:pPr>
        <w:widowControl/>
        <w:autoSpaceDE w:val="0"/>
        <w:autoSpaceDN w:val="0"/>
        <w:ind w:firstLine="420" w:firstLineChars="200"/>
        <w:rPr>
          <w:kern w:val="0"/>
          <w:szCs w:val="20"/>
        </w:rPr>
      </w:pPr>
      <w:r>
        <w:rPr>
          <w:rFonts w:hint="eastAsia"/>
          <w:kern w:val="0"/>
          <w:szCs w:val="20"/>
        </w:rPr>
        <w:t>改变极性后，允许在进行冲击试验前，先施加一些较小幅值的冲击电压。连续两次施加电压的时间间隔应足够长，以避免前次施加电压的影响。</w:t>
      </w:r>
    </w:p>
    <w:p>
      <w:pPr>
        <w:widowControl/>
        <w:autoSpaceDE w:val="0"/>
        <w:autoSpaceDN w:val="0"/>
        <w:ind w:firstLine="420" w:firstLineChars="200"/>
      </w:pPr>
      <w:r>
        <w:rPr>
          <w:rFonts w:hint="eastAsia"/>
          <w:kern w:val="0"/>
          <w:szCs w:val="20"/>
        </w:rPr>
        <w:t>接收准则见GB/T 4109—2022。</w:t>
      </w:r>
    </w:p>
    <w:p>
      <w:pPr>
        <w:pStyle w:val="260"/>
        <w:ind w:left="0" w:firstLine="0"/>
        <w:rPr>
          <w:szCs w:val="20"/>
        </w:rPr>
      </w:pPr>
      <w:bookmarkStart w:id="131" w:name="_Toc180511542"/>
      <w:r>
        <w:rPr>
          <w:rFonts w:hint="eastAsia"/>
          <w:szCs w:val="20"/>
        </w:rPr>
        <w:t>操作冲击干或湿耐受电压试验</w:t>
      </w:r>
      <w:bookmarkEnd w:id="131"/>
    </w:p>
    <w:p>
      <w:pPr>
        <w:widowControl/>
        <w:autoSpaceDE w:val="0"/>
        <w:autoSpaceDN w:val="0"/>
        <w:ind w:firstLine="420" w:firstLineChars="200"/>
      </w:pPr>
      <w:r>
        <w:rPr>
          <w:rFonts w:hint="eastAsia"/>
        </w:rPr>
        <w:t>试验按</w:t>
      </w:r>
      <w:r>
        <w:t>GB/T16927.1</w:t>
      </w:r>
      <w:r>
        <w:rPr>
          <w:rFonts w:hint="eastAsia"/>
        </w:rPr>
        <w:t>进行。尽可能模拟运行状态，套管应安装在一个接地平板上，该接地平板外沿距套管轴线距离应至少为</w:t>
      </w:r>
      <w:r>
        <w:t>0.4L</w:t>
      </w:r>
      <w:r>
        <w:rPr>
          <w:rFonts w:hint="eastAsia"/>
        </w:rPr>
        <w:t>，</w:t>
      </w:r>
      <w:r>
        <w:t>L</w:t>
      </w:r>
      <w:r>
        <w:rPr>
          <w:rFonts w:hint="eastAsia"/>
        </w:rPr>
        <w:t>为套管电弧距离。高压接线应从套管轴线方向引出，至少应超出套管</w:t>
      </w:r>
      <w:r>
        <w:rPr>
          <w:rFonts w:hint="eastAsia"/>
          <w:kern w:val="0"/>
          <w:szCs w:val="20"/>
        </w:rPr>
        <w:t>顶部</w:t>
      </w:r>
      <w:r>
        <w:t>0.4L</w:t>
      </w:r>
      <w:r>
        <w:rPr>
          <w:rFonts w:hint="eastAsia"/>
        </w:rPr>
        <w:t>。当套管一端是浸入式时，浸入的细节应经协商。对于气体绝缘开关套管，按照协议，可能会使用较小的接地板。</w:t>
      </w:r>
    </w:p>
    <w:p>
      <w:pPr>
        <w:widowControl/>
        <w:autoSpaceDE w:val="0"/>
        <w:autoSpaceDN w:val="0"/>
        <w:ind w:firstLine="420" w:firstLineChars="200"/>
      </w:pPr>
      <w:r>
        <w:rPr>
          <w:rFonts w:hint="eastAsia"/>
        </w:rPr>
        <w:t>额定操作冲击耐受电压值见表2，冲击波形为</w:t>
      </w:r>
      <w:r>
        <w:t>250/2500μs</w:t>
      </w:r>
      <w:r>
        <w:rPr>
          <w:rFonts w:hint="eastAsia"/>
        </w:rPr>
        <w:t>的标准操作冲击波形。套管应逐次经受：</w:t>
      </w:r>
    </w:p>
    <w:p>
      <w:pPr>
        <w:widowControl/>
        <w:autoSpaceDE w:val="0"/>
        <w:autoSpaceDN w:val="0"/>
        <w:ind w:firstLine="420" w:firstLineChars="200"/>
      </w:pPr>
      <w:r>
        <w:rPr>
          <w:rFonts w:hint="eastAsia"/>
        </w:rPr>
        <w:t>——正极性冲击</w:t>
      </w:r>
      <w:r>
        <w:t>15</w:t>
      </w:r>
      <w:r>
        <w:rPr>
          <w:rFonts w:hint="eastAsia"/>
        </w:rPr>
        <w:t>次；</w:t>
      </w:r>
    </w:p>
    <w:p>
      <w:pPr>
        <w:widowControl/>
        <w:autoSpaceDE w:val="0"/>
        <w:autoSpaceDN w:val="0"/>
        <w:ind w:firstLine="420" w:firstLineChars="200"/>
      </w:pPr>
      <w:r>
        <w:rPr>
          <w:rFonts w:hint="eastAsia"/>
        </w:rPr>
        <w:t>——负极性冲击</w:t>
      </w:r>
      <w:r>
        <w:t>15</w:t>
      </w:r>
      <w:r>
        <w:rPr>
          <w:rFonts w:hint="eastAsia"/>
        </w:rPr>
        <w:t>次；</w:t>
      </w:r>
    </w:p>
    <w:p>
      <w:pPr>
        <w:widowControl/>
        <w:autoSpaceDE w:val="0"/>
        <w:autoSpaceDN w:val="0"/>
        <w:ind w:firstLine="420" w:firstLineChars="200"/>
      </w:pPr>
      <w:r>
        <w:rPr>
          <w:rFonts w:hint="eastAsia"/>
        </w:rPr>
        <w:t>——</w:t>
      </w:r>
      <w:r>
        <w:t>1.1</w:t>
      </w:r>
      <w:r>
        <w:rPr>
          <w:rFonts w:hint="eastAsia"/>
        </w:rPr>
        <w:t>倍额定耐受值的负极性干操作冲击</w:t>
      </w:r>
      <w:r>
        <w:t>15</w:t>
      </w:r>
      <w:r>
        <w:rPr>
          <w:rFonts w:hint="eastAsia"/>
        </w:rPr>
        <w:t>次。</w:t>
      </w:r>
    </w:p>
    <w:p>
      <w:pPr>
        <w:widowControl/>
        <w:autoSpaceDE w:val="0"/>
        <w:autoSpaceDN w:val="0"/>
        <w:ind w:firstLine="420" w:firstLineChars="200"/>
      </w:pPr>
      <w:r>
        <w:rPr>
          <w:rFonts w:hint="eastAsia"/>
        </w:rPr>
        <w:t>改变极性后允许在正式施加冲击电压前施加几次较小幅值的冲击。连续两次施加电压的时间间隔应足够长</w:t>
      </w:r>
      <w:r>
        <w:t>,</w:t>
      </w:r>
      <w:r>
        <w:rPr>
          <w:rFonts w:hint="eastAsia"/>
        </w:rPr>
        <w:t>以避免先前施加电压的影响。应记录每次冲击电压。</w:t>
      </w:r>
    </w:p>
    <w:p>
      <w:pPr>
        <w:widowControl/>
        <w:autoSpaceDE w:val="0"/>
        <w:autoSpaceDN w:val="0"/>
        <w:ind w:firstLine="420" w:firstLineChars="200"/>
      </w:pPr>
      <w:r>
        <w:rPr>
          <w:rFonts w:hint="eastAsia"/>
          <w:kern w:val="0"/>
          <w:szCs w:val="20"/>
        </w:rPr>
        <w:t>接收准则见GB/T 4109—2022。</w:t>
      </w:r>
    </w:p>
    <w:p>
      <w:pPr>
        <w:pStyle w:val="260"/>
        <w:ind w:left="0" w:firstLine="0"/>
        <w:rPr>
          <w:szCs w:val="20"/>
        </w:rPr>
      </w:pPr>
      <w:bookmarkStart w:id="132" w:name="_Toc180511543"/>
      <w:r>
        <w:rPr>
          <w:rFonts w:hint="eastAsia"/>
          <w:szCs w:val="20"/>
        </w:rPr>
        <w:t>环境温度下</w:t>
      </w:r>
      <w:r>
        <w:rPr>
          <w:szCs w:val="20"/>
        </w:rPr>
        <w:t>介质损耗因数（tanδ）</w:t>
      </w:r>
      <w:r>
        <w:rPr>
          <w:rFonts w:hint="eastAsia"/>
          <w:szCs w:val="20"/>
        </w:rPr>
        <w:t>和</w:t>
      </w:r>
      <w:r>
        <w:rPr>
          <w:szCs w:val="20"/>
        </w:rPr>
        <w:t>电容量测量</w:t>
      </w:r>
      <w:bookmarkEnd w:id="132"/>
    </w:p>
    <w:p>
      <w:pPr>
        <w:widowControl/>
        <w:autoSpaceDE w:val="0"/>
        <w:autoSpaceDN w:val="0"/>
        <w:ind w:firstLine="420" w:firstLineChars="200"/>
      </w:pPr>
      <w:r>
        <w:rPr>
          <w:rFonts w:hint="eastAsia"/>
        </w:rPr>
        <w:t>试验应在10℃到40℃的环境温度下进行，试验时套管导体应不载流。用适于测量低频电压下介质损耗因数和电容量的仪器设备测量，试验电压为套管额定频率下的交流电压，测量应至少在下列电压下进行：</w:t>
      </w:r>
    </w:p>
    <w:p>
      <w:pPr>
        <w:widowControl/>
        <w:autoSpaceDE w:val="0"/>
        <w:autoSpaceDN w:val="0"/>
        <w:ind w:firstLine="420" w:firstLineChars="200"/>
      </w:pPr>
      <w:r>
        <w:rPr>
          <w:rFonts w:hint="eastAsia"/>
        </w:rPr>
        <w:t>——对于U</w:t>
      </w:r>
      <w:r>
        <w:rPr>
          <w:rFonts w:hint="eastAsia"/>
          <w:i/>
          <w:iCs/>
          <w:vertAlign w:val="subscript"/>
        </w:rPr>
        <w:t>m</w:t>
      </w:r>
      <w:r>
        <w:rPr>
          <w:rFonts w:hint="eastAsia"/>
        </w:rPr>
        <w:t>≤36kV的套管，1.05U</w:t>
      </w:r>
      <w:r>
        <w:rPr>
          <w:rFonts w:hint="eastAsia"/>
          <w:i/>
          <w:iCs/>
          <w:vertAlign w:val="subscript"/>
        </w:rPr>
        <w:t>m</w:t>
      </w:r>
      <w:r>
        <w:rPr>
          <w:rFonts w:hint="eastAsia"/>
        </w:rPr>
        <w:t>/3；</w:t>
      </w:r>
    </w:p>
    <w:p>
      <w:pPr>
        <w:widowControl/>
        <w:autoSpaceDE w:val="0"/>
        <w:autoSpaceDN w:val="0"/>
        <w:ind w:firstLine="420" w:firstLineChars="200"/>
      </w:pPr>
      <w:r>
        <w:rPr>
          <w:rFonts w:hint="eastAsia"/>
        </w:rPr>
        <w:t>——对于U</w:t>
      </w:r>
      <w:r>
        <w:rPr>
          <w:rFonts w:hint="eastAsia"/>
          <w:i/>
          <w:iCs/>
          <w:vertAlign w:val="subscript"/>
        </w:rPr>
        <w:t>m</w:t>
      </w:r>
      <w:r>
        <w:rPr>
          <w:rFonts w:hint="eastAsia"/>
        </w:rPr>
        <w:t>≥40.5kV的套管，1.05U</w:t>
      </w:r>
      <w:r>
        <w:rPr>
          <w:rFonts w:hint="eastAsia"/>
          <w:i/>
          <w:iCs/>
          <w:vertAlign w:val="subscript"/>
        </w:rPr>
        <w:t>m</w:t>
      </w:r>
      <w:r>
        <w:rPr>
          <w:rFonts w:hint="eastAsia"/>
        </w:rPr>
        <w:t>/3和U</w:t>
      </w:r>
      <w:r>
        <w:rPr>
          <w:rFonts w:hint="eastAsia"/>
          <w:i/>
          <w:iCs/>
          <w:vertAlign w:val="subscript"/>
        </w:rPr>
        <w:t>m</w:t>
      </w:r>
      <w:r>
        <w:rPr>
          <w:rFonts w:hint="eastAsia"/>
        </w:rPr>
        <w:t>。</w:t>
      </w:r>
    </w:p>
    <w:p>
      <w:pPr>
        <w:widowControl/>
        <w:autoSpaceDE w:val="0"/>
        <w:autoSpaceDN w:val="0"/>
        <w:ind w:firstLine="420" w:firstLineChars="200"/>
      </w:pPr>
      <w:r>
        <w:rPr>
          <w:rFonts w:hint="eastAsia"/>
        </w:rPr>
        <w:t>测量电压不应超过交流干耐受电压值。</w:t>
      </w:r>
    </w:p>
    <w:p>
      <w:pPr>
        <w:widowControl/>
        <w:autoSpaceDE w:val="0"/>
        <w:autoSpaceDN w:val="0"/>
        <w:ind w:firstLine="420" w:firstLineChars="200"/>
      </w:pPr>
      <w:r>
        <w:rPr>
          <w:rFonts w:hint="eastAsia"/>
        </w:rPr>
        <w:t>应在2kV到20kV间的某一电压下测量套管的tan</w:t>
      </w:r>
      <w:r>
        <w:t>δ</w:t>
      </w:r>
      <w:r>
        <w:rPr>
          <w:rFonts w:hint="eastAsia"/>
        </w:rPr>
        <w:t>和电容量，作为以后套管在运行时进行监测的参考值。</w:t>
      </w:r>
    </w:p>
    <w:p>
      <w:pPr>
        <w:widowControl/>
        <w:autoSpaceDE w:val="0"/>
        <w:autoSpaceDN w:val="0"/>
        <w:ind w:firstLine="420" w:firstLineChars="200"/>
      </w:pPr>
      <w:r>
        <w:t>tanδ的最大允许值以及tanδ随电</w:t>
      </w:r>
      <w:r>
        <w:rPr>
          <w:rFonts w:hint="eastAsia"/>
        </w:rPr>
        <w:t>压的增值列于表4，如测得的值不可接受，允许等待</w:t>
      </w:r>
      <w:r>
        <w:t>1h</w:t>
      </w:r>
      <w:r>
        <w:rPr>
          <w:rFonts w:hint="eastAsia"/>
        </w:rPr>
        <w:t>后重复该试验，测量期间的实际温度应记录在报告中。</w:t>
      </w:r>
    </w:p>
    <w:p>
      <w:pPr>
        <w:pStyle w:val="260"/>
        <w:ind w:left="0" w:firstLine="0"/>
        <w:rPr>
          <w:szCs w:val="20"/>
        </w:rPr>
      </w:pPr>
      <w:bookmarkStart w:id="133" w:name="_Toc180511544"/>
      <w:r>
        <w:rPr>
          <w:rFonts w:hint="eastAsia"/>
          <w:szCs w:val="20"/>
        </w:rPr>
        <w:t>局部放电测量</w:t>
      </w:r>
      <w:bookmarkEnd w:id="133"/>
    </w:p>
    <w:p>
      <w:pPr>
        <w:widowControl/>
        <w:autoSpaceDE w:val="0"/>
        <w:autoSpaceDN w:val="0"/>
        <w:ind w:firstLine="420" w:firstLineChars="200"/>
      </w:pPr>
      <w:r>
        <w:rPr>
          <w:rFonts w:hint="eastAsia"/>
        </w:rPr>
        <w:t>本试验应按</w:t>
      </w:r>
      <w:r>
        <w:t>GB/T</w:t>
      </w:r>
      <w:r>
        <w:rPr>
          <w:rFonts w:hint="eastAsia"/>
        </w:rPr>
        <w:t xml:space="preserve"> </w:t>
      </w:r>
      <w:r>
        <w:t>7354</w:t>
      </w:r>
      <w:r>
        <w:rPr>
          <w:rFonts w:hint="eastAsia"/>
        </w:rPr>
        <w:t>—</w:t>
      </w:r>
      <w:r>
        <w:t>2018</w:t>
      </w:r>
      <w:r>
        <w:rPr>
          <w:rFonts w:hint="eastAsia"/>
        </w:rPr>
        <w:t>进行。除非另有规定，应适当选择试验回路的元件，使测量回路上的背景噪声和灵敏度能适宜于检出</w:t>
      </w:r>
      <w:r>
        <w:t>5pC</w:t>
      </w:r>
      <w:r>
        <w:rPr>
          <w:rFonts w:hint="eastAsia"/>
        </w:rPr>
        <w:t>局部放电量或规定值的</w:t>
      </w:r>
      <w:r>
        <w:t>20%</w:t>
      </w:r>
      <w:r>
        <w:rPr>
          <w:rFonts w:hint="eastAsia"/>
        </w:rPr>
        <w:t>，二者取其中较大值。此测量应在额定频率交流干耐受电压试验（见7.4）后，电压从额定频率交流干耐受电压试验值降至表4给出的电压值时进行。</w:t>
      </w:r>
    </w:p>
    <w:p>
      <w:pPr>
        <w:pStyle w:val="258"/>
        <w:ind w:firstLine="420"/>
        <w:rPr>
          <w:rFonts w:ascii="Times New Roman"/>
        </w:rPr>
      </w:pPr>
      <w:r>
        <w:rPr>
          <w:rFonts w:ascii="Times New Roman"/>
        </w:rPr>
        <w:t>在最后的绝缘试验后套管局部放电量的允许最大值</w:t>
      </w:r>
      <w:r>
        <w:rPr>
          <w:rFonts w:hint="eastAsia" w:ascii="Times New Roman"/>
        </w:rPr>
        <w:t>，</w:t>
      </w:r>
      <w:r>
        <w:rPr>
          <w:rFonts w:ascii="Times New Roman"/>
        </w:rPr>
        <w:t>按套管的类型在表</w:t>
      </w:r>
      <w:r>
        <w:rPr>
          <w:rFonts w:hint="eastAsia" w:ascii="Times New Roman"/>
        </w:rPr>
        <w:t>4</w:t>
      </w:r>
      <w:r>
        <w:rPr>
          <w:rFonts w:ascii="Times New Roman"/>
        </w:rPr>
        <w:t>中给出。当在1.5U</w:t>
      </w:r>
      <w:r>
        <w:rPr>
          <w:rFonts w:ascii="Times New Roman"/>
          <w:i/>
          <w:iCs/>
          <w:vertAlign w:val="subscript"/>
        </w:rPr>
        <w:t>m</w:t>
      </w:r>
      <w:r>
        <w:rPr>
          <w:rFonts w:ascii="Times New Roman"/>
        </w:rPr>
        <w:t>/3电压下测得值比表</w:t>
      </w:r>
      <w:r>
        <w:rPr>
          <w:rFonts w:hint="eastAsia" w:ascii="Times New Roman"/>
        </w:rPr>
        <w:t>4</w:t>
      </w:r>
      <w:r>
        <w:rPr>
          <w:rFonts w:ascii="Times New Roman"/>
        </w:rPr>
        <w:t>规定大时</w:t>
      </w:r>
      <w:r>
        <w:rPr>
          <w:rFonts w:hint="eastAsia" w:ascii="Times New Roman"/>
        </w:rPr>
        <w:t>，</w:t>
      </w:r>
      <w:r>
        <w:rPr>
          <w:rFonts w:ascii="Times New Roman"/>
        </w:rPr>
        <w:t>供方可延长测试时间到1h</w:t>
      </w:r>
      <w:r>
        <w:rPr>
          <w:rFonts w:hint="eastAsia" w:ascii="Times New Roman"/>
        </w:rPr>
        <w:t>，</w:t>
      </w:r>
      <w:r>
        <w:rPr>
          <w:rFonts w:ascii="Times New Roman"/>
        </w:rPr>
        <w:t>以检验其值是否会回到允许限值。如果在此期间局部放电量在限值内</w:t>
      </w:r>
      <w:r>
        <w:rPr>
          <w:rFonts w:hint="eastAsia" w:ascii="Times New Roman"/>
        </w:rPr>
        <w:t>，</w:t>
      </w:r>
      <w:r>
        <w:rPr>
          <w:rFonts w:ascii="Times New Roman"/>
        </w:rPr>
        <w:t>则认为套管通过了该试验。</w:t>
      </w:r>
    </w:p>
    <w:p>
      <w:pPr>
        <w:pStyle w:val="260"/>
        <w:ind w:left="0" w:firstLine="0"/>
        <w:rPr>
          <w:szCs w:val="20"/>
        </w:rPr>
      </w:pPr>
      <w:bookmarkStart w:id="134" w:name="_Toc180511545"/>
      <w:r>
        <w:rPr>
          <w:rFonts w:hint="eastAsia"/>
          <w:szCs w:val="20"/>
        </w:rPr>
        <w:t>抽头绝缘试验</w:t>
      </w:r>
      <w:bookmarkEnd w:id="134"/>
    </w:p>
    <w:p>
      <w:pPr>
        <w:pStyle w:val="258"/>
        <w:ind w:firstLine="420"/>
        <w:rPr>
          <w:rFonts w:ascii="Times New Roman"/>
        </w:rPr>
      </w:pPr>
      <w:r>
        <w:rPr>
          <w:rFonts w:hint="eastAsia" w:ascii="Times New Roman"/>
        </w:rPr>
        <w:t>下述对地低频交流耐受电压值适用于所有的抽头：</w:t>
      </w:r>
    </w:p>
    <w:p>
      <w:pPr>
        <w:pStyle w:val="258"/>
        <w:ind w:firstLine="420"/>
        <w:rPr>
          <w:rFonts w:ascii="Times New Roman"/>
        </w:rPr>
      </w:pPr>
      <w:r>
        <w:rPr>
          <w:rFonts w:hint="eastAsia" w:ascii="Times New Roman"/>
        </w:rPr>
        <w:t>——试验抽头：推荐</w:t>
      </w:r>
      <w:r>
        <w:rPr>
          <w:rFonts w:ascii="Times New Roman"/>
        </w:rPr>
        <w:t>2kV~3kV</w:t>
      </w:r>
      <w:r>
        <w:rPr>
          <w:rFonts w:hint="eastAsia" w:ascii="Times New Roman"/>
        </w:rPr>
        <w:t>；</w:t>
      </w:r>
    </w:p>
    <w:p>
      <w:pPr>
        <w:pStyle w:val="258"/>
        <w:ind w:firstLine="420"/>
        <w:rPr>
          <w:rFonts w:ascii="Times New Roman"/>
        </w:rPr>
      </w:pPr>
      <w:r>
        <w:rPr>
          <w:rFonts w:hint="eastAsia" w:ascii="Times New Roman"/>
        </w:rPr>
        <w:t>——电压抽头：为电压抽头额定电压的</w:t>
      </w:r>
      <w:r>
        <w:rPr>
          <w:rFonts w:ascii="Times New Roman"/>
        </w:rPr>
        <w:t>2</w:t>
      </w:r>
      <w:r>
        <w:rPr>
          <w:rFonts w:hint="eastAsia" w:ascii="Times New Roman"/>
        </w:rPr>
        <w:t>倍但至少</w:t>
      </w:r>
      <w:r>
        <w:rPr>
          <w:rFonts w:ascii="Times New Roman"/>
        </w:rPr>
        <w:t>2kV</w:t>
      </w:r>
      <w:r>
        <w:rPr>
          <w:rFonts w:hint="eastAsia" w:ascii="Times New Roman"/>
        </w:rPr>
        <w:t>。</w:t>
      </w:r>
    </w:p>
    <w:p>
      <w:pPr>
        <w:pStyle w:val="258"/>
        <w:ind w:firstLine="420"/>
        <w:rPr>
          <w:rFonts w:ascii="Times New Roman"/>
        </w:rPr>
      </w:pPr>
      <w:r>
        <w:rPr>
          <w:rFonts w:hint="eastAsia" w:ascii="Times New Roman"/>
        </w:rPr>
        <w:t>试验持续时间是</w:t>
      </w:r>
      <w:r>
        <w:rPr>
          <w:rFonts w:ascii="Times New Roman"/>
        </w:rPr>
        <w:t>60s</w:t>
      </w:r>
      <w:r>
        <w:rPr>
          <w:rFonts w:hint="eastAsia" w:ascii="Times New Roman"/>
        </w:rPr>
        <w:t>，试验后应在至少</w:t>
      </w:r>
      <w:r>
        <w:rPr>
          <w:rFonts w:ascii="Times New Roman"/>
        </w:rPr>
        <w:t>1kV</w:t>
      </w:r>
      <w:r>
        <w:rPr>
          <w:rFonts w:hint="eastAsia" w:ascii="Times New Roman"/>
        </w:rPr>
        <w:t>电压下测量</w:t>
      </w:r>
      <w:r>
        <w:rPr>
          <w:rFonts w:ascii="Times New Roman"/>
        </w:rPr>
        <w:t>tanδ</w:t>
      </w:r>
      <w:r>
        <w:rPr>
          <w:rFonts w:hint="eastAsia" w:ascii="Times New Roman"/>
        </w:rPr>
        <w:t>和对地电容。</w:t>
      </w:r>
    </w:p>
    <w:p>
      <w:pPr>
        <w:pStyle w:val="258"/>
        <w:ind w:firstLine="420"/>
        <w:rPr>
          <w:rFonts w:ascii="Times New Roman"/>
        </w:rPr>
      </w:pPr>
      <w:r>
        <w:rPr>
          <w:rFonts w:hint="eastAsia" w:ascii="Times New Roman"/>
        </w:rPr>
        <w:t>如未出现闪络或击穿则认为该抽头通过了本试验，对于试</w:t>
      </w:r>
      <w:r>
        <w:rPr>
          <w:rFonts w:ascii="Times New Roman"/>
        </w:rPr>
        <w:t>验抽头其tanδ和电容值应符合</w:t>
      </w:r>
      <w:r>
        <w:rPr>
          <w:rFonts w:hint="eastAsia" w:ascii="Times New Roman"/>
        </w:rPr>
        <w:t>6.5</w:t>
      </w:r>
      <w:r>
        <w:rPr>
          <w:rFonts w:ascii="Times New Roman"/>
        </w:rPr>
        <w:t>。</w:t>
      </w:r>
    </w:p>
    <w:p>
      <w:pPr>
        <w:pStyle w:val="260"/>
        <w:ind w:left="0" w:firstLine="0"/>
        <w:rPr>
          <w:szCs w:val="20"/>
        </w:rPr>
      </w:pPr>
      <w:bookmarkStart w:id="135" w:name="_Toc180511546"/>
      <w:r>
        <w:rPr>
          <w:rFonts w:hint="eastAsia"/>
          <w:szCs w:val="20"/>
        </w:rPr>
        <w:t>无线电干扰电压试验</w:t>
      </w:r>
      <w:bookmarkEnd w:id="135"/>
    </w:p>
    <w:p>
      <w:pPr>
        <w:pStyle w:val="258"/>
        <w:ind w:firstLine="420"/>
        <w:rPr>
          <w:rFonts w:ascii="Times New Roman"/>
        </w:rPr>
      </w:pPr>
      <w:r>
        <w:rPr>
          <w:rFonts w:hint="eastAsia" w:ascii="Times New Roman"/>
        </w:rPr>
        <w:t>试验方法和接收准则参考</w:t>
      </w:r>
      <w:r>
        <w:rPr>
          <w:rFonts w:ascii="Times New Roman"/>
        </w:rPr>
        <w:t>GB/T 4109</w:t>
      </w:r>
      <w:r>
        <w:rPr>
          <w:rFonts w:hint="eastAsia" w:ascii="Times New Roman"/>
        </w:rPr>
        <w:t>—2022的8.7。</w:t>
      </w:r>
    </w:p>
    <w:p>
      <w:pPr>
        <w:pStyle w:val="260"/>
        <w:ind w:left="0" w:firstLine="0"/>
        <w:rPr>
          <w:szCs w:val="20"/>
        </w:rPr>
      </w:pPr>
      <w:bookmarkStart w:id="136" w:name="_Toc180511547"/>
      <w:r>
        <w:rPr>
          <w:rFonts w:hint="eastAsia"/>
          <w:szCs w:val="20"/>
        </w:rPr>
        <w:t>温升试验</w:t>
      </w:r>
      <w:bookmarkEnd w:id="136"/>
    </w:p>
    <w:p>
      <w:pPr>
        <w:pStyle w:val="258"/>
        <w:ind w:firstLine="420"/>
        <w:rPr>
          <w:rFonts w:ascii="Times New Roman"/>
        </w:rPr>
      </w:pPr>
      <w:r>
        <w:rPr>
          <w:rFonts w:hint="eastAsia" w:ascii="Times New Roman"/>
        </w:rPr>
        <w:t>温升试验应采用套管额定频率的试验电流，</w:t>
      </w:r>
      <w:r>
        <w:rPr>
          <w:rFonts w:ascii="Times New Roman"/>
        </w:rPr>
        <w:t>温升试验方法和要求应符合GB/T 4109</w:t>
      </w:r>
      <w:r>
        <w:rPr>
          <w:rFonts w:hint="eastAsia" w:ascii="Times New Roman"/>
        </w:rPr>
        <w:t>—2022中8.8的规定，</w:t>
      </w:r>
      <w:r>
        <w:rPr>
          <w:rFonts w:ascii="Times New Roman"/>
        </w:rPr>
        <w:t>套管各部分的发热温度和温升应</w:t>
      </w:r>
      <w:r>
        <w:rPr>
          <w:rFonts w:hint="eastAsia" w:ascii="Times New Roman"/>
        </w:rPr>
        <w:t>满足本标准6.6</w:t>
      </w:r>
      <w:r>
        <w:rPr>
          <w:rFonts w:ascii="Times New Roman"/>
        </w:rPr>
        <w:t>的要求</w:t>
      </w:r>
      <w:r>
        <w:rPr>
          <w:rFonts w:hint="eastAsia" w:ascii="Times New Roman"/>
        </w:rPr>
        <w:t>。</w:t>
      </w:r>
    </w:p>
    <w:p>
      <w:pPr>
        <w:pStyle w:val="260"/>
        <w:ind w:left="0" w:firstLine="0"/>
        <w:rPr>
          <w:szCs w:val="20"/>
        </w:rPr>
      </w:pPr>
      <w:bookmarkStart w:id="137" w:name="_Toc180511548"/>
      <w:r>
        <w:rPr>
          <w:rFonts w:hint="eastAsia"/>
          <w:szCs w:val="20"/>
        </w:rPr>
        <w:t>热短时电流耐受验证</w:t>
      </w:r>
      <w:bookmarkEnd w:id="137"/>
    </w:p>
    <w:p>
      <w:pPr>
        <w:spacing w:line="360" w:lineRule="auto"/>
        <w:ind w:firstLine="420" w:firstLineChars="200"/>
      </w:pPr>
      <w:r>
        <w:rPr>
          <w:rFonts w:hint="eastAsia"/>
        </w:rPr>
        <w:t>用式（1）计算验证套管耐受</w:t>
      </w:r>
      <w:r>
        <w:rPr>
          <w:rFonts w:hint="eastAsia"/>
          <w:i/>
        </w:rPr>
        <w:t>I</w:t>
      </w:r>
      <w:r>
        <w:rPr>
          <w:vertAlign w:val="subscript"/>
        </w:rPr>
        <w:t>th</w:t>
      </w:r>
      <w:r>
        <w:rPr>
          <w:rFonts w:hint="eastAsia"/>
        </w:rPr>
        <w:t>标准值的能力：</w:t>
      </w:r>
    </w:p>
    <w:p>
      <w:pPr>
        <w:pStyle w:val="258"/>
        <w:wordWrap w:val="0"/>
        <w:spacing w:line="360" w:lineRule="auto"/>
        <w:ind w:left="840" w:firstLine="420"/>
        <w:jc w:val="right"/>
        <w:rPr>
          <w:sz w:val="24"/>
        </w:rPr>
      </w:pPr>
      <w:r>
        <w:rPr>
          <w:position w:val="-30"/>
          <w:szCs w:val="21"/>
        </w:rPr>
        <w:object>
          <v:shape id="_x0000_i1033" o:spt="75" type="#_x0000_t75" style="height:32.5pt;width:100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r>
        <w:rPr>
          <w:sz w:val="24"/>
          <w:lang w:val="el-GR"/>
        </w:rPr>
        <w:t>…………………………………</w:t>
      </w:r>
      <w:r>
        <w:rPr>
          <w:rFonts w:hint="eastAsia"/>
          <w:sz w:val="24"/>
          <w:lang w:val="el-GR"/>
        </w:rPr>
        <w:t>.</w:t>
      </w:r>
      <w:r>
        <w:rPr>
          <w:sz w:val="24"/>
          <w:lang w:val="el-GR"/>
        </w:rPr>
        <w:t>……</w:t>
      </w:r>
      <w:r>
        <w:rPr>
          <w:rFonts w:hint="eastAsia"/>
          <w:sz w:val="24"/>
          <w:lang w:val="el-GR"/>
        </w:rPr>
        <w:t>.</w:t>
      </w:r>
      <w:r>
        <w:rPr>
          <w:rFonts w:hint="eastAsia"/>
          <w:szCs w:val="21"/>
        </w:rPr>
        <w:t>（1）</w:t>
      </w:r>
    </w:p>
    <w:p>
      <w:pPr>
        <w:pStyle w:val="258"/>
        <w:ind w:firstLine="420"/>
        <w:rPr>
          <w:rFonts w:ascii="Times New Roman"/>
          <w:kern w:val="2"/>
          <w:szCs w:val="24"/>
        </w:rPr>
      </w:pPr>
      <w:r>
        <w:rPr>
          <w:rFonts w:hint="eastAsia" w:ascii="Times New Roman"/>
          <w:kern w:val="2"/>
          <w:szCs w:val="24"/>
        </w:rPr>
        <w:t>式中：</w:t>
      </w:r>
    </w:p>
    <w:p>
      <w:pPr>
        <w:pStyle w:val="258"/>
        <w:ind w:firstLine="420"/>
        <w:rPr>
          <w:rFonts w:ascii="Times New Roman"/>
          <w:kern w:val="2"/>
          <w:szCs w:val="24"/>
        </w:rPr>
      </w:pPr>
      <w:r>
        <w:rPr>
          <w:rFonts w:ascii="Times New Roman"/>
          <w:i/>
          <w:szCs w:val="21"/>
        </w:rPr>
        <w:t>θ</w:t>
      </w:r>
      <w:r>
        <w:rPr>
          <w:rFonts w:ascii="Times New Roman"/>
          <w:szCs w:val="21"/>
          <w:vertAlign w:val="subscript"/>
        </w:rPr>
        <w:t>f</w:t>
      </w:r>
      <w:r>
        <w:rPr>
          <w:rFonts w:hint="eastAsia" w:ascii="Times New Roman"/>
          <w:kern w:val="2"/>
          <w:szCs w:val="24"/>
        </w:rPr>
        <w:t>——导体的最终</w:t>
      </w:r>
      <w:r>
        <w:rPr>
          <w:rFonts w:ascii="Times New Roman"/>
          <w:kern w:val="2"/>
          <w:szCs w:val="24"/>
        </w:rPr>
        <w:t>温度，℃；</w:t>
      </w:r>
    </w:p>
    <w:p>
      <w:pPr>
        <w:pStyle w:val="258"/>
        <w:ind w:firstLine="420"/>
        <w:rPr>
          <w:rFonts w:ascii="Times New Roman"/>
        </w:rPr>
      </w:pPr>
      <w:r>
        <w:rPr>
          <w:rFonts w:ascii="Times New Roman"/>
          <w:i/>
        </w:rPr>
        <w:t>θ</w:t>
      </w:r>
      <w:r>
        <w:rPr>
          <w:rFonts w:ascii="Times New Roman"/>
          <w:vertAlign w:val="subscript"/>
        </w:rPr>
        <w:t>0</w:t>
      </w:r>
      <w:r>
        <w:rPr>
          <w:rFonts w:ascii="Times New Roman"/>
        </w:rPr>
        <w:t>——在环境温度40℃下载流</w:t>
      </w:r>
      <w:r>
        <w:rPr>
          <w:rFonts w:ascii="Times New Roman"/>
          <w:i/>
        </w:rPr>
        <w:t>I</w:t>
      </w:r>
      <w:r>
        <w:rPr>
          <w:rFonts w:ascii="Times New Roman"/>
          <w:vertAlign w:val="subscript"/>
        </w:rPr>
        <w:t>r</w:t>
      </w:r>
      <w:r>
        <w:rPr>
          <w:rFonts w:ascii="Times New Roman"/>
        </w:rPr>
        <w:t>连续运行时导体的温度，℃；</w:t>
      </w:r>
    </w:p>
    <w:p>
      <w:pPr>
        <w:widowControl/>
        <w:autoSpaceDE w:val="0"/>
        <w:autoSpaceDN w:val="0"/>
        <w:ind w:firstLine="420" w:firstLineChars="200"/>
      </w:pPr>
      <w:r>
        <w:rPr>
          <w:i/>
        </w:rPr>
        <w:t>α</w:t>
      </w:r>
      <w:r>
        <w:rPr>
          <w:rFonts w:hint="eastAsia"/>
        </w:rPr>
        <w:t>——铜取值0.8(K/</w:t>
      </w:r>
      <w:r>
        <w:t>s</w:t>
      </w:r>
      <w:r>
        <w:rPr>
          <w:rFonts w:hint="eastAsia"/>
        </w:rPr>
        <w:t>)/(</w:t>
      </w:r>
      <w:r>
        <w:t>kA/cm</w:t>
      </w:r>
      <w:r>
        <w:rPr>
          <w:vertAlign w:val="superscript"/>
        </w:rPr>
        <w:t>2</w:t>
      </w:r>
      <w:r>
        <w:rPr>
          <w:rFonts w:hint="eastAsia"/>
        </w:rPr>
        <w:t>)</w:t>
      </w:r>
      <w:r>
        <w:rPr>
          <w:vertAlign w:val="superscript"/>
        </w:rPr>
        <w:t>2</w:t>
      </w:r>
      <w:r>
        <w:rPr>
          <w:rFonts w:hint="eastAsia"/>
        </w:rPr>
        <w:t>，铝取值1.8(K/</w:t>
      </w:r>
      <w:r>
        <w:t>s</w:t>
      </w:r>
      <w:r>
        <w:rPr>
          <w:rFonts w:hint="eastAsia"/>
        </w:rPr>
        <w:t>)/(</w:t>
      </w:r>
      <w:r>
        <w:t>kA/cm</w:t>
      </w:r>
      <w:r>
        <w:rPr>
          <w:vertAlign w:val="superscript"/>
        </w:rPr>
        <w:t>2</w:t>
      </w:r>
      <w:r>
        <w:rPr>
          <w:rFonts w:hint="eastAsia"/>
        </w:rPr>
        <w:t>)</w:t>
      </w:r>
      <w:r>
        <w:rPr>
          <w:vertAlign w:val="superscript"/>
        </w:rPr>
        <w:t>2</w:t>
      </w:r>
      <w:r>
        <w:rPr>
          <w:rFonts w:hint="eastAsia"/>
        </w:rPr>
        <w:t>；</w:t>
      </w:r>
    </w:p>
    <w:p>
      <w:pPr>
        <w:widowControl/>
        <w:autoSpaceDE w:val="0"/>
        <w:autoSpaceDN w:val="0"/>
        <w:ind w:firstLine="420" w:firstLineChars="200"/>
      </w:pPr>
      <w:r>
        <w:rPr>
          <w:i/>
        </w:rPr>
        <w:t>t</w:t>
      </w:r>
      <w:r>
        <w:rPr>
          <w:vertAlign w:val="subscript"/>
        </w:rPr>
        <w:t>th</w:t>
      </w:r>
      <w:r>
        <w:rPr>
          <w:rFonts w:hint="eastAsia"/>
        </w:rPr>
        <w:t>——规定的额定持续时间，</w:t>
      </w:r>
      <w:r>
        <w:t>s</w:t>
      </w:r>
      <w:r>
        <w:rPr>
          <w:rFonts w:hint="eastAsia"/>
        </w:rPr>
        <w:t>；</w:t>
      </w:r>
    </w:p>
    <w:p>
      <w:pPr>
        <w:widowControl/>
        <w:autoSpaceDE w:val="0"/>
        <w:autoSpaceDN w:val="0"/>
        <w:ind w:firstLine="420" w:firstLineChars="200"/>
      </w:pPr>
      <w:r>
        <w:rPr>
          <w:rFonts w:hint="eastAsia"/>
          <w:i/>
        </w:rPr>
        <w:t>I</w:t>
      </w:r>
      <w:r>
        <w:rPr>
          <w:vertAlign w:val="subscript"/>
        </w:rPr>
        <w:t>th</w:t>
      </w:r>
      <w:r>
        <w:rPr>
          <w:rFonts w:hint="eastAsia"/>
        </w:rPr>
        <w:t>——上述规定的标准值，k</w:t>
      </w:r>
      <w:r>
        <w:t>A</w:t>
      </w:r>
      <w:r>
        <w:rPr>
          <w:rFonts w:hint="eastAsia"/>
        </w:rPr>
        <w:t>；</w:t>
      </w:r>
    </w:p>
    <w:p>
      <w:pPr>
        <w:widowControl/>
        <w:autoSpaceDE w:val="0"/>
        <w:autoSpaceDN w:val="0"/>
        <w:ind w:firstLine="420" w:firstLineChars="200"/>
      </w:pPr>
      <w:r>
        <w:rPr>
          <w:rFonts w:hint="eastAsia"/>
          <w:i/>
        </w:rPr>
        <w:t>S</w:t>
      </w:r>
      <w:r>
        <w:rPr>
          <w:vertAlign w:val="subscript"/>
        </w:rPr>
        <w:t>e</w:t>
      </w:r>
      <w:r>
        <w:rPr>
          <w:rFonts w:hint="eastAsia"/>
        </w:rPr>
        <w:t>——考虑集肤效应的等效横截面面积，</w:t>
      </w:r>
      <w:r>
        <w:t>cm</w:t>
      </w:r>
      <w:r>
        <w:rPr>
          <w:vertAlign w:val="superscript"/>
        </w:rPr>
        <w:t>2</w:t>
      </w:r>
      <w:r>
        <w:rPr>
          <w:rFonts w:hint="eastAsia"/>
        </w:rPr>
        <w:t>；</w:t>
      </w:r>
    </w:p>
    <w:p>
      <w:pPr>
        <w:widowControl/>
        <w:autoSpaceDE w:val="0"/>
        <w:autoSpaceDN w:val="0"/>
        <w:ind w:firstLine="420" w:firstLineChars="200"/>
      </w:pPr>
      <w:r>
        <w:rPr>
          <w:rFonts w:hint="eastAsia"/>
          <w:i/>
        </w:rPr>
        <w:t>S</w:t>
      </w:r>
      <w:r>
        <w:rPr>
          <w:vertAlign w:val="subscript"/>
        </w:rPr>
        <w:t>t</w:t>
      </w:r>
      <w:r>
        <w:rPr>
          <w:rFonts w:hint="eastAsia"/>
        </w:rPr>
        <w:t>——相应于</w:t>
      </w:r>
      <w:r>
        <w:rPr>
          <w:rFonts w:hint="eastAsia"/>
          <w:i/>
        </w:rPr>
        <w:t>I</w:t>
      </w:r>
      <w:r>
        <w:rPr>
          <w:vertAlign w:val="subscript"/>
        </w:rPr>
        <w:t>r</w:t>
      </w:r>
      <w:r>
        <w:rPr>
          <w:rFonts w:hint="eastAsia"/>
        </w:rPr>
        <w:t>的总横截面面积，</w:t>
      </w:r>
      <w:r>
        <w:t>cm</w:t>
      </w:r>
      <w:r>
        <w:rPr>
          <w:vertAlign w:val="superscript"/>
        </w:rPr>
        <w:t>2</w:t>
      </w:r>
      <w:r>
        <w:rPr>
          <w:rFonts w:hint="eastAsia"/>
        </w:rPr>
        <w:t>。</w:t>
      </w:r>
    </w:p>
    <w:p>
      <w:pPr>
        <w:widowControl/>
        <w:autoSpaceDE w:val="0"/>
        <w:autoSpaceDN w:val="0"/>
        <w:ind w:firstLine="420" w:firstLineChars="200"/>
      </w:pPr>
      <w:r>
        <w:rPr>
          <w:rFonts w:hint="eastAsia"/>
        </w:rPr>
        <w:t>对于其它材料的</w:t>
      </w:r>
      <w:r>
        <w:rPr>
          <w:i/>
        </w:rPr>
        <w:t>α</w:t>
      </w:r>
      <w:r>
        <w:rPr>
          <w:rFonts w:hint="eastAsia"/>
        </w:rPr>
        <w:t>值，可由下式：</w:t>
      </w:r>
    </w:p>
    <w:p>
      <w:pPr>
        <w:pStyle w:val="258"/>
        <w:spacing w:line="360" w:lineRule="auto"/>
        <w:ind w:left="420" w:firstLine="0" w:firstLineChars="0"/>
        <w:jc w:val="right"/>
        <w:rPr>
          <w:szCs w:val="21"/>
        </w:rPr>
      </w:pPr>
      <w:r>
        <w:rPr>
          <w:rFonts w:hint="eastAsia"/>
          <w:sz w:val="24"/>
        </w:rPr>
        <w:t xml:space="preserve">                       </w:t>
      </w:r>
      <w:r>
        <w:rPr>
          <w:rFonts w:hint="eastAsia"/>
          <w:szCs w:val="21"/>
        </w:rPr>
        <w:t xml:space="preserve">  </w:t>
      </w:r>
      <w:r>
        <w:rPr>
          <w:szCs w:val="21"/>
        </w:rPr>
        <w:object>
          <v:shape id="_x0000_i1034" o:spt="75" type="#_x0000_t75" style="height:27.5pt;width:48pt;" o:ole="t"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4" r:id="rId27">
            <o:LockedField>false</o:LockedField>
          </o:OLEObject>
        </w:object>
      </w:r>
      <w:r>
        <w:rPr>
          <w:rFonts w:hint="eastAsia"/>
          <w:szCs w:val="21"/>
        </w:rPr>
        <w:t xml:space="preserve"> </w:t>
      </w:r>
      <w:r>
        <w:rPr>
          <w:szCs w:val="21"/>
        </w:rPr>
        <w:t>………………………………………………</w:t>
      </w:r>
      <w:r>
        <w:rPr>
          <w:rFonts w:hint="eastAsia"/>
          <w:szCs w:val="21"/>
        </w:rPr>
        <w:t>（2）</w:t>
      </w:r>
    </w:p>
    <w:p>
      <w:pPr>
        <w:widowControl/>
        <w:autoSpaceDE w:val="0"/>
        <w:autoSpaceDN w:val="0"/>
        <w:ind w:firstLine="420" w:firstLineChars="200"/>
        <w:rPr>
          <w:rFonts w:hint="eastAsia"/>
          <w:szCs w:val="21"/>
        </w:rPr>
      </w:pPr>
      <w:r>
        <w:rPr>
          <w:rFonts w:hint="eastAsia"/>
          <w:szCs w:val="21"/>
        </w:rPr>
        <w:t>式中：</w:t>
      </w:r>
    </w:p>
    <w:p>
      <w:pPr>
        <w:widowControl/>
        <w:autoSpaceDE w:val="0"/>
        <w:autoSpaceDN w:val="0"/>
        <w:ind w:firstLine="420" w:firstLineChars="200"/>
      </w:pPr>
      <w:r>
        <w:rPr>
          <w:i/>
        </w:rPr>
        <w:t>ρ</w:t>
      </w:r>
      <w:r>
        <w:rPr>
          <w:rFonts w:hint="eastAsia"/>
        </w:rPr>
        <w:t>——导体电阻率，</w:t>
      </w:r>
      <w:r>
        <w:rPr>
          <w:i/>
        </w:rPr>
        <w:t>μ</w:t>
      </w:r>
      <w:r>
        <w:t>Ω·cm</w:t>
      </w:r>
      <w:r>
        <w:rPr>
          <w:rFonts w:hint="eastAsia"/>
        </w:rPr>
        <w:t>；</w:t>
      </w:r>
    </w:p>
    <w:p>
      <w:pPr>
        <w:widowControl/>
        <w:autoSpaceDE w:val="0"/>
        <w:autoSpaceDN w:val="0"/>
        <w:ind w:firstLine="420" w:firstLineChars="200"/>
      </w:pPr>
      <w:r>
        <w:rPr>
          <w:i/>
        </w:rPr>
        <w:t>c</w:t>
      </w:r>
      <w:r>
        <w:rPr>
          <w:rFonts w:hint="eastAsia"/>
        </w:rPr>
        <w:t>——比热容单位，</w:t>
      </w:r>
      <w:r>
        <w:t>J/</w:t>
      </w:r>
      <w:r>
        <w:rPr>
          <w:rFonts w:hint="eastAsia"/>
        </w:rPr>
        <w:t>(</w:t>
      </w:r>
      <w:r>
        <w:t>g·k</w:t>
      </w:r>
      <w:r>
        <w:rPr>
          <w:rFonts w:hint="eastAsia"/>
        </w:rPr>
        <w:t>)；</w:t>
      </w:r>
    </w:p>
    <w:p>
      <w:pPr>
        <w:widowControl/>
        <w:autoSpaceDE w:val="0"/>
        <w:autoSpaceDN w:val="0"/>
        <w:ind w:firstLine="420" w:firstLineChars="200"/>
      </w:pPr>
      <w:r>
        <w:rPr>
          <w:i/>
        </w:rPr>
        <w:t>δ</w:t>
      </w:r>
      <w:r>
        <w:rPr>
          <w:rFonts w:hint="eastAsia"/>
        </w:rPr>
        <w:t>——导体密度，</w:t>
      </w:r>
      <w:r>
        <w:t>g/cm</w:t>
      </w:r>
      <w:r>
        <w:rPr>
          <w:vertAlign w:val="superscript"/>
        </w:rPr>
        <w:t>3</w:t>
      </w:r>
      <w:r>
        <w:rPr>
          <w:rFonts w:hint="eastAsia"/>
        </w:rPr>
        <w:t>。</w:t>
      </w:r>
    </w:p>
    <w:p>
      <w:pPr>
        <w:widowControl/>
        <w:autoSpaceDE w:val="0"/>
        <w:autoSpaceDN w:val="0"/>
        <w:ind w:firstLine="420" w:firstLineChars="200"/>
      </w:pPr>
      <w:r>
        <w:rPr>
          <w:rFonts w:hint="eastAsia"/>
        </w:rPr>
        <w:t>用于公式中的</w:t>
      </w:r>
      <w:r>
        <w:rPr>
          <w:i/>
        </w:rPr>
        <w:t>ρ</w:t>
      </w:r>
      <w:r>
        <w:t>、</w:t>
      </w:r>
      <w:r>
        <w:rPr>
          <w:i/>
        </w:rPr>
        <w:t>c</w:t>
      </w:r>
      <w:r>
        <w:t>、和</w:t>
      </w:r>
      <w:r>
        <w:rPr>
          <w:i/>
        </w:rPr>
        <w:t>δ</w:t>
      </w:r>
      <w:r>
        <w:rPr>
          <w:rFonts w:hint="eastAsia"/>
        </w:rPr>
        <w:t>各值需在平均温度160℃下进行校正。</w:t>
      </w:r>
    </w:p>
    <w:p>
      <w:pPr>
        <w:widowControl/>
        <w:autoSpaceDE w:val="0"/>
        <w:autoSpaceDN w:val="0"/>
        <w:ind w:firstLine="420" w:firstLineChars="200"/>
      </w:pPr>
      <w:r>
        <w:rPr>
          <w:rFonts w:hint="eastAsia"/>
        </w:rPr>
        <w:t>在直径</w:t>
      </w:r>
      <w:r>
        <w:rPr>
          <w:rFonts w:hint="eastAsia"/>
          <w:i/>
        </w:rPr>
        <w:t>D</w:t>
      </w:r>
      <w:r>
        <w:rPr>
          <w:rFonts w:hint="eastAsia"/>
        </w:rPr>
        <w:t>（cm）的圆截面导体中，需考虑集肤效应取得等值横截面面积。其值可由下式导出的电流渗入深度</w:t>
      </w:r>
      <w:r>
        <w:rPr>
          <w:rFonts w:hint="eastAsia"/>
          <w:i/>
        </w:rPr>
        <w:t>d</w:t>
      </w:r>
      <w:r>
        <w:rPr>
          <w:rFonts w:hint="eastAsia"/>
        </w:rPr>
        <w:t>来确定：</w:t>
      </w:r>
    </w:p>
    <w:p>
      <w:pPr>
        <w:pStyle w:val="258"/>
        <w:spacing w:line="360" w:lineRule="auto"/>
        <w:ind w:left="420" w:firstLine="0" w:firstLineChars="0"/>
        <w:jc w:val="right"/>
        <w:rPr>
          <w:szCs w:val="21"/>
        </w:rPr>
      </w:pPr>
      <w:r>
        <w:rPr>
          <w:rFonts w:hint="eastAsia"/>
          <w:sz w:val="24"/>
        </w:rPr>
        <w:t xml:space="preserve">         </w:t>
      </w:r>
      <w:r>
        <w:rPr>
          <w:rFonts w:hint="eastAsia"/>
          <w:szCs w:val="21"/>
        </w:rPr>
        <w:t xml:space="preserve">           </w:t>
      </w:r>
      <w:r>
        <w:rPr>
          <w:position w:val="-28"/>
          <w:szCs w:val="21"/>
        </w:rPr>
        <w:object>
          <v:shape id="_x0000_i1035" o:spt="75" type="#_x0000_t75" style="height:35pt;width:75pt;" o:ole="t" filled="f" o:preferrelative="t" stroked="f" coordsize="21600,21600">
            <v:path/>
            <v:fill on="f" focussize="0,0"/>
            <v:stroke on="f" joinstyle="miter"/>
            <v:imagedata r:id="rId30" o:title=""/>
            <o:lock v:ext="edit" aspectratio="t"/>
            <w10:wrap type="none"/>
            <w10:anchorlock/>
          </v:shape>
          <o:OLEObject Type="Embed" ProgID="Equation.3" ShapeID="_x0000_i1035" DrawAspect="Content" ObjectID="_1468075735" r:id="rId29">
            <o:LockedField>false</o:LockedField>
          </o:OLEObject>
        </w:object>
      </w:r>
      <w:r>
        <w:rPr>
          <w:rFonts w:ascii="Times New Roman"/>
          <w:szCs w:val="21"/>
        </w:rPr>
        <w:t>cm</w:t>
      </w:r>
      <w:r>
        <w:rPr>
          <w:szCs w:val="21"/>
        </w:rPr>
        <w:t>……………………………………………</w:t>
      </w:r>
      <w:r>
        <w:rPr>
          <w:rFonts w:hint="eastAsia"/>
          <w:szCs w:val="21"/>
        </w:rPr>
        <w:t>（3）</w:t>
      </w:r>
    </w:p>
    <w:p>
      <w:pPr>
        <w:widowControl/>
        <w:autoSpaceDE w:val="0"/>
        <w:autoSpaceDN w:val="0"/>
        <w:ind w:firstLine="420" w:firstLineChars="200"/>
        <w:rPr>
          <w:rFonts w:hint="eastAsia"/>
          <w:szCs w:val="21"/>
        </w:rPr>
      </w:pPr>
      <w:r>
        <w:rPr>
          <w:rFonts w:hint="eastAsia"/>
          <w:szCs w:val="21"/>
        </w:rPr>
        <w:t>式中：</w:t>
      </w:r>
    </w:p>
    <w:p>
      <w:pPr>
        <w:widowControl/>
        <w:autoSpaceDE w:val="0"/>
        <w:autoSpaceDN w:val="0"/>
        <w:snapToGrid w:val="0"/>
        <w:ind w:firstLine="420" w:firstLineChars="200"/>
      </w:pPr>
      <w:r>
        <w:rPr>
          <w:i/>
        </w:rPr>
        <w:t>f</w:t>
      </w:r>
      <w:r>
        <w:rPr>
          <w:rFonts w:hint="eastAsia"/>
        </w:rPr>
        <w:t>——额定频率，</w:t>
      </w:r>
      <w:r>
        <w:t>Hz</w:t>
      </w:r>
      <w:r>
        <w:rPr>
          <w:rFonts w:hint="eastAsia"/>
        </w:rPr>
        <w:t>；</w:t>
      </w:r>
    </w:p>
    <w:p>
      <w:pPr>
        <w:widowControl/>
        <w:autoSpaceDE w:val="0"/>
        <w:autoSpaceDN w:val="0"/>
        <w:snapToGrid w:val="0"/>
        <w:ind w:firstLine="420" w:firstLineChars="200"/>
        <w:rPr>
          <w:szCs w:val="21"/>
        </w:rPr>
      </w:pPr>
      <w:r>
        <w:rPr>
          <w:rFonts w:hint="eastAsia"/>
          <w:szCs w:val="21"/>
        </w:rPr>
        <w:t>因此：</w:t>
      </w:r>
      <w:r>
        <w:rPr>
          <w:position w:val="-10"/>
          <w:sz w:val="18"/>
          <w:szCs w:val="18"/>
        </w:rPr>
        <w:object>
          <v:shape id="_x0000_i1036" o:spt="75" type="#_x0000_t75" style="height:16pt;width:69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r>
        <w:rPr>
          <w:rFonts w:hint="eastAsia"/>
          <w:szCs w:val="21"/>
        </w:rPr>
        <w:t>。</w:t>
      </w:r>
    </w:p>
    <w:p>
      <w:pPr>
        <w:widowControl/>
        <w:autoSpaceDE w:val="0"/>
        <w:autoSpaceDN w:val="0"/>
        <w:ind w:firstLine="420" w:firstLineChars="200"/>
        <w:rPr>
          <w:rFonts w:hint="eastAsia"/>
        </w:rPr>
      </w:pPr>
      <w:r>
        <w:t>如果计算的导体的最终温度不超过180℃，则认为套管能耐受</w:t>
      </w:r>
      <w:r>
        <w:rPr>
          <w:i/>
        </w:rPr>
        <w:t>I</w:t>
      </w:r>
      <w:r>
        <w:rPr>
          <w:vertAlign w:val="subscript"/>
        </w:rPr>
        <w:t>th</w:t>
      </w:r>
      <w:r>
        <w:t>的标准值，试验可以免做；若导体的最终温度超过此限度，则须用试验来证明套管是否能耐受此标准值。</w:t>
      </w:r>
    </w:p>
    <w:p>
      <w:pPr>
        <w:pStyle w:val="260"/>
        <w:ind w:left="0" w:firstLine="0"/>
        <w:rPr>
          <w:szCs w:val="20"/>
        </w:rPr>
      </w:pPr>
      <w:bookmarkStart w:id="138" w:name="_Toc180511549"/>
      <w:r>
        <w:rPr>
          <w:rFonts w:hint="eastAsia"/>
          <w:szCs w:val="20"/>
        </w:rPr>
        <w:t>悬臂负荷耐受试验</w:t>
      </w:r>
      <w:bookmarkEnd w:id="138"/>
    </w:p>
    <w:p>
      <w:pPr>
        <w:pStyle w:val="258"/>
        <w:ind w:firstLine="420"/>
      </w:pPr>
      <w:r>
        <w:rPr>
          <w:rFonts w:hint="eastAsia" w:ascii="Times New Roman"/>
        </w:rPr>
        <w:t>试验方法和接收准则参考</w:t>
      </w:r>
      <w:r>
        <w:rPr>
          <w:rFonts w:ascii="Times New Roman"/>
        </w:rPr>
        <w:t>GB/T 4109</w:t>
      </w:r>
      <w:r>
        <w:rPr>
          <w:rFonts w:hint="eastAsia" w:ascii="Times New Roman"/>
        </w:rPr>
        <w:t>—2022的8.10。</w:t>
      </w:r>
    </w:p>
    <w:p>
      <w:pPr>
        <w:pStyle w:val="260"/>
        <w:ind w:left="0" w:firstLine="0"/>
        <w:rPr>
          <w:szCs w:val="20"/>
        </w:rPr>
      </w:pPr>
      <w:bookmarkStart w:id="139" w:name="_Toc180511550"/>
      <w:r>
        <w:rPr>
          <w:rFonts w:hint="eastAsia"/>
          <w:szCs w:val="20"/>
        </w:rPr>
        <w:t>充液体、充混合物以及液体绝缘套管的密封试验</w:t>
      </w:r>
      <w:bookmarkEnd w:id="139"/>
    </w:p>
    <w:p>
      <w:pPr>
        <w:pStyle w:val="258"/>
        <w:ind w:firstLine="420"/>
        <w:rPr>
          <w:rFonts w:ascii="Times New Roman"/>
        </w:rPr>
      </w:pPr>
      <w:r>
        <w:rPr>
          <w:rFonts w:hint="eastAsia" w:ascii="Times New Roman"/>
        </w:rPr>
        <w:t>试验方法和接收准则参考</w:t>
      </w:r>
      <w:r>
        <w:rPr>
          <w:rFonts w:ascii="Times New Roman"/>
        </w:rPr>
        <w:t>GB/T 4109</w:t>
      </w:r>
      <w:r>
        <w:rPr>
          <w:rFonts w:hint="eastAsia" w:ascii="Times New Roman"/>
        </w:rPr>
        <w:t>—2022的8.11。</w:t>
      </w:r>
    </w:p>
    <w:p>
      <w:pPr>
        <w:pStyle w:val="260"/>
        <w:ind w:left="0" w:firstLine="0"/>
        <w:rPr>
          <w:szCs w:val="20"/>
        </w:rPr>
      </w:pPr>
      <w:bookmarkStart w:id="140" w:name="_Toc180511551"/>
      <w:r>
        <w:rPr>
          <w:szCs w:val="20"/>
        </w:rPr>
        <w:t>法兰或其它紧固件上的密封试验</w:t>
      </w:r>
      <w:bookmarkEnd w:id="140"/>
    </w:p>
    <w:p>
      <w:pPr>
        <w:pStyle w:val="258"/>
        <w:ind w:firstLine="420"/>
        <w:rPr>
          <w:rFonts w:ascii="Times New Roman"/>
        </w:rPr>
      </w:pPr>
      <w:r>
        <w:rPr>
          <w:rFonts w:hint="eastAsia" w:ascii="Times New Roman"/>
        </w:rPr>
        <w:t>试验方法和接收准则参考</w:t>
      </w:r>
      <w:r>
        <w:rPr>
          <w:rFonts w:ascii="Times New Roman"/>
        </w:rPr>
        <w:t>GB/T 4109</w:t>
      </w:r>
      <w:r>
        <w:rPr>
          <w:rFonts w:hint="eastAsia" w:ascii="Times New Roman"/>
        </w:rPr>
        <w:t>—2022的9.10。</w:t>
      </w:r>
    </w:p>
    <w:p>
      <w:pPr>
        <w:pStyle w:val="260"/>
        <w:ind w:left="0" w:firstLine="0"/>
        <w:rPr>
          <w:szCs w:val="20"/>
        </w:rPr>
      </w:pPr>
      <w:bookmarkStart w:id="141" w:name="_Toc180511552"/>
      <w:bookmarkStart w:id="142" w:name="_Toc475093030"/>
      <w:r>
        <w:rPr>
          <w:rFonts w:hint="eastAsia"/>
          <w:szCs w:val="20"/>
        </w:rPr>
        <w:t>绝缘电阻测量</w:t>
      </w:r>
      <w:bookmarkEnd w:id="141"/>
      <w:bookmarkEnd w:id="142"/>
    </w:p>
    <w:p>
      <w:pPr>
        <w:pStyle w:val="258"/>
        <w:ind w:firstLine="420"/>
        <w:rPr>
          <w:rFonts w:ascii="Times New Roman"/>
        </w:rPr>
      </w:pPr>
      <w:r>
        <w:rPr>
          <w:rFonts w:hint="eastAsia" w:ascii="Times New Roman"/>
          <w:szCs w:val="24"/>
        </w:rPr>
        <w:t>现场交接试验时，</w:t>
      </w:r>
      <w:r>
        <w:rPr>
          <w:rFonts w:hint="eastAsia" w:ascii="Times New Roman"/>
        </w:rPr>
        <w:t>应对套管主绝缘和试验抽头对地的绝缘电阻进行测量，要求如下：</w:t>
      </w:r>
    </w:p>
    <w:p>
      <w:pPr>
        <w:numPr>
          <w:ilvl w:val="0"/>
          <w:numId w:val="32"/>
        </w:numPr>
        <w:ind w:left="705" w:leftChars="203" w:hanging="279" w:hangingChars="133"/>
        <w:rPr>
          <w:szCs w:val="20"/>
        </w:rPr>
      </w:pPr>
      <w:r>
        <w:rPr>
          <w:szCs w:val="20"/>
        </w:rPr>
        <w:t>测量主绝缘的绝缘电阻，应使用5 000 V或2 500 V兆欧表，其绝缘电阻值应不低于10 000 MΩ；</w:t>
      </w:r>
    </w:p>
    <w:p>
      <w:pPr>
        <w:numPr>
          <w:ilvl w:val="0"/>
          <w:numId w:val="32"/>
        </w:numPr>
        <w:ind w:left="705" w:leftChars="203" w:hanging="279" w:hangingChars="133"/>
        <w:rPr>
          <w:szCs w:val="20"/>
        </w:rPr>
      </w:pPr>
      <w:r>
        <w:rPr>
          <w:szCs w:val="20"/>
        </w:rPr>
        <w:t>测量试验抽头对地的绝缘电阻，应使用2 500 V兆欧表，其绝缘电阻值应不低于1 000 MΩ。</w:t>
      </w:r>
    </w:p>
    <w:p>
      <w:pPr>
        <w:pStyle w:val="260"/>
        <w:ind w:left="0" w:firstLine="0"/>
        <w:rPr>
          <w:szCs w:val="20"/>
        </w:rPr>
      </w:pPr>
      <w:bookmarkStart w:id="143" w:name="_Toc475093031"/>
      <w:bookmarkStart w:id="144" w:name="_Toc180511553"/>
      <w:r>
        <w:rPr>
          <w:rFonts w:hint="eastAsia"/>
          <w:szCs w:val="20"/>
        </w:rPr>
        <w:t>10kV电压下套管主绝缘的</w:t>
      </w:r>
      <w:r>
        <w:rPr>
          <w:rFonts w:ascii="Times New Roman"/>
          <w:szCs w:val="20"/>
        </w:rPr>
        <w:t>tanδ</w:t>
      </w:r>
      <w:r>
        <w:rPr>
          <w:rFonts w:hint="eastAsia"/>
          <w:szCs w:val="20"/>
        </w:rPr>
        <w:t>和电容量测量</w:t>
      </w:r>
      <w:bookmarkEnd w:id="143"/>
      <w:bookmarkEnd w:id="144"/>
    </w:p>
    <w:p>
      <w:pPr>
        <w:autoSpaceDE w:val="0"/>
        <w:autoSpaceDN w:val="0"/>
        <w:adjustRightInd w:val="0"/>
        <w:snapToGrid w:val="0"/>
        <w:ind w:firstLine="420" w:firstLineChars="200"/>
        <w:jc w:val="left"/>
      </w:pPr>
      <w:r>
        <w:rPr>
          <w:rFonts w:hint="eastAsia"/>
        </w:rPr>
        <w:t>现场交接试验时，应对套管主绝缘的tan</w:t>
      </w:r>
      <w:r>
        <w:rPr>
          <w:i/>
        </w:rPr>
        <w:t>δ</w:t>
      </w:r>
      <w:r>
        <w:rPr>
          <w:rFonts w:hint="eastAsia"/>
        </w:rPr>
        <w:t>和电容量进行测量，要求如下：</w:t>
      </w:r>
    </w:p>
    <w:p>
      <w:pPr>
        <w:numPr>
          <w:ilvl w:val="0"/>
          <w:numId w:val="33"/>
        </w:numPr>
        <w:ind w:left="705" w:leftChars="203" w:hanging="279" w:hangingChars="133"/>
        <w:rPr>
          <w:szCs w:val="20"/>
        </w:rPr>
      </w:pPr>
      <w:r>
        <w:rPr>
          <w:rFonts w:hint="eastAsia"/>
          <w:szCs w:val="20"/>
        </w:rPr>
        <w:t>安装前后，测量变压器类套管主绝缘的tan</w:t>
      </w:r>
      <w:r>
        <w:rPr>
          <w:i/>
          <w:iCs/>
          <w:szCs w:val="20"/>
        </w:rPr>
        <w:t>δ</w:t>
      </w:r>
      <w:r>
        <w:rPr>
          <w:rFonts w:hint="eastAsia"/>
          <w:szCs w:val="20"/>
        </w:rPr>
        <w:t>和电容量的试验电压为10 kV；</w:t>
      </w:r>
    </w:p>
    <w:p>
      <w:pPr>
        <w:numPr>
          <w:ilvl w:val="0"/>
          <w:numId w:val="33"/>
        </w:numPr>
        <w:ind w:left="705" w:leftChars="203" w:hanging="279" w:hangingChars="133"/>
        <w:rPr>
          <w:szCs w:val="20"/>
        </w:rPr>
      </w:pPr>
      <w:r>
        <w:rPr>
          <w:rFonts w:hint="eastAsia"/>
          <w:szCs w:val="20"/>
        </w:rPr>
        <w:t>油浸纸绝缘套管的实测电容值与产品铭牌数值相比，其差值应小于±5%。</w:t>
      </w:r>
    </w:p>
    <w:p>
      <w:pPr>
        <w:pStyle w:val="260"/>
        <w:ind w:left="0" w:firstLine="0"/>
      </w:pPr>
      <w:bookmarkStart w:id="145" w:name="_Toc475093032"/>
      <w:bookmarkStart w:id="146" w:name="_Toc180511554"/>
      <w:r>
        <w:rPr>
          <w:rFonts w:hint="eastAsia"/>
        </w:rPr>
        <w:t>试验抽头对地的</w:t>
      </w:r>
      <w:r>
        <w:rPr>
          <w:rFonts w:ascii="Times New Roman"/>
        </w:rPr>
        <w:t>tanδ</w:t>
      </w:r>
      <w:r>
        <w:rPr>
          <w:rFonts w:hint="eastAsia"/>
        </w:rPr>
        <w:t>测量</w:t>
      </w:r>
      <w:bookmarkEnd w:id="145"/>
      <w:bookmarkEnd w:id="146"/>
    </w:p>
    <w:p>
      <w:pPr>
        <w:autoSpaceDE w:val="0"/>
        <w:autoSpaceDN w:val="0"/>
        <w:adjustRightInd w:val="0"/>
        <w:snapToGrid w:val="0"/>
        <w:ind w:firstLine="420" w:firstLineChars="200"/>
        <w:jc w:val="left"/>
      </w:pPr>
      <w:r>
        <w:rPr>
          <w:rFonts w:hint="eastAsia"/>
        </w:rPr>
        <w:t>现场交接试验时，套管试验抽头对地的tan</w:t>
      </w:r>
      <w:r>
        <w:rPr>
          <w:i/>
        </w:rPr>
        <w:t>δ</w:t>
      </w:r>
      <w:r>
        <w:rPr>
          <w:rFonts w:hint="eastAsia"/>
        </w:rPr>
        <w:t>的要求如下：</w:t>
      </w:r>
    </w:p>
    <w:p>
      <w:pPr>
        <w:numPr>
          <w:ilvl w:val="0"/>
          <w:numId w:val="34"/>
        </w:numPr>
        <w:ind w:left="705" w:leftChars="203" w:hanging="279" w:hangingChars="133"/>
        <w:rPr>
          <w:szCs w:val="20"/>
        </w:rPr>
      </w:pPr>
      <w:r>
        <w:rPr>
          <w:rFonts w:hint="eastAsia"/>
          <w:szCs w:val="20"/>
        </w:rPr>
        <w:t>测量试验抽头对地的tan</w:t>
      </w:r>
      <w:r>
        <w:rPr>
          <w:i/>
          <w:iCs/>
          <w:szCs w:val="20"/>
        </w:rPr>
        <w:t>δ</w:t>
      </w:r>
      <w:r>
        <w:rPr>
          <w:rFonts w:hint="eastAsia"/>
          <w:szCs w:val="20"/>
        </w:rPr>
        <w:t>时，试验电压为2 kV；</w:t>
      </w:r>
    </w:p>
    <w:p>
      <w:pPr>
        <w:numPr>
          <w:ilvl w:val="0"/>
          <w:numId w:val="34"/>
        </w:numPr>
        <w:ind w:left="705" w:leftChars="203" w:hanging="279" w:hangingChars="133"/>
        <w:rPr>
          <w:szCs w:val="20"/>
        </w:rPr>
      </w:pPr>
      <w:r>
        <w:rPr>
          <w:rFonts w:hint="eastAsia"/>
          <w:szCs w:val="20"/>
        </w:rPr>
        <w:t>试验抽头对地的tan</w:t>
      </w:r>
      <w:r>
        <w:rPr>
          <w:i/>
          <w:iCs/>
          <w:szCs w:val="20"/>
        </w:rPr>
        <w:t>δ</w:t>
      </w:r>
      <w:r>
        <w:rPr>
          <w:rFonts w:hint="eastAsia"/>
          <w:szCs w:val="20"/>
        </w:rPr>
        <w:t>应符合产品技术规范的要求。</w:t>
      </w:r>
    </w:p>
    <w:p>
      <w:pPr>
        <w:pStyle w:val="259"/>
        <w:ind w:left="420" w:hanging="420"/>
      </w:pPr>
      <w:bookmarkStart w:id="147" w:name="_Toc475093035"/>
      <w:bookmarkStart w:id="148" w:name="_Toc129097062"/>
      <w:bookmarkStart w:id="149" w:name="_Toc180511555"/>
      <w:bookmarkStart w:id="150" w:name="_Toc447198855"/>
      <w:r>
        <w:rPr>
          <w:rFonts w:hint="eastAsia"/>
        </w:rPr>
        <w:t>运输、存放、安装、运行和维护规则</w:t>
      </w:r>
      <w:bookmarkEnd w:id="147"/>
      <w:bookmarkEnd w:id="148"/>
      <w:bookmarkEnd w:id="149"/>
      <w:bookmarkEnd w:id="150"/>
    </w:p>
    <w:p>
      <w:pPr>
        <w:pStyle w:val="260"/>
        <w:ind w:left="0" w:firstLine="0"/>
        <w:rPr>
          <w:rFonts w:hint="eastAsia" w:hAnsi="宋体"/>
        </w:rPr>
      </w:pPr>
      <w:bookmarkStart w:id="151" w:name="_Toc180511556"/>
      <w:bookmarkStart w:id="152" w:name="_Toc129097063"/>
      <w:r>
        <w:rPr>
          <w:rFonts w:hint="eastAsia"/>
          <w:szCs w:val="20"/>
        </w:rPr>
        <w:t>一般要求</w:t>
      </w:r>
      <w:bookmarkEnd w:id="151"/>
      <w:bookmarkEnd w:id="152"/>
    </w:p>
    <w:p>
      <w:pPr>
        <w:autoSpaceDE w:val="0"/>
        <w:autoSpaceDN w:val="0"/>
        <w:adjustRightInd w:val="0"/>
        <w:snapToGrid w:val="0"/>
        <w:ind w:firstLine="420" w:firstLineChars="200"/>
        <w:jc w:val="left"/>
        <w:rPr>
          <w:kern w:val="0"/>
          <w:szCs w:val="20"/>
        </w:rPr>
      </w:pPr>
      <w:r>
        <w:rPr>
          <w:rFonts w:hint="eastAsia"/>
          <w:kern w:val="0"/>
          <w:szCs w:val="20"/>
        </w:rPr>
        <w:t>套管的运输、存放、安装、运行和维护都应按照供方提供的说明书来执行。</w:t>
      </w:r>
    </w:p>
    <w:p>
      <w:pPr>
        <w:autoSpaceDE w:val="0"/>
        <w:autoSpaceDN w:val="0"/>
        <w:adjustRightInd w:val="0"/>
        <w:snapToGrid w:val="0"/>
        <w:ind w:firstLine="420" w:firstLineChars="200"/>
        <w:jc w:val="left"/>
        <w:rPr>
          <w:kern w:val="0"/>
          <w:szCs w:val="20"/>
        </w:rPr>
      </w:pPr>
      <w:r>
        <w:rPr>
          <w:rFonts w:hint="eastAsia"/>
          <w:kern w:val="0"/>
          <w:szCs w:val="20"/>
        </w:rPr>
        <w:t>因此，供货商应提供套管的运输、存放、安装、运行和维护的说明书。运输和存放的说明书应在供货之前提供，而安装、运行和维护说明书最迟应在供货时提供。</w:t>
      </w:r>
    </w:p>
    <w:p>
      <w:pPr>
        <w:autoSpaceDE w:val="0"/>
        <w:autoSpaceDN w:val="0"/>
        <w:adjustRightInd w:val="0"/>
        <w:snapToGrid w:val="0"/>
        <w:ind w:firstLine="420" w:firstLineChars="200"/>
        <w:jc w:val="left"/>
        <w:rPr>
          <w:kern w:val="0"/>
        </w:rPr>
      </w:pPr>
      <w:r>
        <w:rPr>
          <w:rFonts w:hint="eastAsia"/>
          <w:kern w:val="0"/>
        </w:rPr>
        <w:t>对不同类型套管的安装、运行和维护规则不作详细要求，但是供货商提供的说明书必须包含以下给出的重要信息。</w:t>
      </w:r>
    </w:p>
    <w:p>
      <w:pPr>
        <w:pStyle w:val="260"/>
        <w:ind w:left="0" w:firstLine="0"/>
        <w:rPr>
          <w:rFonts w:hint="eastAsia" w:hAnsi="宋体"/>
        </w:rPr>
      </w:pPr>
      <w:bookmarkStart w:id="153" w:name="_Toc152741708"/>
      <w:bookmarkStart w:id="154" w:name="_Toc475093036"/>
      <w:bookmarkStart w:id="155" w:name="_Toc180511557"/>
      <w:bookmarkStart w:id="156" w:name="_Toc129097064"/>
      <w:r>
        <w:rPr>
          <w:rFonts w:hint="eastAsia"/>
          <w:szCs w:val="20"/>
        </w:rPr>
        <w:t>运输、存放和安装要求</w:t>
      </w:r>
      <w:bookmarkEnd w:id="153"/>
      <w:bookmarkEnd w:id="154"/>
      <w:bookmarkEnd w:id="155"/>
      <w:bookmarkEnd w:id="156"/>
    </w:p>
    <w:p>
      <w:pPr>
        <w:autoSpaceDE w:val="0"/>
        <w:autoSpaceDN w:val="0"/>
        <w:adjustRightInd w:val="0"/>
        <w:snapToGrid w:val="0"/>
        <w:ind w:firstLine="420" w:firstLineChars="200"/>
        <w:jc w:val="left"/>
        <w:rPr>
          <w:kern w:val="0"/>
          <w:szCs w:val="20"/>
        </w:rPr>
      </w:pPr>
      <w:r>
        <w:rPr>
          <w:rFonts w:hint="eastAsia"/>
          <w:kern w:val="0"/>
          <w:szCs w:val="20"/>
        </w:rPr>
        <w:t>如果在订单中规定了维护条件，但对运输和存放没有要求，那么供需双方应做专门的协定。特别是在运输、存放和安装过程中不能破坏绝缘性能，在加压之前，防止产品受潮，例如要防止雨水、积雪和凝露。应当考虑在运输过程中的震动，必要时应给出说明书。</w:t>
      </w:r>
    </w:p>
    <w:p>
      <w:pPr>
        <w:autoSpaceDE w:val="0"/>
        <w:autoSpaceDN w:val="0"/>
        <w:adjustRightInd w:val="0"/>
        <w:snapToGrid w:val="0"/>
        <w:ind w:firstLine="420" w:firstLineChars="200"/>
        <w:jc w:val="left"/>
        <w:rPr>
          <w:kern w:val="0"/>
          <w:szCs w:val="20"/>
        </w:rPr>
      </w:pPr>
      <w:r>
        <w:rPr>
          <w:rFonts w:hint="eastAsia"/>
          <w:kern w:val="0"/>
          <w:szCs w:val="20"/>
        </w:rPr>
        <w:t>运输中必要时应在套管本体上加装加速度监测装置。</w:t>
      </w:r>
    </w:p>
    <w:p>
      <w:pPr>
        <w:pStyle w:val="260"/>
        <w:ind w:left="0" w:firstLine="0"/>
        <w:rPr>
          <w:szCs w:val="20"/>
        </w:rPr>
      </w:pPr>
      <w:bookmarkStart w:id="157" w:name="_Toc152741709"/>
      <w:bookmarkStart w:id="158" w:name="_Toc475093037"/>
      <w:bookmarkStart w:id="159" w:name="_Toc129097065"/>
      <w:bookmarkStart w:id="160" w:name="_Toc180511558"/>
      <w:r>
        <w:rPr>
          <w:rFonts w:hint="eastAsia"/>
          <w:szCs w:val="20"/>
        </w:rPr>
        <w:t>安装说明</w:t>
      </w:r>
      <w:bookmarkEnd w:id="157"/>
      <w:bookmarkEnd w:id="158"/>
      <w:bookmarkEnd w:id="159"/>
      <w:bookmarkEnd w:id="160"/>
    </w:p>
    <w:p>
      <w:pPr>
        <w:autoSpaceDE w:val="0"/>
        <w:autoSpaceDN w:val="0"/>
        <w:adjustRightInd w:val="0"/>
        <w:snapToGrid w:val="0"/>
        <w:ind w:firstLine="420" w:firstLineChars="200"/>
        <w:jc w:val="left"/>
        <w:rPr>
          <w:rFonts w:hint="eastAsia" w:ascii="黑体" w:hAnsi="宋体" w:eastAsia="黑体"/>
          <w:szCs w:val="21"/>
        </w:rPr>
      </w:pPr>
      <w:r>
        <w:rPr>
          <w:rFonts w:hint="eastAsia"/>
        </w:rPr>
        <w:t>供方提供的不同类型套管的说明书都应至少包括以下内容。</w:t>
      </w:r>
    </w:p>
    <w:p>
      <w:pPr>
        <w:pStyle w:val="260"/>
        <w:ind w:left="0" w:firstLine="0"/>
        <w:rPr>
          <w:rFonts w:hint="eastAsia" w:hAnsi="宋体"/>
        </w:rPr>
      </w:pPr>
      <w:bookmarkStart w:id="161" w:name="_Toc129097066"/>
      <w:bookmarkStart w:id="162" w:name="_Toc152741710"/>
      <w:bookmarkStart w:id="163" w:name="_Toc475093038"/>
      <w:bookmarkStart w:id="164" w:name="_Toc180511559"/>
      <w:r>
        <w:rPr>
          <w:rFonts w:hint="eastAsia"/>
          <w:szCs w:val="20"/>
        </w:rPr>
        <w:t>拆装与吊装</w:t>
      </w:r>
      <w:bookmarkEnd w:id="161"/>
      <w:bookmarkEnd w:id="162"/>
      <w:bookmarkEnd w:id="163"/>
      <w:bookmarkEnd w:id="164"/>
    </w:p>
    <w:p>
      <w:pPr>
        <w:autoSpaceDE w:val="0"/>
        <w:autoSpaceDN w:val="0"/>
        <w:adjustRightInd w:val="0"/>
        <w:snapToGrid w:val="0"/>
        <w:ind w:firstLine="420" w:firstLineChars="200"/>
        <w:jc w:val="left"/>
      </w:pPr>
      <w:r>
        <w:rPr>
          <w:rFonts w:hint="eastAsia"/>
        </w:rPr>
        <w:t>提供安全拆装和吊装所必需的信息，包括详细的吊装步骤和必要的设备。</w:t>
      </w:r>
    </w:p>
    <w:p>
      <w:pPr>
        <w:autoSpaceDE w:val="0"/>
        <w:autoSpaceDN w:val="0"/>
        <w:adjustRightInd w:val="0"/>
        <w:snapToGrid w:val="0"/>
        <w:ind w:firstLine="420" w:firstLineChars="200"/>
        <w:jc w:val="left"/>
      </w:pPr>
      <w:r>
        <w:rPr>
          <w:rFonts w:hint="eastAsia"/>
        </w:rPr>
        <w:t>在套管运抵目的地后，安装前应按供方提供的说明书检验清楚。</w:t>
      </w:r>
    </w:p>
    <w:p>
      <w:pPr>
        <w:pStyle w:val="260"/>
        <w:ind w:left="0" w:firstLine="0"/>
        <w:rPr>
          <w:rFonts w:hint="eastAsia" w:hAnsi="宋体"/>
        </w:rPr>
      </w:pPr>
      <w:bookmarkStart w:id="165" w:name="_Toc180511560"/>
      <w:bookmarkStart w:id="166" w:name="_Toc129097067"/>
      <w:bookmarkStart w:id="167" w:name="_Toc475093039"/>
      <w:bookmarkStart w:id="168" w:name="_Toc152741711"/>
      <w:r>
        <w:rPr>
          <w:rFonts w:hint="eastAsia"/>
          <w:szCs w:val="20"/>
        </w:rPr>
        <w:t>组装</w:t>
      </w:r>
      <w:bookmarkEnd w:id="165"/>
      <w:bookmarkEnd w:id="166"/>
      <w:bookmarkEnd w:id="167"/>
      <w:bookmarkEnd w:id="168"/>
    </w:p>
    <w:p>
      <w:pPr>
        <w:pStyle w:val="261"/>
        <w:spacing w:before="156" w:after="156"/>
        <w:rPr>
          <w:rFonts w:hint="eastAsia" w:hAnsi="宋体"/>
        </w:rPr>
      </w:pPr>
      <w:r>
        <w:rPr>
          <w:rFonts w:hint="eastAsia"/>
          <w:szCs w:val="20"/>
        </w:rPr>
        <w:t>标识和图纸</w:t>
      </w:r>
    </w:p>
    <w:p>
      <w:pPr>
        <w:autoSpaceDE w:val="0"/>
        <w:autoSpaceDN w:val="0"/>
        <w:adjustRightInd w:val="0"/>
        <w:snapToGrid w:val="0"/>
        <w:ind w:firstLine="420" w:firstLineChars="200"/>
        <w:jc w:val="left"/>
      </w:pPr>
      <w:r>
        <w:rPr>
          <w:rFonts w:hint="eastAsia"/>
        </w:rPr>
        <w:t>当套管不是组装好后运输的，则运输的零部件必须标识清楚。总装图中必须标清各个零部件的位置。</w:t>
      </w:r>
    </w:p>
    <w:p>
      <w:pPr>
        <w:pStyle w:val="261"/>
        <w:spacing w:before="156" w:after="156"/>
        <w:rPr>
          <w:rFonts w:hint="eastAsia" w:hAnsi="宋体"/>
        </w:rPr>
      </w:pPr>
      <w:r>
        <w:rPr>
          <w:rFonts w:hint="eastAsia"/>
          <w:szCs w:val="20"/>
        </w:rPr>
        <w:t>安装说明</w:t>
      </w:r>
    </w:p>
    <w:p>
      <w:pPr>
        <w:autoSpaceDE w:val="0"/>
        <w:autoSpaceDN w:val="0"/>
        <w:adjustRightInd w:val="0"/>
        <w:snapToGrid w:val="0"/>
        <w:ind w:firstLine="420" w:firstLineChars="200"/>
        <w:jc w:val="left"/>
      </w:pPr>
      <w:r>
        <w:rPr>
          <w:rFonts w:hint="eastAsia"/>
        </w:rPr>
        <w:t>安装说明中应指出以下内容：</w:t>
      </w:r>
    </w:p>
    <w:p>
      <w:pPr>
        <w:autoSpaceDE w:val="0"/>
        <w:autoSpaceDN w:val="0"/>
        <w:adjustRightInd w:val="0"/>
        <w:snapToGrid w:val="0"/>
        <w:ind w:firstLine="420" w:firstLineChars="200"/>
        <w:jc w:val="left"/>
      </w:pPr>
      <w:r>
        <w:rPr>
          <w:rFonts w:hint="eastAsia"/>
        </w:rPr>
        <w:t>a）套管的重量；</w:t>
      </w:r>
    </w:p>
    <w:p>
      <w:pPr>
        <w:autoSpaceDE w:val="0"/>
        <w:autoSpaceDN w:val="0"/>
        <w:adjustRightInd w:val="0"/>
        <w:snapToGrid w:val="0"/>
        <w:ind w:firstLine="420" w:firstLineChars="200"/>
        <w:jc w:val="left"/>
      </w:pPr>
      <w:r>
        <w:rPr>
          <w:rFonts w:hint="eastAsia"/>
        </w:rPr>
        <w:t>b）套管的重量（或者是将要安装的最重的零部件）是否超过100 kg；</w:t>
      </w:r>
    </w:p>
    <w:p>
      <w:pPr>
        <w:autoSpaceDE w:val="0"/>
        <w:autoSpaceDN w:val="0"/>
        <w:adjustRightInd w:val="0"/>
        <w:snapToGrid w:val="0"/>
        <w:ind w:firstLine="420" w:firstLineChars="200"/>
        <w:jc w:val="left"/>
      </w:pPr>
      <w:r>
        <w:rPr>
          <w:rFonts w:hint="eastAsia"/>
        </w:rPr>
        <w:t>c）重心位置。</w:t>
      </w:r>
    </w:p>
    <w:p>
      <w:pPr>
        <w:pStyle w:val="261"/>
        <w:spacing w:before="156" w:after="156"/>
        <w:rPr>
          <w:rFonts w:hint="eastAsia" w:hAnsi="宋体"/>
        </w:rPr>
      </w:pPr>
      <w:r>
        <w:rPr>
          <w:rFonts w:hint="eastAsia"/>
          <w:szCs w:val="20"/>
        </w:rPr>
        <w:t>连接说明</w:t>
      </w:r>
    </w:p>
    <w:p>
      <w:pPr>
        <w:autoSpaceDE w:val="0"/>
        <w:autoSpaceDN w:val="0"/>
        <w:adjustRightInd w:val="0"/>
        <w:snapToGrid w:val="0"/>
        <w:ind w:firstLine="420" w:firstLineChars="200"/>
        <w:jc w:val="left"/>
      </w:pPr>
      <w:r>
        <w:rPr>
          <w:rFonts w:hint="eastAsia"/>
        </w:rPr>
        <w:t>说明书中应包含以下信息：</w:t>
      </w:r>
    </w:p>
    <w:p>
      <w:pPr>
        <w:autoSpaceDE w:val="0"/>
        <w:autoSpaceDN w:val="0"/>
        <w:adjustRightInd w:val="0"/>
        <w:snapToGrid w:val="0"/>
        <w:ind w:firstLine="420" w:firstLineChars="200"/>
        <w:jc w:val="left"/>
      </w:pPr>
      <w:r>
        <w:rPr>
          <w:rFonts w:hint="eastAsia"/>
        </w:rPr>
        <w:t>a）在连接导体时应注意防止套管过热和不必要的损伤，留出足够的间距；</w:t>
      </w:r>
    </w:p>
    <w:p>
      <w:pPr>
        <w:autoSpaceDE w:val="0"/>
        <w:autoSpaceDN w:val="0"/>
        <w:adjustRightInd w:val="0"/>
        <w:snapToGrid w:val="0"/>
        <w:ind w:firstLine="420" w:firstLineChars="200"/>
        <w:jc w:val="left"/>
      </w:pPr>
      <w:r>
        <w:rPr>
          <w:rFonts w:hint="eastAsia"/>
        </w:rPr>
        <w:t>b）所有辅助电路的连接；</w:t>
      </w:r>
    </w:p>
    <w:p>
      <w:pPr>
        <w:autoSpaceDE w:val="0"/>
        <w:autoSpaceDN w:val="0"/>
        <w:adjustRightInd w:val="0"/>
        <w:snapToGrid w:val="0"/>
        <w:ind w:firstLine="420" w:firstLineChars="200"/>
        <w:jc w:val="left"/>
      </w:pPr>
      <w:r>
        <w:rPr>
          <w:rFonts w:hint="eastAsia"/>
        </w:rPr>
        <w:t>c）接地。</w:t>
      </w:r>
    </w:p>
    <w:p>
      <w:pPr>
        <w:pStyle w:val="261"/>
        <w:spacing w:before="156" w:after="156"/>
        <w:rPr>
          <w:szCs w:val="20"/>
        </w:rPr>
      </w:pPr>
      <w:r>
        <w:rPr>
          <w:rFonts w:hint="eastAsia"/>
          <w:szCs w:val="20"/>
        </w:rPr>
        <w:t>最终安装检查</w:t>
      </w:r>
    </w:p>
    <w:p>
      <w:pPr>
        <w:autoSpaceDE w:val="0"/>
        <w:autoSpaceDN w:val="0"/>
        <w:adjustRightInd w:val="0"/>
        <w:snapToGrid w:val="0"/>
        <w:ind w:firstLine="420" w:firstLineChars="200"/>
        <w:jc w:val="left"/>
      </w:pPr>
      <w:r>
        <w:rPr>
          <w:rFonts w:hint="eastAsia"/>
        </w:rPr>
        <w:t>应提供在套管安装和连接完毕后进行检查和测试的说明书。</w:t>
      </w:r>
    </w:p>
    <w:p>
      <w:pPr>
        <w:autoSpaceDE w:val="0"/>
        <w:autoSpaceDN w:val="0"/>
        <w:adjustRightInd w:val="0"/>
        <w:snapToGrid w:val="0"/>
        <w:ind w:firstLine="420" w:firstLineChars="200"/>
        <w:jc w:val="left"/>
      </w:pPr>
      <w:r>
        <w:rPr>
          <w:rFonts w:hint="eastAsia"/>
        </w:rPr>
        <w:t>说明书中的信息应包括以下内容：</w:t>
      </w:r>
    </w:p>
    <w:p>
      <w:pPr>
        <w:autoSpaceDE w:val="0"/>
        <w:autoSpaceDN w:val="0"/>
        <w:adjustRightInd w:val="0"/>
        <w:snapToGrid w:val="0"/>
        <w:ind w:firstLine="420" w:firstLineChars="200"/>
        <w:jc w:val="left"/>
      </w:pPr>
      <w:r>
        <w:rPr>
          <w:rFonts w:hint="eastAsia"/>
        </w:rPr>
        <w:t>a）正常运转设定的测试计划表；</w:t>
      </w:r>
    </w:p>
    <w:p>
      <w:pPr>
        <w:autoSpaceDE w:val="0"/>
        <w:autoSpaceDN w:val="0"/>
        <w:adjustRightInd w:val="0"/>
        <w:snapToGrid w:val="0"/>
        <w:ind w:firstLine="420" w:firstLineChars="200"/>
        <w:jc w:val="left"/>
      </w:pPr>
      <w:r>
        <w:rPr>
          <w:rFonts w:hint="eastAsia"/>
        </w:rPr>
        <w:t>b）执行所有能使套管正常运转的调节程序；</w:t>
      </w:r>
    </w:p>
    <w:p>
      <w:pPr>
        <w:autoSpaceDE w:val="0"/>
        <w:autoSpaceDN w:val="0"/>
        <w:adjustRightInd w:val="0"/>
        <w:snapToGrid w:val="0"/>
        <w:ind w:firstLine="420" w:firstLineChars="200"/>
        <w:jc w:val="left"/>
      </w:pPr>
      <w:r>
        <w:rPr>
          <w:rFonts w:hint="eastAsia"/>
        </w:rPr>
        <w:t>c）提供一些帮助设备运行中的维护建议；</w:t>
      </w:r>
    </w:p>
    <w:p>
      <w:pPr>
        <w:autoSpaceDE w:val="0"/>
        <w:autoSpaceDN w:val="0"/>
        <w:adjustRightInd w:val="0"/>
        <w:snapToGrid w:val="0"/>
        <w:ind w:firstLine="420" w:firstLineChars="200"/>
        <w:jc w:val="left"/>
      </w:pPr>
      <w:r>
        <w:rPr>
          <w:rFonts w:hint="eastAsia"/>
        </w:rPr>
        <w:t>d）最终检查和投入运行的说明书。</w:t>
      </w:r>
    </w:p>
    <w:p>
      <w:pPr>
        <w:autoSpaceDE w:val="0"/>
        <w:autoSpaceDN w:val="0"/>
        <w:adjustRightInd w:val="0"/>
        <w:snapToGrid w:val="0"/>
        <w:ind w:firstLine="420" w:firstLineChars="200"/>
        <w:jc w:val="left"/>
      </w:pPr>
      <w:r>
        <w:rPr>
          <w:rFonts w:hint="eastAsia"/>
        </w:rPr>
        <w:t>测试和检查结果应记录于投运报告中。</w:t>
      </w:r>
    </w:p>
    <w:p>
      <w:pPr>
        <w:pStyle w:val="258"/>
        <w:ind w:firstLine="420"/>
        <w:rPr>
          <w:rFonts w:ascii="Times New Roman"/>
        </w:rPr>
      </w:pPr>
    </w:p>
    <w:p>
      <w:pPr>
        <w:pStyle w:val="258"/>
        <w:ind w:firstLine="420"/>
        <w:rPr>
          <w:rFonts w:ascii="Times New Roman" w:eastAsiaTheme="minorEastAsia"/>
          <w:szCs w:val="21"/>
        </w:rPr>
      </w:pPr>
    </w:p>
    <w:p>
      <w:pPr>
        <w:pStyle w:val="258"/>
        <w:ind w:firstLineChars="95"/>
        <w:jc w:val="center"/>
        <w:rPr>
          <w:rFonts w:hint="eastAsia" w:ascii="黑体" w:hAnsi="黑体" w:eastAsia="黑体"/>
          <w:b/>
        </w:rPr>
      </w:pPr>
      <w:r>
        <w:rPr>
          <w:rFonts w:hint="eastAsia" w:ascii="黑体" w:hAnsi="黑体" w:eastAsia="黑体"/>
          <w:b/>
        </w:rPr>
        <w:t>━━━━━━━━━━━</w:t>
      </w:r>
    </w:p>
    <w:p/>
    <w:p>
      <w:pPr>
        <w:pStyle w:val="349"/>
        <w:rPr>
          <w:color w:val="auto"/>
        </w:rPr>
      </w:pPr>
    </w:p>
    <w:p>
      <w:pPr>
        <w:pStyle w:val="350"/>
        <w:rPr>
          <w:color w:val="auto"/>
        </w:rPr>
      </w:pPr>
    </w:p>
    <w:sectPr>
      <w:pgSz w:w="11907" w:h="16839"/>
      <w:pgMar w:top="1417" w:right="1134" w:bottom="1134" w:left="1417"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altName w:val="Yu Gothic UI Semibold"/>
    <w:panose1 w:val="020B0903060703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Yu Gothic UI Semibold">
    <w:panose1 w:val="020B07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p>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p>
    <w:pPr>
      <w:pStyle w:val="252"/>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rPr>
        <w:rFonts w:hint="eastAsia"/>
      </w:rPr>
      <w:t>T/CSEE</w:t>
    </w:r>
    <w:r>
      <w:t xml:space="preserve"> </w:t>
    </w:r>
    <w:r>
      <w:rPr>
        <w:rFonts w:hint="eastAsia"/>
      </w:rPr>
      <w:t>XX</w:t>
    </w:r>
    <w:r>
      <w:t>—202X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Bdr>
        <w:bottom w:val="none" w:color="auto" w:sz="0" w:space="0"/>
      </w:pBdr>
      <w:snapToGrid/>
      <w:jc w:val="left"/>
      <w:rPr>
        <w:rFonts w:ascii="黑体" w:eastAsia="黑体"/>
        <w:bCs/>
        <w:kern w:val="0"/>
        <w:sz w:val="21"/>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80DDA"/>
    <w:multiLevelType w:val="singleLevel"/>
    <w:tmpl w:val="B9880DDA"/>
    <w:lvl w:ilvl="0" w:tentative="0">
      <w:start w:val="1"/>
      <w:numFmt w:val="lowerLetter"/>
      <w:lvlText w:val="%1)"/>
      <w:lvlJc w:val="left"/>
      <w:pPr>
        <w:ind w:left="839" w:hanging="419"/>
      </w:pPr>
      <w:rPr>
        <w:rFonts w:hint="default"/>
      </w:rPr>
    </w:lvl>
  </w:abstractNum>
  <w:abstractNum w:abstractNumId="1">
    <w:nsid w:val="C5F9F18B"/>
    <w:multiLevelType w:val="multilevel"/>
    <w:tmpl w:val="C5F9F18B"/>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hanging="710"/>
      </w:pP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u w:val="none"/>
        <w:vertAlign w:val="baseline"/>
        <w14:textFill>
          <w14:solidFill>
            <w14:schemeClr w14:val="tx1"/>
          </w14:solidFill>
        </w14:textFill>
      </w:rPr>
    </w:lvl>
    <w:lvl w:ilvl="2" w:tentative="0">
      <w:start w:val="1"/>
      <w:numFmt w:val="decimal"/>
      <w:pStyle w:val="261"/>
      <w:suff w:val="nothing"/>
      <w:lvlText w:val="%1.%2.%3　"/>
      <w:lvlJc w:val="left"/>
      <w:pPr>
        <w:ind w:left="142" w:hanging="142"/>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52"/>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43"/>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22"/>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51"/>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25"/>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41"/>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7"/>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8"/>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32"/>
      <w:lvlText w:val=""/>
      <w:lvlJc w:val="left"/>
      <w:pPr>
        <w:tabs>
          <w:tab w:val="left" w:pos="360"/>
        </w:tabs>
        <w:ind w:left="360" w:hanging="360" w:hangingChars="200"/>
      </w:pPr>
      <w:rPr>
        <w:rFonts w:hint="default" w:ascii="Wingdings" w:hAnsi="Wingdings"/>
      </w:rPr>
    </w:lvl>
  </w:abstractNum>
  <w:abstractNum w:abstractNumId="12">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4">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6">
    <w:nsid w:val="1E63684F"/>
    <w:multiLevelType w:val="multilevel"/>
    <w:tmpl w:val="1E63684F"/>
    <w:lvl w:ilvl="0" w:tentative="0">
      <w:start w:val="1"/>
      <w:numFmt w:val="lowerLetter"/>
      <w:lvlText w:val="%1)"/>
      <w:lvlJc w:val="left"/>
      <w:pPr>
        <w:tabs>
          <w:tab w:val="left" w:pos="562"/>
        </w:tabs>
        <w:ind w:left="562" w:hanging="420"/>
      </w:pPr>
      <w:rPr>
        <w:rFonts w:hint="default" w:ascii="Times New Roman" w:hAnsi="Times New Roman" w:eastAsia="宋体" w:cs="Times New Roman"/>
      </w:rPr>
    </w:lvl>
    <w:lvl w:ilvl="1" w:tentative="0">
      <w:start w:val="3"/>
      <w:numFmt w:val="decimal"/>
      <w:lvlText w:val="注%2"/>
      <w:lvlJc w:val="left"/>
      <w:pPr>
        <w:tabs>
          <w:tab w:val="left" w:pos="1147"/>
        </w:tabs>
        <w:ind w:left="1147" w:hanging="585"/>
      </w:pPr>
      <w:rPr>
        <w:rFonts w:hint="default"/>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7">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8">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9">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3D7A34E7"/>
    <w:multiLevelType w:val="multilevel"/>
    <w:tmpl w:val="3D7A34E7"/>
    <w:lvl w:ilvl="0" w:tentative="0">
      <w:start w:val="1"/>
      <w:numFmt w:val="lowerLetter"/>
      <w:lvlText w:val="%1)"/>
      <w:lvlJc w:val="left"/>
      <w:pPr>
        <w:tabs>
          <w:tab w:val="left" w:pos="562"/>
        </w:tabs>
        <w:ind w:left="562" w:hanging="420"/>
      </w:pPr>
      <w:rPr>
        <w:rFonts w:hint="default" w:ascii="Times New Roman" w:hAnsi="Times New Roman" w:eastAsia="宋体" w:cs="Times New Roman"/>
      </w:rPr>
    </w:lvl>
    <w:lvl w:ilvl="1" w:tentative="0">
      <w:start w:val="3"/>
      <w:numFmt w:val="decimal"/>
      <w:lvlText w:val="注%2"/>
      <w:lvlJc w:val="left"/>
      <w:pPr>
        <w:tabs>
          <w:tab w:val="left" w:pos="1147"/>
        </w:tabs>
        <w:ind w:left="1147" w:hanging="585"/>
      </w:pPr>
      <w:rPr>
        <w:rFonts w:hint="default"/>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21">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4A735653"/>
    <w:multiLevelType w:val="multilevel"/>
    <w:tmpl w:val="4A735653"/>
    <w:lvl w:ilvl="0" w:tentative="0">
      <w:start w:val="1"/>
      <w:numFmt w:val="lowerLetter"/>
      <w:lvlText w:val="%1)"/>
      <w:lvlJc w:val="left"/>
      <w:pPr>
        <w:tabs>
          <w:tab w:val="left" w:pos="562"/>
        </w:tabs>
        <w:ind w:left="562" w:hanging="420"/>
      </w:pPr>
      <w:rPr>
        <w:rFonts w:hint="default" w:ascii="Times New Roman" w:hAnsi="Times New Roman" w:eastAsia="宋体" w:cs="Times New Roman"/>
      </w:rPr>
    </w:lvl>
    <w:lvl w:ilvl="1" w:tentative="0">
      <w:start w:val="3"/>
      <w:numFmt w:val="decimal"/>
      <w:lvlText w:val="注%2"/>
      <w:lvlJc w:val="left"/>
      <w:pPr>
        <w:tabs>
          <w:tab w:val="left" w:pos="1147"/>
        </w:tabs>
        <w:ind w:left="1147" w:hanging="585"/>
      </w:pPr>
      <w:rPr>
        <w:rFonts w:hint="default"/>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24">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5">
    <w:nsid w:val="4CE8340F"/>
    <w:multiLevelType w:val="multilevel"/>
    <w:tmpl w:val="4CE8340F"/>
    <w:lvl w:ilvl="0" w:tentative="0">
      <w:start w:val="1"/>
      <w:numFmt w:val="lowerLetter"/>
      <w:lvlText w:val="%1)"/>
      <w:lvlJc w:val="left"/>
      <w:pPr>
        <w:tabs>
          <w:tab w:val="left" w:pos="562"/>
        </w:tabs>
        <w:ind w:left="562" w:hanging="420"/>
      </w:pPr>
      <w:rPr>
        <w:rFonts w:hint="default" w:ascii="Times New Roman" w:hAnsi="Times New Roman" w:eastAsia="宋体" w:cs="Times New Roman"/>
      </w:rPr>
    </w:lvl>
    <w:lvl w:ilvl="1" w:tentative="0">
      <w:start w:val="3"/>
      <w:numFmt w:val="decimal"/>
      <w:lvlText w:val="注%2"/>
      <w:lvlJc w:val="left"/>
      <w:pPr>
        <w:tabs>
          <w:tab w:val="left" w:pos="1147"/>
        </w:tabs>
        <w:ind w:left="1147" w:hanging="585"/>
      </w:pPr>
      <w:rPr>
        <w:rFonts w:hint="default"/>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26">
    <w:nsid w:val="4E7A5EC9"/>
    <w:multiLevelType w:val="multilevel"/>
    <w:tmpl w:val="4E7A5EC9"/>
    <w:lvl w:ilvl="0" w:tentative="0">
      <w:start w:val="1"/>
      <w:numFmt w:val="lowerLetter"/>
      <w:lvlText w:val="%1)"/>
      <w:lvlJc w:val="left"/>
      <w:pPr>
        <w:tabs>
          <w:tab w:val="left" w:pos="562"/>
        </w:tabs>
        <w:ind w:left="562" w:hanging="420"/>
      </w:pPr>
      <w:rPr>
        <w:rFonts w:hint="default" w:ascii="Times New Roman" w:hAnsi="Times New Roman" w:eastAsia="宋体" w:cs="Times New Roman"/>
      </w:rPr>
    </w:lvl>
    <w:lvl w:ilvl="1" w:tentative="0">
      <w:start w:val="3"/>
      <w:numFmt w:val="decimal"/>
      <w:lvlText w:val="注%2"/>
      <w:lvlJc w:val="left"/>
      <w:pPr>
        <w:tabs>
          <w:tab w:val="left" w:pos="1147"/>
        </w:tabs>
        <w:ind w:left="1147" w:hanging="585"/>
      </w:pPr>
      <w:rPr>
        <w:rFonts w:hint="default"/>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27">
    <w:nsid w:val="55E02EF4"/>
    <w:multiLevelType w:val="multilevel"/>
    <w:tmpl w:val="55E02EF4"/>
    <w:lvl w:ilvl="0" w:tentative="0">
      <w:start w:val="1"/>
      <w:numFmt w:val="decimal"/>
      <w:pStyle w:val="538"/>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9">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0">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33">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
  </w:num>
  <w:num w:numId="12">
    <w:abstractNumId w:val="30"/>
  </w:num>
  <w:num w:numId="13">
    <w:abstractNumId w:val="29"/>
  </w:num>
  <w:num w:numId="14">
    <w:abstractNumId w:val="17"/>
  </w:num>
  <w:num w:numId="15">
    <w:abstractNumId w:val="33"/>
  </w:num>
  <w:num w:numId="16">
    <w:abstractNumId w:val="14"/>
  </w:num>
  <w:num w:numId="17">
    <w:abstractNumId w:val="22"/>
  </w:num>
  <w:num w:numId="18">
    <w:abstractNumId w:val="28"/>
  </w:num>
  <w:num w:numId="19">
    <w:abstractNumId w:val="13"/>
  </w:num>
  <w:num w:numId="20">
    <w:abstractNumId w:val="31"/>
  </w:num>
  <w:num w:numId="21">
    <w:abstractNumId w:val="12"/>
  </w:num>
  <w:num w:numId="22">
    <w:abstractNumId w:val="21"/>
  </w:num>
  <w:num w:numId="23">
    <w:abstractNumId w:val="24"/>
  </w:num>
  <w:num w:numId="24">
    <w:abstractNumId w:val="32"/>
  </w:num>
  <w:num w:numId="25">
    <w:abstractNumId w:val="15"/>
  </w:num>
  <w:num w:numId="26">
    <w:abstractNumId w:val="19"/>
  </w:num>
  <w:num w:numId="27">
    <w:abstractNumId w:val="18"/>
  </w:num>
  <w:num w:numId="28">
    <w:abstractNumId w:val="27"/>
  </w:num>
  <w:num w:numId="29">
    <w:abstractNumId w:val="0"/>
  </w:num>
  <w:num w:numId="30">
    <w:abstractNumId w:val="20"/>
  </w:num>
  <w:num w:numId="31">
    <w:abstractNumId w:val="25"/>
  </w:num>
  <w:num w:numId="32">
    <w:abstractNumId w:val="23"/>
  </w:num>
  <w:num w:numId="33">
    <w:abstractNumId w:val="1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zM1NjMxZTI1MjIxMzVmMWQ2OTJlYzI0ZGU4NjgifQ=="/>
  </w:docVars>
  <w:rsids>
    <w:rsidRoot w:val="00BA7C85"/>
    <w:rsid w:val="000059B7"/>
    <w:rsid w:val="00006548"/>
    <w:rsid w:val="000118E2"/>
    <w:rsid w:val="000129C9"/>
    <w:rsid w:val="000147B8"/>
    <w:rsid w:val="00023F1B"/>
    <w:rsid w:val="00027BD3"/>
    <w:rsid w:val="00031EEE"/>
    <w:rsid w:val="000327BE"/>
    <w:rsid w:val="00036B39"/>
    <w:rsid w:val="00037167"/>
    <w:rsid w:val="000372EA"/>
    <w:rsid w:val="00040BBF"/>
    <w:rsid w:val="00043421"/>
    <w:rsid w:val="00043ED3"/>
    <w:rsid w:val="000467C2"/>
    <w:rsid w:val="00050E91"/>
    <w:rsid w:val="00053FB5"/>
    <w:rsid w:val="000559B7"/>
    <w:rsid w:val="0006739E"/>
    <w:rsid w:val="00075DD9"/>
    <w:rsid w:val="000768C7"/>
    <w:rsid w:val="00076F59"/>
    <w:rsid w:val="00087B62"/>
    <w:rsid w:val="0009271F"/>
    <w:rsid w:val="0009648F"/>
    <w:rsid w:val="000A3504"/>
    <w:rsid w:val="000A568D"/>
    <w:rsid w:val="000A6E5F"/>
    <w:rsid w:val="000B15C5"/>
    <w:rsid w:val="000B2C83"/>
    <w:rsid w:val="000B6461"/>
    <w:rsid w:val="000B6ECB"/>
    <w:rsid w:val="000C21DC"/>
    <w:rsid w:val="000C2EFF"/>
    <w:rsid w:val="000C6D75"/>
    <w:rsid w:val="000D22A9"/>
    <w:rsid w:val="000D2D03"/>
    <w:rsid w:val="000E2B29"/>
    <w:rsid w:val="000E7B1D"/>
    <w:rsid w:val="000F1341"/>
    <w:rsid w:val="000F5148"/>
    <w:rsid w:val="001033F9"/>
    <w:rsid w:val="00114B90"/>
    <w:rsid w:val="0012305A"/>
    <w:rsid w:val="00123BF9"/>
    <w:rsid w:val="00127602"/>
    <w:rsid w:val="00130368"/>
    <w:rsid w:val="0013767C"/>
    <w:rsid w:val="00140F31"/>
    <w:rsid w:val="00144617"/>
    <w:rsid w:val="00144633"/>
    <w:rsid w:val="00145D12"/>
    <w:rsid w:val="001517CF"/>
    <w:rsid w:val="00157736"/>
    <w:rsid w:val="00164C6D"/>
    <w:rsid w:val="00170B1F"/>
    <w:rsid w:val="00172236"/>
    <w:rsid w:val="00172CAA"/>
    <w:rsid w:val="00173789"/>
    <w:rsid w:val="001748CC"/>
    <w:rsid w:val="0017737E"/>
    <w:rsid w:val="001830DE"/>
    <w:rsid w:val="001978F5"/>
    <w:rsid w:val="001A5BF9"/>
    <w:rsid w:val="001B71FC"/>
    <w:rsid w:val="001C00AF"/>
    <w:rsid w:val="001C2054"/>
    <w:rsid w:val="001D22BD"/>
    <w:rsid w:val="001D5AA4"/>
    <w:rsid w:val="001D71BA"/>
    <w:rsid w:val="001E0865"/>
    <w:rsid w:val="001E17E3"/>
    <w:rsid w:val="001E6DDD"/>
    <w:rsid w:val="001F0E09"/>
    <w:rsid w:val="001F724D"/>
    <w:rsid w:val="00206203"/>
    <w:rsid w:val="00216264"/>
    <w:rsid w:val="00221CFF"/>
    <w:rsid w:val="00227E52"/>
    <w:rsid w:val="002310FD"/>
    <w:rsid w:val="00233A22"/>
    <w:rsid w:val="00235CB0"/>
    <w:rsid w:val="00241102"/>
    <w:rsid w:val="00241AA4"/>
    <w:rsid w:val="00247E6D"/>
    <w:rsid w:val="00264B0A"/>
    <w:rsid w:val="00267674"/>
    <w:rsid w:val="00277D91"/>
    <w:rsid w:val="002803A1"/>
    <w:rsid w:val="00282FBE"/>
    <w:rsid w:val="00283FC4"/>
    <w:rsid w:val="00287FD8"/>
    <w:rsid w:val="002903E4"/>
    <w:rsid w:val="002913AE"/>
    <w:rsid w:val="002917C0"/>
    <w:rsid w:val="00291C9B"/>
    <w:rsid w:val="002A3BE2"/>
    <w:rsid w:val="002A4DD0"/>
    <w:rsid w:val="002A68DF"/>
    <w:rsid w:val="002A6B18"/>
    <w:rsid w:val="002B307B"/>
    <w:rsid w:val="002B778D"/>
    <w:rsid w:val="002C050B"/>
    <w:rsid w:val="002C56FB"/>
    <w:rsid w:val="002C687A"/>
    <w:rsid w:val="002C6C4A"/>
    <w:rsid w:val="002E08C1"/>
    <w:rsid w:val="002E3452"/>
    <w:rsid w:val="002E5F3F"/>
    <w:rsid w:val="002E7D89"/>
    <w:rsid w:val="002F1862"/>
    <w:rsid w:val="0030049E"/>
    <w:rsid w:val="00303CA5"/>
    <w:rsid w:val="00305CF3"/>
    <w:rsid w:val="00311A9A"/>
    <w:rsid w:val="00316CBA"/>
    <w:rsid w:val="00324802"/>
    <w:rsid w:val="00337CA1"/>
    <w:rsid w:val="003538E6"/>
    <w:rsid w:val="00362DE6"/>
    <w:rsid w:val="003636BF"/>
    <w:rsid w:val="00366B99"/>
    <w:rsid w:val="003749DB"/>
    <w:rsid w:val="00386930"/>
    <w:rsid w:val="0039249C"/>
    <w:rsid w:val="00397925"/>
    <w:rsid w:val="003A06C5"/>
    <w:rsid w:val="003A2003"/>
    <w:rsid w:val="003A2E4C"/>
    <w:rsid w:val="003A4F7B"/>
    <w:rsid w:val="003B65E2"/>
    <w:rsid w:val="003C44DC"/>
    <w:rsid w:val="003C5C82"/>
    <w:rsid w:val="003D085D"/>
    <w:rsid w:val="003D636C"/>
    <w:rsid w:val="003E198B"/>
    <w:rsid w:val="003E4714"/>
    <w:rsid w:val="003E7CE2"/>
    <w:rsid w:val="003F2DA8"/>
    <w:rsid w:val="003F603C"/>
    <w:rsid w:val="003F764E"/>
    <w:rsid w:val="00401E35"/>
    <w:rsid w:val="00405B77"/>
    <w:rsid w:val="00406CC1"/>
    <w:rsid w:val="0041207A"/>
    <w:rsid w:val="004149CE"/>
    <w:rsid w:val="0042165D"/>
    <w:rsid w:val="0043155E"/>
    <w:rsid w:val="00431DEE"/>
    <w:rsid w:val="00434F62"/>
    <w:rsid w:val="00436ECC"/>
    <w:rsid w:val="004377A4"/>
    <w:rsid w:val="004414E6"/>
    <w:rsid w:val="00446778"/>
    <w:rsid w:val="00447732"/>
    <w:rsid w:val="00447DDB"/>
    <w:rsid w:val="004548A9"/>
    <w:rsid w:val="004563AD"/>
    <w:rsid w:val="004619AC"/>
    <w:rsid w:val="00463A10"/>
    <w:rsid w:val="00463C61"/>
    <w:rsid w:val="004659E0"/>
    <w:rsid w:val="00465B7B"/>
    <w:rsid w:val="00466FF2"/>
    <w:rsid w:val="00467339"/>
    <w:rsid w:val="00470981"/>
    <w:rsid w:val="004826C9"/>
    <w:rsid w:val="0048668C"/>
    <w:rsid w:val="00490088"/>
    <w:rsid w:val="00492294"/>
    <w:rsid w:val="004A009B"/>
    <w:rsid w:val="004A0107"/>
    <w:rsid w:val="004A3243"/>
    <w:rsid w:val="004B4D39"/>
    <w:rsid w:val="004C0DAC"/>
    <w:rsid w:val="004C3E08"/>
    <w:rsid w:val="004D0182"/>
    <w:rsid w:val="004E4A5B"/>
    <w:rsid w:val="004F0737"/>
    <w:rsid w:val="004F2763"/>
    <w:rsid w:val="004F3C71"/>
    <w:rsid w:val="004F43A3"/>
    <w:rsid w:val="00501256"/>
    <w:rsid w:val="0050545B"/>
    <w:rsid w:val="00506A5C"/>
    <w:rsid w:val="0051084C"/>
    <w:rsid w:val="005134E3"/>
    <w:rsid w:val="00513726"/>
    <w:rsid w:val="00515A41"/>
    <w:rsid w:val="00515AC9"/>
    <w:rsid w:val="005175BF"/>
    <w:rsid w:val="00517D40"/>
    <w:rsid w:val="00520DEA"/>
    <w:rsid w:val="00521E61"/>
    <w:rsid w:val="00524EF9"/>
    <w:rsid w:val="005272AE"/>
    <w:rsid w:val="005322CC"/>
    <w:rsid w:val="00532D32"/>
    <w:rsid w:val="0053303D"/>
    <w:rsid w:val="00534928"/>
    <w:rsid w:val="005434EA"/>
    <w:rsid w:val="00545827"/>
    <w:rsid w:val="00554949"/>
    <w:rsid w:val="00562526"/>
    <w:rsid w:val="005648A8"/>
    <w:rsid w:val="00570D99"/>
    <w:rsid w:val="00573966"/>
    <w:rsid w:val="00573CAA"/>
    <w:rsid w:val="00596BBE"/>
    <w:rsid w:val="005A35D5"/>
    <w:rsid w:val="005A406C"/>
    <w:rsid w:val="005D203A"/>
    <w:rsid w:val="005D5966"/>
    <w:rsid w:val="005E3824"/>
    <w:rsid w:val="005E7BD5"/>
    <w:rsid w:val="005F21DB"/>
    <w:rsid w:val="005F40CC"/>
    <w:rsid w:val="0060095A"/>
    <w:rsid w:val="00601445"/>
    <w:rsid w:val="00601FE1"/>
    <w:rsid w:val="006053C7"/>
    <w:rsid w:val="00607B1C"/>
    <w:rsid w:val="006101D9"/>
    <w:rsid w:val="00611BD0"/>
    <w:rsid w:val="00614E2C"/>
    <w:rsid w:val="0061695B"/>
    <w:rsid w:val="006245FA"/>
    <w:rsid w:val="00627F9C"/>
    <w:rsid w:val="00630366"/>
    <w:rsid w:val="00630EC5"/>
    <w:rsid w:val="00632C9B"/>
    <w:rsid w:val="00640186"/>
    <w:rsid w:val="0065094C"/>
    <w:rsid w:val="00663083"/>
    <w:rsid w:val="00674639"/>
    <w:rsid w:val="00677E34"/>
    <w:rsid w:val="00681844"/>
    <w:rsid w:val="006904F0"/>
    <w:rsid w:val="00690686"/>
    <w:rsid w:val="00695523"/>
    <w:rsid w:val="006A01D7"/>
    <w:rsid w:val="006A1C4E"/>
    <w:rsid w:val="006B643E"/>
    <w:rsid w:val="006C06F2"/>
    <w:rsid w:val="006C1B85"/>
    <w:rsid w:val="006D12A2"/>
    <w:rsid w:val="006D4162"/>
    <w:rsid w:val="006D6D2B"/>
    <w:rsid w:val="006E4DBB"/>
    <w:rsid w:val="006E740A"/>
    <w:rsid w:val="006E7E4F"/>
    <w:rsid w:val="006F1FF9"/>
    <w:rsid w:val="006F39EF"/>
    <w:rsid w:val="007064A5"/>
    <w:rsid w:val="00706C35"/>
    <w:rsid w:val="007141B1"/>
    <w:rsid w:val="00715BD0"/>
    <w:rsid w:val="00727402"/>
    <w:rsid w:val="00727842"/>
    <w:rsid w:val="00731E75"/>
    <w:rsid w:val="00740684"/>
    <w:rsid w:val="00741D80"/>
    <w:rsid w:val="00743CC7"/>
    <w:rsid w:val="0074732A"/>
    <w:rsid w:val="0075168F"/>
    <w:rsid w:val="00762D17"/>
    <w:rsid w:val="00767B2F"/>
    <w:rsid w:val="00771546"/>
    <w:rsid w:val="00772DFA"/>
    <w:rsid w:val="00773A5E"/>
    <w:rsid w:val="00775E39"/>
    <w:rsid w:val="00776408"/>
    <w:rsid w:val="00777A2D"/>
    <w:rsid w:val="0078233D"/>
    <w:rsid w:val="00792DBE"/>
    <w:rsid w:val="00795E45"/>
    <w:rsid w:val="007A1203"/>
    <w:rsid w:val="007A3A15"/>
    <w:rsid w:val="007A7829"/>
    <w:rsid w:val="007B224D"/>
    <w:rsid w:val="007D2FAA"/>
    <w:rsid w:val="007D57EF"/>
    <w:rsid w:val="007D6320"/>
    <w:rsid w:val="007E0206"/>
    <w:rsid w:val="007E1A72"/>
    <w:rsid w:val="007E3F4F"/>
    <w:rsid w:val="007F0943"/>
    <w:rsid w:val="007F4682"/>
    <w:rsid w:val="007F69B9"/>
    <w:rsid w:val="00800A52"/>
    <w:rsid w:val="008046BF"/>
    <w:rsid w:val="00807380"/>
    <w:rsid w:val="00810A60"/>
    <w:rsid w:val="00811C33"/>
    <w:rsid w:val="00815F9F"/>
    <w:rsid w:val="00830E84"/>
    <w:rsid w:val="00832699"/>
    <w:rsid w:val="008345DD"/>
    <w:rsid w:val="00835250"/>
    <w:rsid w:val="0083597A"/>
    <w:rsid w:val="00837FA3"/>
    <w:rsid w:val="00846D16"/>
    <w:rsid w:val="00852FD6"/>
    <w:rsid w:val="00853C40"/>
    <w:rsid w:val="00854E15"/>
    <w:rsid w:val="00862997"/>
    <w:rsid w:val="0086798F"/>
    <w:rsid w:val="008708FD"/>
    <w:rsid w:val="00876547"/>
    <w:rsid w:val="008773E1"/>
    <w:rsid w:val="008803D3"/>
    <w:rsid w:val="0089112B"/>
    <w:rsid w:val="008950F1"/>
    <w:rsid w:val="00895EBF"/>
    <w:rsid w:val="008C0296"/>
    <w:rsid w:val="008C13EB"/>
    <w:rsid w:val="008C5347"/>
    <w:rsid w:val="008D2560"/>
    <w:rsid w:val="008D2A9C"/>
    <w:rsid w:val="008D383F"/>
    <w:rsid w:val="008E1AE0"/>
    <w:rsid w:val="008E351F"/>
    <w:rsid w:val="00901906"/>
    <w:rsid w:val="00901DA3"/>
    <w:rsid w:val="00914DD6"/>
    <w:rsid w:val="0091784D"/>
    <w:rsid w:val="00917E12"/>
    <w:rsid w:val="00922142"/>
    <w:rsid w:val="0093063C"/>
    <w:rsid w:val="00937583"/>
    <w:rsid w:val="00937698"/>
    <w:rsid w:val="009535DF"/>
    <w:rsid w:val="0095659D"/>
    <w:rsid w:val="00957B45"/>
    <w:rsid w:val="009643C7"/>
    <w:rsid w:val="0096456D"/>
    <w:rsid w:val="0096648C"/>
    <w:rsid w:val="009676B1"/>
    <w:rsid w:val="00967AFB"/>
    <w:rsid w:val="009721AF"/>
    <w:rsid w:val="00995610"/>
    <w:rsid w:val="009A2C2B"/>
    <w:rsid w:val="009A4B33"/>
    <w:rsid w:val="009C0704"/>
    <w:rsid w:val="009C299E"/>
    <w:rsid w:val="009C682F"/>
    <w:rsid w:val="009D19E4"/>
    <w:rsid w:val="009E0625"/>
    <w:rsid w:val="009E23E4"/>
    <w:rsid w:val="009E64F7"/>
    <w:rsid w:val="009E723F"/>
    <w:rsid w:val="009F4296"/>
    <w:rsid w:val="009F6214"/>
    <w:rsid w:val="009F6DBD"/>
    <w:rsid w:val="009F7CDF"/>
    <w:rsid w:val="00A006FD"/>
    <w:rsid w:val="00A026BC"/>
    <w:rsid w:val="00A03B9A"/>
    <w:rsid w:val="00A04C0A"/>
    <w:rsid w:val="00A0682E"/>
    <w:rsid w:val="00A07DA9"/>
    <w:rsid w:val="00A17AA4"/>
    <w:rsid w:val="00A2457F"/>
    <w:rsid w:val="00A329C9"/>
    <w:rsid w:val="00A342E2"/>
    <w:rsid w:val="00A35C5B"/>
    <w:rsid w:val="00A37B34"/>
    <w:rsid w:val="00A40CF5"/>
    <w:rsid w:val="00A470A7"/>
    <w:rsid w:val="00A473CC"/>
    <w:rsid w:val="00A510E0"/>
    <w:rsid w:val="00A56D64"/>
    <w:rsid w:val="00A57EF7"/>
    <w:rsid w:val="00A82202"/>
    <w:rsid w:val="00A832D8"/>
    <w:rsid w:val="00A87239"/>
    <w:rsid w:val="00A94542"/>
    <w:rsid w:val="00A9554F"/>
    <w:rsid w:val="00AA4903"/>
    <w:rsid w:val="00AA4BDA"/>
    <w:rsid w:val="00AA76E6"/>
    <w:rsid w:val="00AB12B4"/>
    <w:rsid w:val="00AB3575"/>
    <w:rsid w:val="00AB37B1"/>
    <w:rsid w:val="00AC06BB"/>
    <w:rsid w:val="00AC3ACC"/>
    <w:rsid w:val="00AD4F34"/>
    <w:rsid w:val="00AD6B1D"/>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169CF"/>
    <w:rsid w:val="00B226E1"/>
    <w:rsid w:val="00B23075"/>
    <w:rsid w:val="00B24932"/>
    <w:rsid w:val="00B35DFD"/>
    <w:rsid w:val="00B37C0E"/>
    <w:rsid w:val="00B454CA"/>
    <w:rsid w:val="00B53830"/>
    <w:rsid w:val="00B55871"/>
    <w:rsid w:val="00B565EB"/>
    <w:rsid w:val="00B57F96"/>
    <w:rsid w:val="00B614B1"/>
    <w:rsid w:val="00B74D02"/>
    <w:rsid w:val="00B807AF"/>
    <w:rsid w:val="00B82263"/>
    <w:rsid w:val="00B90349"/>
    <w:rsid w:val="00B94874"/>
    <w:rsid w:val="00B95060"/>
    <w:rsid w:val="00BA7C85"/>
    <w:rsid w:val="00BB00CF"/>
    <w:rsid w:val="00BB0B93"/>
    <w:rsid w:val="00BC6C4C"/>
    <w:rsid w:val="00BE027D"/>
    <w:rsid w:val="00BF3DB8"/>
    <w:rsid w:val="00BF533F"/>
    <w:rsid w:val="00BF56C5"/>
    <w:rsid w:val="00C048E2"/>
    <w:rsid w:val="00C05068"/>
    <w:rsid w:val="00C12F1C"/>
    <w:rsid w:val="00C21765"/>
    <w:rsid w:val="00C22264"/>
    <w:rsid w:val="00C231D9"/>
    <w:rsid w:val="00C26FF1"/>
    <w:rsid w:val="00C35BEA"/>
    <w:rsid w:val="00C422BC"/>
    <w:rsid w:val="00C423AC"/>
    <w:rsid w:val="00C531E8"/>
    <w:rsid w:val="00C5396C"/>
    <w:rsid w:val="00C63371"/>
    <w:rsid w:val="00C67096"/>
    <w:rsid w:val="00C70472"/>
    <w:rsid w:val="00C7294C"/>
    <w:rsid w:val="00C7721B"/>
    <w:rsid w:val="00C80B64"/>
    <w:rsid w:val="00C825D9"/>
    <w:rsid w:val="00C839AC"/>
    <w:rsid w:val="00C87514"/>
    <w:rsid w:val="00C9093C"/>
    <w:rsid w:val="00CA1496"/>
    <w:rsid w:val="00CA612B"/>
    <w:rsid w:val="00CA6A4E"/>
    <w:rsid w:val="00CB4B70"/>
    <w:rsid w:val="00CB5BB7"/>
    <w:rsid w:val="00CB7741"/>
    <w:rsid w:val="00CC1062"/>
    <w:rsid w:val="00CC19EC"/>
    <w:rsid w:val="00CE0378"/>
    <w:rsid w:val="00CF740D"/>
    <w:rsid w:val="00D10F52"/>
    <w:rsid w:val="00D1138B"/>
    <w:rsid w:val="00D20260"/>
    <w:rsid w:val="00D32102"/>
    <w:rsid w:val="00D325AD"/>
    <w:rsid w:val="00D32C19"/>
    <w:rsid w:val="00D409CF"/>
    <w:rsid w:val="00D46185"/>
    <w:rsid w:val="00D46D48"/>
    <w:rsid w:val="00D6763D"/>
    <w:rsid w:val="00D679FB"/>
    <w:rsid w:val="00D711FE"/>
    <w:rsid w:val="00D77681"/>
    <w:rsid w:val="00D8434C"/>
    <w:rsid w:val="00DB3DB0"/>
    <w:rsid w:val="00DB5820"/>
    <w:rsid w:val="00DC300E"/>
    <w:rsid w:val="00DC5920"/>
    <w:rsid w:val="00DD0EDC"/>
    <w:rsid w:val="00DE3517"/>
    <w:rsid w:val="00DE6C5C"/>
    <w:rsid w:val="00DE79D1"/>
    <w:rsid w:val="00DF3719"/>
    <w:rsid w:val="00DF3A90"/>
    <w:rsid w:val="00DF3FF3"/>
    <w:rsid w:val="00E05C6A"/>
    <w:rsid w:val="00E05E73"/>
    <w:rsid w:val="00E07858"/>
    <w:rsid w:val="00E12E32"/>
    <w:rsid w:val="00E23324"/>
    <w:rsid w:val="00E245C7"/>
    <w:rsid w:val="00E307EE"/>
    <w:rsid w:val="00E30917"/>
    <w:rsid w:val="00E33A22"/>
    <w:rsid w:val="00E376DF"/>
    <w:rsid w:val="00E558DE"/>
    <w:rsid w:val="00E638E4"/>
    <w:rsid w:val="00E70F0F"/>
    <w:rsid w:val="00E7198C"/>
    <w:rsid w:val="00E72F21"/>
    <w:rsid w:val="00E73319"/>
    <w:rsid w:val="00E83142"/>
    <w:rsid w:val="00E87A23"/>
    <w:rsid w:val="00E96B2E"/>
    <w:rsid w:val="00E96E93"/>
    <w:rsid w:val="00EA49DA"/>
    <w:rsid w:val="00EA6F64"/>
    <w:rsid w:val="00EB597C"/>
    <w:rsid w:val="00EC0A5B"/>
    <w:rsid w:val="00EC569B"/>
    <w:rsid w:val="00ED0CF3"/>
    <w:rsid w:val="00ED1474"/>
    <w:rsid w:val="00ED33CA"/>
    <w:rsid w:val="00ED7098"/>
    <w:rsid w:val="00EE4858"/>
    <w:rsid w:val="00EE4A1A"/>
    <w:rsid w:val="00F00B01"/>
    <w:rsid w:val="00F172FB"/>
    <w:rsid w:val="00F17B6A"/>
    <w:rsid w:val="00F252F0"/>
    <w:rsid w:val="00F25CA4"/>
    <w:rsid w:val="00F31BB7"/>
    <w:rsid w:val="00F3590F"/>
    <w:rsid w:val="00F516E1"/>
    <w:rsid w:val="00F66499"/>
    <w:rsid w:val="00F72156"/>
    <w:rsid w:val="00F73EF2"/>
    <w:rsid w:val="00F73FF4"/>
    <w:rsid w:val="00F8041E"/>
    <w:rsid w:val="00F863B5"/>
    <w:rsid w:val="00F91DE4"/>
    <w:rsid w:val="00F95DA4"/>
    <w:rsid w:val="00FA5E0C"/>
    <w:rsid w:val="00FB51D6"/>
    <w:rsid w:val="00FB6A1E"/>
    <w:rsid w:val="00FC52FA"/>
    <w:rsid w:val="00FD14B5"/>
    <w:rsid w:val="00FD2859"/>
    <w:rsid w:val="00FD74B3"/>
    <w:rsid w:val="00FD7C28"/>
    <w:rsid w:val="00FE15CE"/>
    <w:rsid w:val="00FE4685"/>
    <w:rsid w:val="00FF7EC1"/>
    <w:rsid w:val="021F0EF7"/>
    <w:rsid w:val="032D54F2"/>
    <w:rsid w:val="0D827F25"/>
    <w:rsid w:val="0ED15D49"/>
    <w:rsid w:val="10601B7E"/>
    <w:rsid w:val="1B74415D"/>
    <w:rsid w:val="1C636E6F"/>
    <w:rsid w:val="1E282908"/>
    <w:rsid w:val="1EC843B0"/>
    <w:rsid w:val="27754233"/>
    <w:rsid w:val="2A4F5BED"/>
    <w:rsid w:val="31165923"/>
    <w:rsid w:val="32454B7F"/>
    <w:rsid w:val="38280060"/>
    <w:rsid w:val="3BD72D4E"/>
    <w:rsid w:val="453E5321"/>
    <w:rsid w:val="4ECA63AA"/>
    <w:rsid w:val="548A5A83"/>
    <w:rsid w:val="55137FA3"/>
    <w:rsid w:val="667D2BB4"/>
    <w:rsid w:val="6B580C4D"/>
    <w:rsid w:val="702E23C7"/>
    <w:rsid w:val="721A7C30"/>
    <w:rsid w:val="72393272"/>
    <w:rsid w:val="74DD1EFB"/>
    <w:rsid w:val="76395DE6"/>
    <w:rsid w:val="7A9A3279"/>
    <w:rsid w:val="7B646D7F"/>
    <w:rsid w:val="7E4A4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0" w:semiHidden="0"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name="footnote text"/>
    <w:lsdException w:qFormat="1" w:uiPriority="0" w:semiHidden="0" w:name="annotation text"/>
    <w:lsdException w:qFormat="1" w:unhideWhenUsed="0" w:uiPriority="99" w:semiHidden="0" w:name="header"/>
    <w:lsdException w:qFormat="1" w:unhideWhenUsed="0" w:uiPriority="99" w:semiHidden="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0" w:semiHidden="0"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0" w:semiHidden="0"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0" w:semiHidden="0"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name="Plain Text"/>
    <w:lsdException w:qFormat="1" w:uiPriority="99" w:name="E-mail Signature"/>
    <w:lsdException w:qFormat="1"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iPriority="0"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0" w:semiHidden="0" w:name="Balloon Text"/>
    <w:lsdException w:qFormat="1" w:unhideWhenUsed="0" w:uiPriority="3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2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25"/>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26"/>
    <w:qFormat/>
    <w:uiPriority w:val="0"/>
    <w:pPr>
      <w:keepNext/>
      <w:keepLines/>
      <w:spacing w:before="260" w:after="260" w:line="416" w:lineRule="auto"/>
      <w:outlineLvl w:val="2"/>
    </w:pPr>
    <w:rPr>
      <w:b/>
      <w:bCs/>
      <w:sz w:val="32"/>
      <w:szCs w:val="32"/>
    </w:rPr>
  </w:style>
  <w:style w:type="paragraph" w:styleId="8">
    <w:name w:val="heading 4"/>
    <w:basedOn w:val="1"/>
    <w:next w:val="1"/>
    <w:link w:val="527"/>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528"/>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spacing w:before="240" w:after="64" w:line="320" w:lineRule="auto"/>
      <w:outlineLvl w:val="6"/>
    </w:pPr>
    <w:rPr>
      <w:b/>
      <w:bCs/>
      <w:sz w:val="24"/>
    </w:rPr>
  </w:style>
  <w:style w:type="paragraph" w:styleId="12">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487"/>
    <w:semiHidden/>
    <w:unhideWhenUsed/>
    <w:qFormat/>
    <w:uiPriority w:val="99"/>
    <w:pPr>
      <w:ind w:firstLine="420" w:firstLineChars="200"/>
    </w:pPr>
  </w:style>
  <w:style w:type="paragraph" w:styleId="3">
    <w:name w:val="Body Text Indent"/>
    <w:basedOn w:val="1"/>
    <w:link w:val="486"/>
    <w:semiHidden/>
    <w:unhideWhenUsed/>
    <w:qFormat/>
    <w:uiPriority w:val="99"/>
    <w:pPr>
      <w:spacing w:after="120"/>
      <w:ind w:left="420" w:leftChars="200"/>
    </w:pPr>
  </w:style>
  <w:style w:type="paragraph" w:styleId="4">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semiHidden/>
    <w:unhideWhenUsed/>
    <w:qFormat/>
    <w:uiPriority w:val="99"/>
    <w:pPr>
      <w:ind w:left="100" w:leftChars="400" w:hanging="200" w:hangingChars="200"/>
      <w:contextualSpacing/>
    </w:pPr>
  </w:style>
  <w:style w:type="paragraph" w:styleId="15">
    <w:name w:val="toc 7"/>
    <w:basedOn w:val="16"/>
    <w:next w:val="1"/>
    <w:qFormat/>
    <w:uiPriority w:val="0"/>
    <w:pPr>
      <w:ind w:left="500" w:leftChars="500"/>
    </w:pPr>
  </w:style>
  <w:style w:type="paragraph" w:styleId="16">
    <w:name w:val="toc 6"/>
    <w:basedOn w:val="17"/>
    <w:next w:val="1"/>
    <w:qFormat/>
    <w:uiPriority w:val="0"/>
    <w:pPr>
      <w:ind w:left="400" w:leftChars="400"/>
    </w:pPr>
  </w:style>
  <w:style w:type="paragraph" w:styleId="17">
    <w:name w:val="toc 5"/>
    <w:basedOn w:val="18"/>
    <w:next w:val="1"/>
    <w:qFormat/>
    <w:uiPriority w:val="0"/>
    <w:pPr>
      <w:ind w:left="300" w:leftChars="300"/>
    </w:pPr>
  </w:style>
  <w:style w:type="paragraph" w:styleId="18">
    <w:name w:val="toc 4"/>
    <w:basedOn w:val="19"/>
    <w:next w:val="1"/>
    <w:qFormat/>
    <w:uiPriority w:val="0"/>
    <w:pPr>
      <w:ind w:left="200" w:leftChars="200"/>
    </w:pPr>
  </w:style>
  <w:style w:type="paragraph" w:styleId="19">
    <w:name w:val="toc 3"/>
    <w:basedOn w:val="20"/>
    <w:next w:val="1"/>
    <w:qFormat/>
    <w:uiPriority w:val="39"/>
    <w:pPr>
      <w:ind w:left="100" w:leftChars="100"/>
    </w:pPr>
  </w:style>
  <w:style w:type="paragraph" w:styleId="20">
    <w:name w:val="toc 2"/>
    <w:basedOn w:val="21"/>
    <w:next w:val="1"/>
    <w:qFormat/>
    <w:uiPriority w:val="39"/>
  </w:style>
  <w:style w:type="paragraph" w:styleId="21">
    <w:name w:val="toc 1"/>
    <w:next w:val="1"/>
    <w:link w:val="529"/>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2">
    <w:name w:val="List Number 2"/>
    <w:basedOn w:val="1"/>
    <w:semiHidden/>
    <w:unhideWhenUsed/>
    <w:qFormat/>
    <w:uiPriority w:val="99"/>
    <w:pPr>
      <w:numPr>
        <w:ilvl w:val="0"/>
        <w:numId w:val="1"/>
      </w:numPr>
      <w:contextualSpacing/>
    </w:pPr>
  </w:style>
  <w:style w:type="paragraph" w:styleId="23">
    <w:name w:val="table of authorities"/>
    <w:basedOn w:val="1"/>
    <w:next w:val="1"/>
    <w:semiHidden/>
    <w:unhideWhenUsed/>
    <w:qFormat/>
    <w:uiPriority w:val="99"/>
    <w:pPr>
      <w:ind w:left="420" w:leftChars="200"/>
    </w:pPr>
  </w:style>
  <w:style w:type="paragraph" w:styleId="24">
    <w:name w:val="Note Heading"/>
    <w:basedOn w:val="1"/>
    <w:next w:val="1"/>
    <w:link w:val="492"/>
    <w:semiHidden/>
    <w:unhideWhenUsed/>
    <w:qFormat/>
    <w:uiPriority w:val="99"/>
    <w:pPr>
      <w:jc w:val="center"/>
    </w:pPr>
  </w:style>
  <w:style w:type="paragraph" w:styleId="25">
    <w:name w:val="List Bullet 4"/>
    <w:basedOn w:val="1"/>
    <w:semiHidden/>
    <w:unhideWhenUsed/>
    <w:qFormat/>
    <w:uiPriority w:val="99"/>
    <w:pPr>
      <w:numPr>
        <w:ilvl w:val="0"/>
        <w:numId w:val="2"/>
      </w:numPr>
      <w:contextualSpacing/>
    </w:pPr>
  </w:style>
  <w:style w:type="paragraph" w:styleId="26">
    <w:name w:val="index 8"/>
    <w:basedOn w:val="1"/>
    <w:next w:val="1"/>
    <w:semiHidden/>
    <w:unhideWhenUsed/>
    <w:qFormat/>
    <w:uiPriority w:val="99"/>
    <w:pPr>
      <w:ind w:left="1400" w:leftChars="1400"/>
    </w:pPr>
  </w:style>
  <w:style w:type="paragraph" w:styleId="27">
    <w:name w:val="E-mail Signature"/>
    <w:basedOn w:val="1"/>
    <w:link w:val="358"/>
    <w:semiHidden/>
    <w:unhideWhenUsed/>
    <w:qFormat/>
    <w:uiPriority w:val="99"/>
  </w:style>
  <w:style w:type="paragraph" w:styleId="28">
    <w:name w:val="List Number"/>
    <w:basedOn w:val="1"/>
    <w:semiHidden/>
    <w:unhideWhenUsed/>
    <w:qFormat/>
    <w:uiPriority w:val="99"/>
    <w:pPr>
      <w:numPr>
        <w:ilvl w:val="0"/>
        <w:numId w:val="3"/>
      </w:numPr>
      <w:contextualSpacing/>
    </w:pPr>
  </w:style>
  <w:style w:type="paragraph" w:styleId="29">
    <w:name w:val="Normal Indent"/>
    <w:basedOn w:val="1"/>
    <w:unhideWhenUsed/>
    <w:qFormat/>
    <w:uiPriority w:val="0"/>
    <w:pPr>
      <w:ind w:firstLine="420" w:firstLineChars="200"/>
    </w:pPr>
  </w:style>
  <w:style w:type="paragraph" w:styleId="30">
    <w:name w:val="caption"/>
    <w:basedOn w:val="1"/>
    <w:next w:val="1"/>
    <w:qFormat/>
    <w:uiPriority w:val="0"/>
    <w:rPr>
      <w:rFonts w:ascii="宋体" w:hAnsi="Arial" w:cs="Arial"/>
      <w:szCs w:val="20"/>
    </w:rPr>
  </w:style>
  <w:style w:type="paragraph" w:styleId="31">
    <w:name w:val="index 5"/>
    <w:basedOn w:val="1"/>
    <w:next w:val="1"/>
    <w:semiHidden/>
    <w:unhideWhenUsed/>
    <w:qFormat/>
    <w:uiPriority w:val="99"/>
    <w:pPr>
      <w:ind w:left="800" w:leftChars="800"/>
    </w:pPr>
  </w:style>
  <w:style w:type="paragraph" w:styleId="32">
    <w:name w:val="List Bullet"/>
    <w:basedOn w:val="1"/>
    <w:semiHidden/>
    <w:unhideWhenUsed/>
    <w:qFormat/>
    <w:uiPriority w:val="99"/>
    <w:pPr>
      <w:numPr>
        <w:ilvl w:val="0"/>
        <w:numId w:val="4"/>
      </w:numPr>
      <w:contextualSpacing/>
    </w:pPr>
  </w:style>
  <w:style w:type="paragraph" w:styleId="33">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4">
    <w:name w:val="Document Map"/>
    <w:basedOn w:val="1"/>
    <w:link w:val="474"/>
    <w:unhideWhenUsed/>
    <w:qFormat/>
    <w:uiPriority w:val="0"/>
    <w:rPr>
      <w:rFonts w:ascii="Microsoft YaHei UI" w:eastAsia="Microsoft YaHei UI"/>
      <w:sz w:val="18"/>
      <w:szCs w:val="18"/>
    </w:rPr>
  </w:style>
  <w:style w:type="paragraph" w:styleId="35">
    <w:name w:val="toa heading"/>
    <w:basedOn w:val="1"/>
    <w:next w:val="1"/>
    <w:semiHidden/>
    <w:unhideWhenUsed/>
    <w:qFormat/>
    <w:uiPriority w:val="99"/>
    <w:pPr>
      <w:spacing w:before="120"/>
    </w:pPr>
    <w:rPr>
      <w:rFonts w:asciiTheme="majorHAnsi" w:hAnsiTheme="majorHAnsi" w:cstheme="majorBidi"/>
      <w:sz w:val="24"/>
    </w:rPr>
  </w:style>
  <w:style w:type="paragraph" w:styleId="36">
    <w:name w:val="annotation text"/>
    <w:basedOn w:val="1"/>
    <w:link w:val="368"/>
    <w:unhideWhenUsed/>
    <w:qFormat/>
    <w:uiPriority w:val="0"/>
    <w:pPr>
      <w:jc w:val="left"/>
    </w:pPr>
  </w:style>
  <w:style w:type="paragraph" w:styleId="37">
    <w:name w:val="index 6"/>
    <w:basedOn w:val="1"/>
    <w:next w:val="1"/>
    <w:semiHidden/>
    <w:unhideWhenUsed/>
    <w:qFormat/>
    <w:uiPriority w:val="99"/>
    <w:pPr>
      <w:ind w:left="1000" w:leftChars="1000"/>
    </w:pPr>
  </w:style>
  <w:style w:type="paragraph" w:styleId="38">
    <w:name w:val="Salutation"/>
    <w:basedOn w:val="1"/>
    <w:next w:val="1"/>
    <w:link w:val="356"/>
    <w:semiHidden/>
    <w:unhideWhenUsed/>
    <w:qFormat/>
    <w:uiPriority w:val="99"/>
  </w:style>
  <w:style w:type="paragraph" w:styleId="39">
    <w:name w:val="Body Text 3"/>
    <w:basedOn w:val="1"/>
    <w:link w:val="489"/>
    <w:semiHidden/>
    <w:unhideWhenUsed/>
    <w:qFormat/>
    <w:uiPriority w:val="99"/>
    <w:pPr>
      <w:spacing w:after="120"/>
    </w:pPr>
    <w:rPr>
      <w:sz w:val="16"/>
      <w:szCs w:val="16"/>
    </w:rPr>
  </w:style>
  <w:style w:type="paragraph" w:styleId="40">
    <w:name w:val="Closing"/>
    <w:basedOn w:val="1"/>
    <w:link w:val="361"/>
    <w:semiHidden/>
    <w:unhideWhenUsed/>
    <w:qFormat/>
    <w:uiPriority w:val="99"/>
    <w:pPr>
      <w:ind w:left="100" w:leftChars="2100"/>
    </w:pPr>
  </w:style>
  <w:style w:type="paragraph" w:styleId="41">
    <w:name w:val="List Bullet 3"/>
    <w:basedOn w:val="1"/>
    <w:semiHidden/>
    <w:unhideWhenUsed/>
    <w:qFormat/>
    <w:uiPriority w:val="99"/>
    <w:pPr>
      <w:numPr>
        <w:ilvl w:val="0"/>
        <w:numId w:val="5"/>
      </w:numPr>
      <w:contextualSpacing/>
    </w:pPr>
  </w:style>
  <w:style w:type="paragraph" w:styleId="42">
    <w:name w:val="Body Text"/>
    <w:basedOn w:val="1"/>
    <w:link w:val="333"/>
    <w:semiHidden/>
    <w:unhideWhenUsed/>
    <w:qFormat/>
    <w:uiPriority w:val="99"/>
    <w:pPr>
      <w:spacing w:after="120"/>
    </w:pPr>
  </w:style>
  <w:style w:type="paragraph" w:styleId="43">
    <w:name w:val="List Number 3"/>
    <w:basedOn w:val="1"/>
    <w:semiHidden/>
    <w:unhideWhenUsed/>
    <w:qFormat/>
    <w:uiPriority w:val="99"/>
    <w:pPr>
      <w:numPr>
        <w:ilvl w:val="0"/>
        <w:numId w:val="6"/>
      </w:numPr>
      <w:contextualSpacing/>
    </w:pPr>
  </w:style>
  <w:style w:type="paragraph" w:styleId="44">
    <w:name w:val="List 2"/>
    <w:basedOn w:val="1"/>
    <w:semiHidden/>
    <w:unhideWhenUsed/>
    <w:qFormat/>
    <w:uiPriority w:val="99"/>
    <w:pPr>
      <w:ind w:left="100" w:leftChars="200" w:hanging="200" w:hangingChars="200"/>
      <w:contextualSpacing/>
    </w:pPr>
  </w:style>
  <w:style w:type="paragraph" w:styleId="45">
    <w:name w:val="List Continue"/>
    <w:basedOn w:val="1"/>
    <w:semiHidden/>
    <w:unhideWhenUsed/>
    <w:qFormat/>
    <w:uiPriority w:val="99"/>
    <w:pPr>
      <w:spacing w:after="120"/>
      <w:ind w:left="420" w:leftChars="200"/>
      <w:contextualSpacing/>
    </w:pPr>
  </w:style>
  <w:style w:type="paragraph" w:styleId="46">
    <w:name w:val="Block Text"/>
    <w:basedOn w:val="1"/>
    <w:semiHidden/>
    <w:unhideWhenUsed/>
    <w:qFormat/>
    <w:uiPriority w:val="99"/>
    <w:pPr>
      <w:spacing w:after="120"/>
      <w:ind w:left="1440" w:leftChars="700" w:right="1440" w:rightChars="700"/>
    </w:pPr>
  </w:style>
  <w:style w:type="paragraph" w:styleId="47">
    <w:name w:val="List Bullet 2"/>
    <w:basedOn w:val="1"/>
    <w:semiHidden/>
    <w:unhideWhenUsed/>
    <w:qFormat/>
    <w:uiPriority w:val="99"/>
    <w:pPr>
      <w:numPr>
        <w:ilvl w:val="0"/>
        <w:numId w:val="7"/>
      </w:numPr>
      <w:contextualSpacing/>
    </w:pPr>
  </w:style>
  <w:style w:type="paragraph" w:styleId="48">
    <w:name w:val="HTML Address"/>
    <w:basedOn w:val="1"/>
    <w:semiHidden/>
    <w:qFormat/>
    <w:uiPriority w:val="0"/>
    <w:rPr>
      <w:i/>
      <w:iCs/>
    </w:rPr>
  </w:style>
  <w:style w:type="paragraph" w:styleId="49">
    <w:name w:val="index 4"/>
    <w:basedOn w:val="1"/>
    <w:next w:val="1"/>
    <w:semiHidden/>
    <w:unhideWhenUsed/>
    <w:qFormat/>
    <w:uiPriority w:val="99"/>
    <w:pPr>
      <w:ind w:left="600" w:leftChars="600"/>
    </w:pPr>
  </w:style>
  <w:style w:type="paragraph" w:styleId="50">
    <w:name w:val="Plain Text"/>
    <w:basedOn w:val="1"/>
    <w:link w:val="357"/>
    <w:semiHidden/>
    <w:unhideWhenUsed/>
    <w:qFormat/>
    <w:uiPriority w:val="99"/>
    <w:rPr>
      <w:rFonts w:ascii="宋体" w:hAnsi="Courier New" w:cs="Courier New"/>
      <w:szCs w:val="21"/>
    </w:rPr>
  </w:style>
  <w:style w:type="paragraph" w:styleId="51">
    <w:name w:val="List Bullet 5"/>
    <w:basedOn w:val="1"/>
    <w:semiHidden/>
    <w:unhideWhenUsed/>
    <w:qFormat/>
    <w:uiPriority w:val="99"/>
    <w:pPr>
      <w:numPr>
        <w:ilvl w:val="0"/>
        <w:numId w:val="8"/>
      </w:numPr>
      <w:contextualSpacing/>
    </w:pPr>
  </w:style>
  <w:style w:type="paragraph" w:styleId="52">
    <w:name w:val="List Number 4"/>
    <w:basedOn w:val="1"/>
    <w:semiHidden/>
    <w:unhideWhenUsed/>
    <w:qFormat/>
    <w:uiPriority w:val="99"/>
    <w:pPr>
      <w:numPr>
        <w:ilvl w:val="0"/>
        <w:numId w:val="9"/>
      </w:numPr>
      <w:contextualSpacing/>
    </w:pPr>
  </w:style>
  <w:style w:type="paragraph" w:styleId="53">
    <w:name w:val="toc 8"/>
    <w:basedOn w:val="15"/>
    <w:next w:val="1"/>
    <w:qFormat/>
    <w:uiPriority w:val="0"/>
  </w:style>
  <w:style w:type="paragraph" w:styleId="54">
    <w:name w:val="index 3"/>
    <w:basedOn w:val="1"/>
    <w:next w:val="1"/>
    <w:semiHidden/>
    <w:unhideWhenUsed/>
    <w:qFormat/>
    <w:uiPriority w:val="99"/>
    <w:pPr>
      <w:ind w:left="400" w:leftChars="400"/>
    </w:pPr>
  </w:style>
  <w:style w:type="paragraph" w:styleId="55">
    <w:name w:val="Date"/>
    <w:basedOn w:val="1"/>
    <w:next w:val="1"/>
    <w:link w:val="420"/>
    <w:unhideWhenUsed/>
    <w:qFormat/>
    <w:uiPriority w:val="0"/>
    <w:pPr>
      <w:ind w:left="100" w:leftChars="2500"/>
    </w:pPr>
  </w:style>
  <w:style w:type="paragraph" w:styleId="56">
    <w:name w:val="Body Text Indent 2"/>
    <w:basedOn w:val="1"/>
    <w:link w:val="490"/>
    <w:unhideWhenUsed/>
    <w:qFormat/>
    <w:uiPriority w:val="0"/>
    <w:pPr>
      <w:spacing w:after="120" w:line="480" w:lineRule="auto"/>
      <w:ind w:left="420" w:leftChars="200"/>
    </w:pPr>
  </w:style>
  <w:style w:type="paragraph" w:styleId="57">
    <w:name w:val="endnote text"/>
    <w:basedOn w:val="1"/>
    <w:link w:val="473"/>
    <w:semiHidden/>
    <w:unhideWhenUsed/>
    <w:qFormat/>
    <w:uiPriority w:val="99"/>
    <w:pPr>
      <w:snapToGrid w:val="0"/>
      <w:jc w:val="left"/>
    </w:pPr>
  </w:style>
  <w:style w:type="paragraph" w:styleId="58">
    <w:name w:val="List Continue 5"/>
    <w:basedOn w:val="1"/>
    <w:semiHidden/>
    <w:unhideWhenUsed/>
    <w:qFormat/>
    <w:uiPriority w:val="99"/>
    <w:pPr>
      <w:spacing w:after="120"/>
      <w:ind w:left="2100" w:leftChars="1000"/>
      <w:contextualSpacing/>
    </w:pPr>
  </w:style>
  <w:style w:type="paragraph" w:styleId="59">
    <w:name w:val="Balloon Text"/>
    <w:basedOn w:val="1"/>
    <w:link w:val="367"/>
    <w:unhideWhenUsed/>
    <w:qFormat/>
    <w:uiPriority w:val="0"/>
    <w:rPr>
      <w:sz w:val="18"/>
      <w:szCs w:val="18"/>
    </w:rPr>
  </w:style>
  <w:style w:type="paragraph" w:styleId="60">
    <w:name w:val="footer"/>
    <w:basedOn w:val="1"/>
    <w:link w:val="518"/>
    <w:qFormat/>
    <w:uiPriority w:val="99"/>
    <w:pPr>
      <w:tabs>
        <w:tab w:val="center" w:pos="4153"/>
        <w:tab w:val="right" w:pos="8306"/>
      </w:tabs>
      <w:snapToGrid w:val="0"/>
      <w:ind w:right="210" w:rightChars="100"/>
      <w:jc w:val="right"/>
    </w:pPr>
    <w:rPr>
      <w:sz w:val="18"/>
      <w:szCs w:val="18"/>
    </w:rPr>
  </w:style>
  <w:style w:type="paragraph" w:styleId="61">
    <w:name w:val="envelope return"/>
    <w:basedOn w:val="1"/>
    <w:semiHidden/>
    <w:unhideWhenUsed/>
    <w:qFormat/>
    <w:uiPriority w:val="99"/>
    <w:pPr>
      <w:snapToGrid w:val="0"/>
    </w:pPr>
    <w:rPr>
      <w:rFonts w:asciiTheme="majorHAnsi" w:hAnsiTheme="majorHAnsi" w:eastAsiaTheme="majorEastAsia" w:cstheme="majorBidi"/>
    </w:rPr>
  </w:style>
  <w:style w:type="paragraph" w:styleId="62">
    <w:name w:val="header"/>
    <w:basedOn w:val="1"/>
    <w:link w:val="519"/>
    <w:qFormat/>
    <w:uiPriority w:val="99"/>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70"/>
    <w:semiHidden/>
    <w:unhideWhenUsed/>
    <w:qFormat/>
    <w:uiPriority w:val="99"/>
    <w:pPr>
      <w:ind w:left="100" w:leftChars="2100"/>
    </w:pPr>
  </w:style>
  <w:style w:type="paragraph" w:styleId="64">
    <w:name w:val="List Continue 4"/>
    <w:basedOn w:val="1"/>
    <w:semiHidden/>
    <w:unhideWhenUsed/>
    <w:qFormat/>
    <w:uiPriority w:val="99"/>
    <w:pPr>
      <w:spacing w:after="120"/>
      <w:ind w:left="1680" w:leftChars="800"/>
      <w:contextualSpacing/>
    </w:pPr>
  </w:style>
  <w:style w:type="paragraph" w:styleId="65">
    <w:name w:val="index heading"/>
    <w:basedOn w:val="1"/>
    <w:next w:val="66"/>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6">
    <w:name w:val="index 1"/>
    <w:basedOn w:val="1"/>
    <w:next w:val="1"/>
    <w:semiHidden/>
    <w:unhideWhenUsed/>
    <w:qFormat/>
    <w:uiPriority w:val="99"/>
    <w:rPr>
      <w:rFonts w:ascii="宋体" w:hAnsi="宋体"/>
    </w:rPr>
  </w:style>
  <w:style w:type="paragraph" w:styleId="67">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8">
    <w:name w:val="List Number 5"/>
    <w:basedOn w:val="1"/>
    <w:semiHidden/>
    <w:unhideWhenUsed/>
    <w:qFormat/>
    <w:uiPriority w:val="99"/>
    <w:pPr>
      <w:numPr>
        <w:ilvl w:val="0"/>
        <w:numId w:val="10"/>
      </w:numPr>
      <w:contextualSpacing/>
    </w:pPr>
  </w:style>
  <w:style w:type="paragraph" w:styleId="69">
    <w:name w:val="List"/>
    <w:basedOn w:val="1"/>
    <w:semiHidden/>
    <w:unhideWhenUsed/>
    <w:qFormat/>
    <w:uiPriority w:val="99"/>
    <w:pPr>
      <w:ind w:left="200" w:hanging="200" w:hangingChars="200"/>
      <w:contextualSpacing/>
    </w:pPr>
  </w:style>
  <w:style w:type="paragraph" w:styleId="70">
    <w:name w:val="footnote text"/>
    <w:basedOn w:val="1"/>
    <w:semiHidden/>
    <w:qFormat/>
    <w:uiPriority w:val="0"/>
    <w:pPr>
      <w:snapToGrid w:val="0"/>
      <w:ind w:left="400" w:leftChars="200" w:hanging="200" w:hangingChars="200"/>
      <w:jc w:val="left"/>
    </w:pPr>
    <w:rPr>
      <w:sz w:val="18"/>
      <w:szCs w:val="18"/>
    </w:rPr>
  </w:style>
  <w:style w:type="paragraph" w:styleId="71">
    <w:name w:val="List 5"/>
    <w:basedOn w:val="1"/>
    <w:semiHidden/>
    <w:unhideWhenUsed/>
    <w:qFormat/>
    <w:uiPriority w:val="99"/>
    <w:pPr>
      <w:ind w:left="100" w:leftChars="800" w:hanging="200" w:hangingChars="200"/>
      <w:contextualSpacing/>
    </w:pPr>
  </w:style>
  <w:style w:type="paragraph" w:styleId="72">
    <w:name w:val="Body Text Indent 3"/>
    <w:basedOn w:val="1"/>
    <w:link w:val="491"/>
    <w:semiHidden/>
    <w:unhideWhenUsed/>
    <w:qFormat/>
    <w:uiPriority w:val="99"/>
    <w:pPr>
      <w:spacing w:after="120"/>
      <w:ind w:left="420" w:leftChars="200"/>
    </w:pPr>
    <w:rPr>
      <w:sz w:val="16"/>
      <w:szCs w:val="16"/>
    </w:rPr>
  </w:style>
  <w:style w:type="paragraph" w:styleId="73">
    <w:name w:val="index 7"/>
    <w:basedOn w:val="1"/>
    <w:next w:val="1"/>
    <w:semiHidden/>
    <w:unhideWhenUsed/>
    <w:qFormat/>
    <w:uiPriority w:val="99"/>
    <w:pPr>
      <w:ind w:left="1200" w:leftChars="1200"/>
    </w:pPr>
  </w:style>
  <w:style w:type="paragraph" w:styleId="74">
    <w:name w:val="index 9"/>
    <w:basedOn w:val="1"/>
    <w:next w:val="1"/>
    <w:semiHidden/>
    <w:unhideWhenUsed/>
    <w:qFormat/>
    <w:uiPriority w:val="99"/>
    <w:pPr>
      <w:ind w:left="1600" w:leftChars="1600"/>
    </w:pPr>
  </w:style>
  <w:style w:type="paragraph" w:styleId="75">
    <w:name w:val="table of figures"/>
    <w:basedOn w:val="1"/>
    <w:next w:val="1"/>
    <w:semiHidden/>
    <w:qFormat/>
    <w:uiPriority w:val="0"/>
  </w:style>
  <w:style w:type="paragraph" w:styleId="76">
    <w:name w:val="toc 9"/>
    <w:basedOn w:val="53"/>
    <w:next w:val="1"/>
    <w:qFormat/>
    <w:uiPriority w:val="0"/>
  </w:style>
  <w:style w:type="paragraph" w:styleId="77">
    <w:name w:val="Body Text 2"/>
    <w:basedOn w:val="1"/>
    <w:link w:val="488"/>
    <w:semiHidden/>
    <w:unhideWhenUsed/>
    <w:qFormat/>
    <w:uiPriority w:val="99"/>
    <w:pPr>
      <w:spacing w:after="120" w:line="480" w:lineRule="auto"/>
    </w:pPr>
  </w:style>
  <w:style w:type="paragraph" w:styleId="78">
    <w:name w:val="List 4"/>
    <w:basedOn w:val="1"/>
    <w:semiHidden/>
    <w:unhideWhenUsed/>
    <w:qFormat/>
    <w:uiPriority w:val="99"/>
    <w:pPr>
      <w:ind w:left="100" w:leftChars="600" w:hanging="200" w:hangingChars="200"/>
      <w:contextualSpacing/>
    </w:pPr>
  </w:style>
  <w:style w:type="paragraph" w:styleId="79">
    <w:name w:val="List Continue 2"/>
    <w:basedOn w:val="1"/>
    <w:semiHidden/>
    <w:unhideWhenUsed/>
    <w:qFormat/>
    <w:uiPriority w:val="99"/>
    <w:pPr>
      <w:spacing w:after="120"/>
      <w:ind w:left="840" w:leftChars="400"/>
      <w:contextualSpacing/>
    </w:pPr>
  </w:style>
  <w:style w:type="paragraph" w:styleId="80">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1">
    <w:name w:val="HTML Preformatted"/>
    <w:basedOn w:val="1"/>
    <w:semiHidden/>
    <w:qFormat/>
    <w:uiPriority w:val="0"/>
    <w:rPr>
      <w:rFonts w:ascii="Courier New" w:hAnsi="Courier New" w:cs="Courier New"/>
      <w:sz w:val="20"/>
      <w:szCs w:val="20"/>
    </w:rPr>
  </w:style>
  <w:style w:type="paragraph" w:styleId="82">
    <w:name w:val="Normal (Web)"/>
    <w:basedOn w:val="1"/>
    <w:unhideWhenUsed/>
    <w:qFormat/>
    <w:uiPriority w:val="0"/>
    <w:rPr>
      <w:sz w:val="24"/>
    </w:rPr>
  </w:style>
  <w:style w:type="paragraph" w:styleId="83">
    <w:name w:val="List Continue 3"/>
    <w:basedOn w:val="1"/>
    <w:semiHidden/>
    <w:unhideWhenUsed/>
    <w:qFormat/>
    <w:uiPriority w:val="99"/>
    <w:pPr>
      <w:spacing w:after="120"/>
      <w:ind w:left="1260" w:leftChars="600"/>
      <w:contextualSpacing/>
    </w:pPr>
  </w:style>
  <w:style w:type="paragraph" w:styleId="84">
    <w:name w:val="index 2"/>
    <w:basedOn w:val="1"/>
    <w:next w:val="1"/>
    <w:unhideWhenUsed/>
    <w:qFormat/>
    <w:uiPriority w:val="0"/>
    <w:pPr>
      <w:ind w:left="200" w:leftChars="200"/>
    </w:pPr>
  </w:style>
  <w:style w:type="paragraph" w:styleId="85">
    <w:name w:val="Title"/>
    <w:basedOn w:val="1"/>
    <w:qFormat/>
    <w:uiPriority w:val="0"/>
    <w:pPr>
      <w:spacing w:before="240" w:after="60"/>
      <w:jc w:val="center"/>
      <w:outlineLvl w:val="0"/>
    </w:pPr>
    <w:rPr>
      <w:rFonts w:ascii="Arial" w:hAnsi="Arial" w:cs="Arial"/>
      <w:b/>
      <w:bCs/>
      <w:sz w:val="32"/>
      <w:szCs w:val="32"/>
    </w:rPr>
  </w:style>
  <w:style w:type="paragraph" w:styleId="86">
    <w:name w:val="annotation subject"/>
    <w:basedOn w:val="36"/>
    <w:next w:val="36"/>
    <w:link w:val="369"/>
    <w:unhideWhenUsed/>
    <w:qFormat/>
    <w:uiPriority w:val="0"/>
    <w:rPr>
      <w:b/>
      <w:bCs/>
    </w:rPr>
  </w:style>
  <w:style w:type="paragraph" w:styleId="87">
    <w:name w:val="Body Text First Indent"/>
    <w:basedOn w:val="42"/>
    <w:link w:val="485"/>
    <w:semiHidden/>
    <w:unhideWhenUsed/>
    <w:qFormat/>
    <w:uiPriority w:val="99"/>
    <w:pPr>
      <w:ind w:firstLine="420" w:firstLineChars="100"/>
    </w:pPr>
  </w:style>
  <w:style w:type="table" w:styleId="89">
    <w:name w:val="Table Grid"/>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unhideWhenUsed/>
    <w:qFormat/>
    <w:uiPriority w:val="0"/>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link w:val="551"/>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link w:val="522"/>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link w:val="523"/>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70"/>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0"/>
      </w:numPr>
      <w:tabs>
        <w:tab w:val="clear" w:pos="360"/>
      </w:tabs>
    </w:pPr>
  </w:style>
  <w:style w:type="paragraph" w:customStyle="1" w:styleId="303">
    <w:name w:val="注："/>
    <w:next w:val="1"/>
    <w:qFormat/>
    <w:uiPriority w:val="0"/>
    <w:pPr>
      <w:widowControl w:val="0"/>
      <w:numPr>
        <w:ilvl w:val="0"/>
        <w:numId w:val="20"/>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1"/>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2"/>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3"/>
      </w:numPr>
    </w:pPr>
    <w:rPr>
      <w:rFonts w:ascii="宋体"/>
      <w:kern w:val="0"/>
      <w:sz w:val="18"/>
      <w:szCs w:val="18"/>
    </w:rPr>
  </w:style>
  <w:style w:type="paragraph" w:customStyle="1" w:styleId="308">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4"/>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字符"/>
    <w:basedOn w:val="231"/>
    <w:link w:val="42"/>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2"/>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标题1"/>
    <w:basedOn w:val="5"/>
    <w:next w:val="1"/>
    <w:unhideWhenUsed/>
    <w:qFormat/>
    <w:uiPriority w:val="39"/>
    <w:pPr>
      <w:outlineLvl w:val="9"/>
    </w:pPr>
  </w:style>
  <w:style w:type="character" w:customStyle="1" w:styleId="354">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8"/>
    <w:semiHidden/>
    <w:qFormat/>
    <w:uiPriority w:val="99"/>
    <w:rPr>
      <w:kern w:val="2"/>
      <w:sz w:val="21"/>
      <w:szCs w:val="24"/>
    </w:rPr>
  </w:style>
  <w:style w:type="character" w:customStyle="1" w:styleId="357">
    <w:name w:val="纯文本 字符"/>
    <w:basedOn w:val="231"/>
    <w:link w:val="50"/>
    <w:semiHidden/>
    <w:qFormat/>
    <w:uiPriority w:val="99"/>
    <w:rPr>
      <w:rFonts w:ascii="宋体" w:hAnsi="Courier New" w:cs="Courier New"/>
      <w:kern w:val="2"/>
      <w:sz w:val="21"/>
      <w:szCs w:val="21"/>
    </w:rPr>
  </w:style>
  <w:style w:type="character" w:customStyle="1" w:styleId="358">
    <w:name w:val="电子邮件签名 字符"/>
    <w:basedOn w:val="231"/>
    <w:link w:val="27"/>
    <w:semiHidden/>
    <w:qFormat/>
    <w:uiPriority w:val="99"/>
    <w:rPr>
      <w:kern w:val="2"/>
      <w:sz w:val="21"/>
      <w:szCs w:val="24"/>
    </w:rPr>
  </w:style>
  <w:style w:type="character" w:customStyle="1" w:styleId="359">
    <w:name w:val="副标题 字符"/>
    <w:basedOn w:val="231"/>
    <w:link w:val="67"/>
    <w:qFormat/>
    <w:uiPriority w:val="11"/>
    <w:rPr>
      <w:rFonts w:asciiTheme="majorHAnsi" w:hAnsiTheme="majorHAnsi" w:cstheme="majorBidi"/>
      <w:b/>
      <w:bCs/>
      <w:kern w:val="28"/>
      <w:sz w:val="32"/>
      <w:szCs w:val="32"/>
    </w:rPr>
  </w:style>
  <w:style w:type="character" w:customStyle="1" w:styleId="360">
    <w:name w:val="宏文本 字符"/>
    <w:basedOn w:val="231"/>
    <w:link w:val="4"/>
    <w:semiHidden/>
    <w:qFormat/>
    <w:uiPriority w:val="99"/>
    <w:rPr>
      <w:rFonts w:ascii="Courier New" w:hAnsi="Courier New" w:cs="Courier New"/>
      <w:kern w:val="2"/>
      <w:sz w:val="24"/>
      <w:szCs w:val="24"/>
    </w:rPr>
  </w:style>
  <w:style w:type="character" w:customStyle="1" w:styleId="361">
    <w:name w:val="结束语 字符"/>
    <w:basedOn w:val="231"/>
    <w:link w:val="40"/>
    <w:semiHidden/>
    <w:qFormat/>
    <w:uiPriority w:val="99"/>
    <w:rPr>
      <w:kern w:val="2"/>
      <w:sz w:val="21"/>
      <w:szCs w:val="24"/>
    </w:rPr>
  </w:style>
  <w:style w:type="paragraph" w:styleId="362">
    <w:name w:val="List Paragraph"/>
    <w:basedOn w:val="1"/>
    <w:qFormat/>
    <w:uiPriority w:val="99"/>
    <w:pPr>
      <w:ind w:firstLine="420" w:firstLineChars="200"/>
    </w:pPr>
  </w:style>
  <w:style w:type="character" w:customStyle="1" w:styleId="363">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4">
    <w:name w:val="明显强调1"/>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9"/>
    <w:qFormat/>
    <w:uiPriority w:val="99"/>
    <w:rPr>
      <w:kern w:val="2"/>
      <w:sz w:val="18"/>
      <w:szCs w:val="18"/>
    </w:rPr>
  </w:style>
  <w:style w:type="character" w:customStyle="1" w:styleId="368">
    <w:name w:val="批注文字 字符"/>
    <w:basedOn w:val="231"/>
    <w:link w:val="36"/>
    <w:qFormat/>
    <w:uiPriority w:val="0"/>
    <w:rPr>
      <w:kern w:val="2"/>
      <w:sz w:val="21"/>
      <w:szCs w:val="24"/>
    </w:rPr>
  </w:style>
  <w:style w:type="character" w:customStyle="1" w:styleId="369">
    <w:name w:val="批注主题 字符"/>
    <w:basedOn w:val="368"/>
    <w:link w:val="86"/>
    <w:qFormat/>
    <w:uiPriority w:val="0"/>
    <w:rPr>
      <w:b/>
      <w:bCs/>
      <w:kern w:val="2"/>
      <w:sz w:val="21"/>
      <w:szCs w:val="24"/>
    </w:rPr>
  </w:style>
  <w:style w:type="character" w:customStyle="1" w:styleId="370">
    <w:name w:val="签名 字符"/>
    <w:basedOn w:val="231"/>
    <w:link w:val="63"/>
    <w:semiHidden/>
    <w:qFormat/>
    <w:uiPriority w:val="99"/>
    <w:rPr>
      <w:kern w:val="2"/>
      <w:sz w:val="21"/>
      <w:szCs w:val="24"/>
    </w:rPr>
  </w:style>
  <w:style w:type="table" w:customStyle="1" w:styleId="371">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5"/>
    <w:qFormat/>
    <w:uiPriority w:val="0"/>
    <w:rPr>
      <w:kern w:val="2"/>
      <w:sz w:val="21"/>
      <w:szCs w:val="24"/>
    </w:rPr>
  </w:style>
  <w:style w:type="character" w:customStyle="1" w:styleId="421">
    <w:name w:val="书籍标题1"/>
    <w:basedOn w:val="231"/>
    <w:qFormat/>
    <w:uiPriority w:val="33"/>
    <w:rPr>
      <w:b/>
      <w:bCs/>
      <w:i/>
      <w:iCs/>
      <w:spacing w:val="5"/>
    </w:rPr>
  </w:style>
  <w:style w:type="paragraph" w:customStyle="1" w:styleId="422">
    <w:name w:val="书目1"/>
    <w:basedOn w:val="1"/>
    <w:next w:val="1"/>
    <w:semiHidden/>
    <w:unhideWhenUsed/>
    <w:qFormat/>
    <w:uiPriority w:val="37"/>
  </w:style>
  <w:style w:type="table" w:customStyle="1" w:styleId="423">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着色 41"/>
    <w:basedOn w:val="88"/>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7"/>
    <w:semiHidden/>
    <w:qFormat/>
    <w:uiPriority w:val="99"/>
    <w:rPr>
      <w:kern w:val="2"/>
      <w:sz w:val="21"/>
      <w:szCs w:val="24"/>
    </w:rPr>
  </w:style>
  <w:style w:type="character" w:customStyle="1" w:styleId="474">
    <w:name w:val="文档结构图 字符"/>
    <w:basedOn w:val="231"/>
    <w:link w:val="34"/>
    <w:qFormat/>
    <w:uiPriority w:val="0"/>
    <w:rPr>
      <w:rFonts w:ascii="Microsoft YaHei UI" w:eastAsia="Microsoft YaHei UI"/>
      <w:kern w:val="2"/>
      <w:sz w:val="18"/>
      <w:szCs w:val="18"/>
    </w:rPr>
  </w:style>
  <w:style w:type="table" w:customStyle="1" w:styleId="475">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80"/>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文本首行缩进 字符"/>
    <w:basedOn w:val="333"/>
    <w:link w:val="87"/>
    <w:semiHidden/>
    <w:qFormat/>
    <w:uiPriority w:val="99"/>
    <w:rPr>
      <w:kern w:val="2"/>
      <w:sz w:val="21"/>
      <w:szCs w:val="24"/>
    </w:rPr>
  </w:style>
  <w:style w:type="character" w:customStyle="1" w:styleId="486">
    <w:name w:val="正文文本缩进 字符"/>
    <w:basedOn w:val="231"/>
    <w:link w:val="3"/>
    <w:semiHidden/>
    <w:qFormat/>
    <w:uiPriority w:val="99"/>
    <w:rPr>
      <w:kern w:val="2"/>
      <w:sz w:val="21"/>
      <w:szCs w:val="24"/>
    </w:rPr>
  </w:style>
  <w:style w:type="character" w:customStyle="1" w:styleId="487">
    <w:name w:val="正文文本首行缩进 2 字符"/>
    <w:basedOn w:val="486"/>
    <w:link w:val="2"/>
    <w:semiHidden/>
    <w:qFormat/>
    <w:uiPriority w:val="99"/>
    <w:rPr>
      <w:kern w:val="2"/>
      <w:sz w:val="21"/>
      <w:szCs w:val="24"/>
    </w:rPr>
  </w:style>
  <w:style w:type="character" w:customStyle="1" w:styleId="488">
    <w:name w:val="正文文本 2 字符"/>
    <w:basedOn w:val="231"/>
    <w:link w:val="77"/>
    <w:semiHidden/>
    <w:qFormat/>
    <w:uiPriority w:val="99"/>
    <w:rPr>
      <w:kern w:val="2"/>
      <w:sz w:val="21"/>
      <w:szCs w:val="24"/>
    </w:rPr>
  </w:style>
  <w:style w:type="character" w:customStyle="1" w:styleId="489">
    <w:name w:val="正文文本 3 字符"/>
    <w:basedOn w:val="231"/>
    <w:link w:val="39"/>
    <w:semiHidden/>
    <w:qFormat/>
    <w:uiPriority w:val="99"/>
    <w:rPr>
      <w:kern w:val="2"/>
      <w:sz w:val="16"/>
      <w:szCs w:val="16"/>
    </w:rPr>
  </w:style>
  <w:style w:type="character" w:customStyle="1" w:styleId="490">
    <w:name w:val="正文文本缩进 2 字符"/>
    <w:basedOn w:val="231"/>
    <w:link w:val="56"/>
    <w:qFormat/>
    <w:uiPriority w:val="0"/>
    <w:rPr>
      <w:kern w:val="2"/>
      <w:sz w:val="21"/>
      <w:szCs w:val="24"/>
    </w:rPr>
  </w:style>
  <w:style w:type="character" w:customStyle="1" w:styleId="491">
    <w:name w:val="正文文本缩进 3 字符"/>
    <w:basedOn w:val="231"/>
    <w:link w:val="72"/>
    <w:semiHidden/>
    <w:qFormat/>
    <w:uiPriority w:val="99"/>
    <w:rPr>
      <w:kern w:val="2"/>
      <w:sz w:val="16"/>
      <w:szCs w:val="16"/>
    </w:rPr>
  </w:style>
  <w:style w:type="character" w:customStyle="1" w:styleId="492">
    <w:name w:val="注释标题 字符"/>
    <w:basedOn w:val="231"/>
    <w:link w:val="24"/>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2"/>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2"/>
    <w:qFormat/>
    <w:uiPriority w:val="0"/>
    <w:pPr>
      <w:numPr>
        <w:ilvl w:val="1"/>
        <w:numId w:val="26"/>
      </w:numPr>
    </w:pPr>
  </w:style>
  <w:style w:type="character" w:customStyle="1" w:styleId="513">
    <w:name w:val="段 Char"/>
    <w:link w:val="258"/>
    <w:qFormat/>
    <w:uiPriority w:val="0"/>
    <w:rPr>
      <w:rFonts w:ascii="宋体"/>
      <w:sz w:val="21"/>
    </w:rPr>
  </w:style>
  <w:style w:type="character" w:customStyle="1" w:styleId="514">
    <w:name w:val="未处理的提及1"/>
    <w:basedOn w:val="231"/>
    <w:semiHidden/>
    <w:unhideWhenUsed/>
    <w:qFormat/>
    <w:uiPriority w:val="99"/>
    <w:rPr>
      <w:color w:val="605E5C"/>
      <w:shd w:val="clear" w:color="auto" w:fill="E1DFDD"/>
    </w:rPr>
  </w:style>
  <w:style w:type="paragraph" w:customStyle="1" w:styleId="515">
    <w:name w:val="列项——（一级）"/>
    <w:qFormat/>
    <w:uiPriority w:val="0"/>
    <w:pPr>
      <w:widowControl w:val="0"/>
      <w:numPr>
        <w:ilvl w:val="0"/>
        <w:numId w:val="27"/>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7"/>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7"/>
      </w:numPr>
    </w:pPr>
    <w:rPr>
      <w:rFonts w:ascii="宋体"/>
      <w:szCs w:val="21"/>
    </w:rPr>
  </w:style>
  <w:style w:type="character" w:customStyle="1" w:styleId="518">
    <w:name w:val="页脚 字符"/>
    <w:link w:val="60"/>
    <w:qFormat/>
    <w:uiPriority w:val="99"/>
    <w:rPr>
      <w:kern w:val="2"/>
      <w:sz w:val="18"/>
      <w:szCs w:val="18"/>
    </w:rPr>
  </w:style>
  <w:style w:type="character" w:customStyle="1" w:styleId="519">
    <w:name w:val="页眉 字符"/>
    <w:link w:val="62"/>
    <w:qFormat/>
    <w:uiPriority w:val="99"/>
    <w:rPr>
      <w:kern w:val="2"/>
      <w:sz w:val="18"/>
      <w:szCs w:val="18"/>
    </w:rPr>
  </w:style>
  <w:style w:type="paragraph" w:customStyle="1" w:styleId="520">
    <w:name w:val="表内文字"/>
    <w:basedOn w:val="1"/>
    <w:qFormat/>
    <w:uiPriority w:val="0"/>
    <w:pPr>
      <w:spacing w:line="240" w:lineRule="atLeast"/>
    </w:pPr>
    <w:rPr>
      <w:rFonts w:ascii="宋体" w:hAnsi="宋体"/>
      <w:bCs/>
      <w:kern w:val="0"/>
      <w:szCs w:val="21"/>
    </w:rPr>
  </w:style>
  <w:style w:type="paragraph" w:customStyle="1" w:styleId="521">
    <w:name w:val="三级无"/>
    <w:basedOn w:val="290"/>
    <w:qFormat/>
    <w:uiPriority w:val="0"/>
    <w:pPr>
      <w:numPr>
        <w:ilvl w:val="0"/>
        <w:numId w:val="0"/>
      </w:numPr>
      <w:spacing w:before="0" w:beforeLines="0" w:after="0" w:afterLines="0"/>
      <w:outlineLvl w:val="4"/>
    </w:pPr>
    <w:rPr>
      <w:rFonts w:ascii="宋体" w:eastAsia="宋体"/>
    </w:rPr>
  </w:style>
  <w:style w:type="character" w:customStyle="1" w:styleId="522">
    <w:name w:val="一级条标题 Char Char"/>
    <w:link w:val="260"/>
    <w:qFormat/>
    <w:uiPriority w:val="0"/>
    <w:rPr>
      <w:rFonts w:ascii="黑体" w:eastAsia="黑体"/>
      <w:sz w:val="21"/>
      <w:szCs w:val="21"/>
    </w:rPr>
  </w:style>
  <w:style w:type="character" w:customStyle="1" w:styleId="523">
    <w:name w:val="二级条标题 Char Char"/>
    <w:link w:val="261"/>
    <w:qFormat/>
    <w:uiPriority w:val="0"/>
    <w:rPr>
      <w:rFonts w:ascii="黑体" w:eastAsia="黑体"/>
      <w:sz w:val="21"/>
      <w:szCs w:val="21"/>
    </w:rPr>
  </w:style>
  <w:style w:type="character" w:customStyle="1" w:styleId="524">
    <w:name w:val="标题 1 字符"/>
    <w:link w:val="5"/>
    <w:qFormat/>
    <w:uiPriority w:val="0"/>
    <w:rPr>
      <w:b/>
      <w:bCs/>
      <w:kern w:val="44"/>
      <w:sz w:val="44"/>
      <w:szCs w:val="44"/>
    </w:rPr>
  </w:style>
  <w:style w:type="character" w:customStyle="1" w:styleId="525">
    <w:name w:val="标题 2 字符"/>
    <w:link w:val="6"/>
    <w:qFormat/>
    <w:uiPriority w:val="0"/>
    <w:rPr>
      <w:rFonts w:ascii="Arial" w:hAnsi="Arial" w:eastAsia="黑体"/>
      <w:b/>
      <w:bCs/>
      <w:kern w:val="2"/>
      <w:sz w:val="32"/>
      <w:szCs w:val="32"/>
    </w:rPr>
  </w:style>
  <w:style w:type="character" w:customStyle="1" w:styleId="526">
    <w:name w:val="标题 3 字符"/>
    <w:link w:val="7"/>
    <w:qFormat/>
    <w:uiPriority w:val="0"/>
    <w:rPr>
      <w:b/>
      <w:bCs/>
      <w:kern w:val="2"/>
      <w:sz w:val="32"/>
      <w:szCs w:val="32"/>
    </w:rPr>
  </w:style>
  <w:style w:type="character" w:customStyle="1" w:styleId="527">
    <w:name w:val="标题 4 字符"/>
    <w:link w:val="8"/>
    <w:qFormat/>
    <w:uiPriority w:val="0"/>
    <w:rPr>
      <w:rFonts w:ascii="Arial" w:hAnsi="Arial" w:eastAsia="黑体"/>
      <w:b/>
      <w:bCs/>
      <w:kern w:val="2"/>
      <w:sz w:val="28"/>
      <w:szCs w:val="28"/>
    </w:rPr>
  </w:style>
  <w:style w:type="character" w:customStyle="1" w:styleId="528">
    <w:name w:val="标题 5 字符"/>
    <w:link w:val="9"/>
    <w:qFormat/>
    <w:uiPriority w:val="0"/>
    <w:rPr>
      <w:b/>
      <w:bCs/>
      <w:kern w:val="2"/>
      <w:sz w:val="28"/>
      <w:szCs w:val="28"/>
    </w:rPr>
  </w:style>
  <w:style w:type="character" w:customStyle="1" w:styleId="529">
    <w:name w:val="TOC 1 字符"/>
    <w:link w:val="21"/>
    <w:qFormat/>
    <w:uiPriority w:val="39"/>
    <w:rPr>
      <w:rFonts w:ascii="宋体"/>
      <w:sz w:val="21"/>
    </w:rPr>
  </w:style>
  <w:style w:type="paragraph" w:customStyle="1" w:styleId="530">
    <w:name w:val="样式 样式1 + 段前: 0.5 行 段后: 0.5 行"/>
    <w:basedOn w:val="531"/>
    <w:qFormat/>
    <w:uiPriority w:val="0"/>
    <w:pPr>
      <w:tabs>
        <w:tab w:val="left" w:pos="1680"/>
      </w:tabs>
      <w:spacing w:before="156" w:beforeLines="50" w:after="156" w:afterLines="50"/>
      <w:ind w:left="1986" w:hanging="420"/>
    </w:pPr>
  </w:style>
  <w:style w:type="paragraph" w:customStyle="1" w:styleId="531">
    <w:name w:val="样式1"/>
    <w:basedOn w:val="8"/>
    <w:qFormat/>
    <w:uiPriority w:val="0"/>
    <w:pPr>
      <w:keepNext w:val="0"/>
      <w:keepLines w:val="0"/>
      <w:widowControl/>
      <w:adjustRightInd w:val="0"/>
      <w:spacing w:before="0" w:after="0" w:line="240" w:lineRule="auto"/>
      <w:jc w:val="left"/>
      <w:outlineLvl w:val="9"/>
    </w:pPr>
    <w:rPr>
      <w:rFonts w:ascii="Times New Roman" w:hAnsi="Times New Roman"/>
      <w:b w:val="0"/>
      <w:bCs w:val="0"/>
      <w:kern w:val="0"/>
      <w:sz w:val="21"/>
      <w:szCs w:val="20"/>
    </w:rPr>
  </w:style>
  <w:style w:type="paragraph" w:customStyle="1" w:styleId="532">
    <w:name w:val="样式 样式 样式 样式1 + 段前: 0.5 行 段后: 0.5 行 + 段前: 0.5 行 段后: 0.5 行 + 段前: 0..."/>
    <w:basedOn w:val="533"/>
    <w:qFormat/>
    <w:uiPriority w:val="0"/>
    <w:pPr>
      <w:tabs>
        <w:tab w:val="left" w:pos="1680"/>
      </w:tabs>
    </w:pPr>
  </w:style>
  <w:style w:type="paragraph" w:customStyle="1" w:styleId="533">
    <w:name w:val="样式 样式 样式1 + 段前: 0.5 行 段后: 0.5 行 + 段前: 0.5 行 段后: 0.5 行"/>
    <w:basedOn w:val="530"/>
    <w:qFormat/>
    <w:uiPriority w:val="0"/>
    <w:rPr>
      <w:rFonts w:hAnsi="黑体" w:eastAsia="宋体"/>
    </w:rPr>
  </w:style>
  <w:style w:type="paragraph" w:customStyle="1" w:styleId="53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35">
    <w:name w:val="TOC 标题11"/>
    <w:basedOn w:val="5"/>
    <w:next w:val="1"/>
    <w:qFormat/>
    <w:uiPriority w:val="39"/>
    <w:pPr>
      <w:widowControl/>
      <w:spacing w:before="480" w:after="0" w:line="276" w:lineRule="auto"/>
      <w:ind w:left="425" w:hanging="425"/>
      <w:jc w:val="left"/>
      <w:outlineLvl w:val="9"/>
    </w:pPr>
    <w:rPr>
      <w:rFonts w:ascii="Cambria" w:hAnsi="Cambria"/>
      <w:color w:val="365F91"/>
      <w:kern w:val="0"/>
      <w:sz w:val="28"/>
      <w:szCs w:val="28"/>
    </w:rPr>
  </w:style>
  <w:style w:type="paragraph" w:customStyle="1" w:styleId="536">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537">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38">
    <w:name w:val="注：（正文）"/>
    <w:basedOn w:val="303"/>
    <w:next w:val="258"/>
    <w:qFormat/>
    <w:uiPriority w:val="0"/>
    <w:pPr>
      <w:numPr>
        <w:ilvl w:val="0"/>
        <w:numId w:val="28"/>
      </w:numPr>
    </w:pPr>
  </w:style>
  <w:style w:type="paragraph" w:customStyle="1" w:styleId="539">
    <w:name w:val="样式 样式 样式 样式 样式 样式1 + 段前: 0.5 行 段后: 0.5 行 + 段前: 0.5 行 段后: 0.5 行 +...1"/>
    <w:basedOn w:val="540"/>
    <w:qFormat/>
    <w:uiPriority w:val="0"/>
    <w:pPr>
      <w:tabs>
        <w:tab w:val="left" w:pos="1680"/>
      </w:tabs>
      <w:ind w:left="0"/>
    </w:pPr>
  </w:style>
  <w:style w:type="paragraph" w:customStyle="1" w:styleId="540">
    <w:name w:val="样式 样式 样式 样式 样式1 + 段前: 0.5 行 段后: 0.5 行 + 段前: 0.5 行 段后: 0.5 行 + 段前..."/>
    <w:basedOn w:val="532"/>
    <w:qFormat/>
    <w:uiPriority w:val="0"/>
  </w:style>
  <w:style w:type="paragraph" w:customStyle="1" w:styleId="54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542">
    <w:name w:val="列表段落1"/>
    <w:basedOn w:val="1"/>
    <w:qFormat/>
    <w:uiPriority w:val="34"/>
    <w:pPr>
      <w:ind w:firstLine="420" w:firstLineChars="200"/>
    </w:pPr>
  </w:style>
  <w:style w:type="paragraph" w:customStyle="1" w:styleId="543">
    <w:name w:val="D2"/>
    <w:basedOn w:val="1"/>
    <w:qFormat/>
    <w:uiPriority w:val="0"/>
    <w:pPr>
      <w:spacing w:line="480" w:lineRule="auto"/>
    </w:pPr>
    <w:rPr>
      <w:rFonts w:ascii="EU-F1" w:eastAsia="黑体"/>
      <w:szCs w:val="21"/>
    </w:rPr>
  </w:style>
  <w:style w:type="paragraph" w:customStyle="1" w:styleId="544">
    <w:name w:val="样式 样式 样式 样式 样式 样式 样式1 + 段前: 0.5 行 段后: 0.5 行 + 段前: 0.5 行 段后: 0.5 ...1"/>
    <w:basedOn w:val="539"/>
    <w:qFormat/>
    <w:uiPriority w:val="0"/>
    <w:pPr>
      <w:spacing w:before="50" w:beforeLines="0" w:after="50" w:afterLines="0"/>
      <w:ind w:left="1843" w:firstLine="0"/>
    </w:pPr>
    <w:rPr>
      <w:rFonts w:cs="宋体"/>
    </w:rPr>
  </w:style>
  <w:style w:type="paragraph" w:customStyle="1" w:styleId="545">
    <w:name w:val="正文1"/>
    <w:qFormat/>
    <w:uiPriority w:val="0"/>
    <w:pPr>
      <w:jc w:val="both"/>
    </w:pPr>
    <w:rPr>
      <w:rFonts w:ascii="Calibri" w:hAnsi="Calibri" w:eastAsia="宋体" w:cs="Calibri"/>
      <w:kern w:val="2"/>
      <w:sz w:val="21"/>
      <w:szCs w:val="21"/>
      <w:lang w:val="en-US" w:eastAsia="zh-CN" w:bidi="ar-SA"/>
    </w:rPr>
  </w:style>
  <w:style w:type="paragraph" w:customStyle="1" w:styleId="546">
    <w:name w:val="标准文件_附录表标题"/>
    <w:basedOn w:val="1"/>
    <w:next w:val="1"/>
    <w:qFormat/>
    <w:uiPriority w:val="0"/>
    <w:pPr>
      <w:widowControl/>
      <w:adjustRightInd w:val="0"/>
      <w:snapToGrid w:val="0"/>
      <w:spacing w:beforeLines="50" w:afterLines="50"/>
      <w:ind w:firstLine="420"/>
      <w:jc w:val="center"/>
      <w:textAlignment w:val="baseline"/>
    </w:pPr>
    <w:rPr>
      <w:rFonts w:ascii="黑体" w:eastAsia="黑体"/>
      <w:kern w:val="21"/>
      <w:szCs w:val="21"/>
    </w:rPr>
  </w:style>
  <w:style w:type="paragraph" w:customStyle="1" w:styleId="547">
    <w:name w:val="标准文件_表格"/>
    <w:basedOn w:val="1"/>
    <w:qFormat/>
    <w:uiPriority w:val="0"/>
    <w:pPr>
      <w:widowControl/>
      <w:autoSpaceDE w:val="0"/>
      <w:autoSpaceDN w:val="0"/>
      <w:jc w:val="center"/>
    </w:pPr>
    <w:rPr>
      <w:rFonts w:ascii="宋体"/>
      <w:kern w:val="0"/>
      <w:sz w:val="18"/>
      <w:szCs w:val="18"/>
    </w:rPr>
  </w:style>
  <w:style w:type="character" w:customStyle="1" w:styleId="548">
    <w:name w:val="段 Char Char"/>
    <w:qFormat/>
    <w:uiPriority w:val="0"/>
    <w:rPr>
      <w:rFonts w:ascii="宋体"/>
      <w:sz w:val="21"/>
      <w:lang w:val="en-US" w:eastAsia="zh-CN" w:bidi="ar-SA"/>
    </w:rPr>
  </w:style>
  <w:style w:type="character" w:customStyle="1" w:styleId="549">
    <w:name w:val="一级条标题 Char"/>
    <w:uiPriority w:val="0"/>
    <w:rPr>
      <w:rFonts w:ascii="黑体" w:hAnsi="Calibri" w:eastAsia="黑体" w:cs="Times New Roman"/>
      <w:sz w:val="21"/>
      <w:szCs w:val="21"/>
    </w:rPr>
  </w:style>
  <w:style w:type="paragraph" w:customStyle="1" w:styleId="550">
    <w:name w:val="二级无"/>
    <w:basedOn w:val="1"/>
    <w:uiPriority w:val="0"/>
    <w:pPr>
      <w:widowControl/>
      <w:jc w:val="left"/>
      <w:outlineLvl w:val="3"/>
    </w:pPr>
    <w:rPr>
      <w:rFonts w:ascii="宋体" w:hAnsi="Calibri"/>
      <w:kern w:val="0"/>
      <w:szCs w:val="21"/>
    </w:rPr>
  </w:style>
  <w:style w:type="character" w:customStyle="1" w:styleId="551">
    <w:name w:val="章标题 Char"/>
    <w:link w:val="259"/>
    <w:uiPriority w:val="0"/>
    <w:rPr>
      <w:rFonts w:ascii="黑体" w:eastAsia="黑体"/>
      <w:sz w:val="21"/>
    </w:rPr>
  </w:style>
  <w:style w:type="paragraph" w:customStyle="1" w:styleId="552">
    <w:name w:val="Revision"/>
    <w:hidden/>
    <w:unhideWhenUsed/>
    <w:uiPriority w:val="99"/>
    <w:rPr>
      <w:rFonts w:ascii="Times New Roman" w:hAnsi="Times New Roman" w:eastAsia="宋体" w:cs="Times New Roman"/>
      <w:kern w:val="2"/>
      <w:sz w:val="21"/>
      <w:szCs w:val="24"/>
      <w:lang w:val="en-US" w:eastAsia="zh-CN" w:bidi="ar-SA"/>
    </w:rPr>
  </w:style>
  <w:style w:type="paragraph" w:customStyle="1" w:styleId="553">
    <w:name w:val=" Char Char Char"/>
    <w:basedOn w:val="1"/>
    <w:uiPriority w:val="0"/>
    <w:pPr>
      <w:spacing w:line="360" w:lineRule="auto"/>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8.wmf"/><Relationship Id="rId31" Type="http://schemas.openxmlformats.org/officeDocument/2006/relationships/oleObject" Target="embeddings/oleObject12.bin"/><Relationship Id="rId30" Type="http://schemas.openxmlformats.org/officeDocument/2006/relationships/image" Target="media/image7.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6.wmf"/><Relationship Id="rId27" Type="http://schemas.openxmlformats.org/officeDocument/2006/relationships/oleObject" Target="embeddings/oleObject10.bin"/><Relationship Id="rId26" Type="http://schemas.openxmlformats.org/officeDocument/2006/relationships/image" Target="media/image5.wmf"/><Relationship Id="rId25" Type="http://schemas.openxmlformats.org/officeDocument/2006/relationships/oleObject" Target="embeddings/oleObject9.bin"/><Relationship Id="rId24" Type="http://schemas.openxmlformats.org/officeDocument/2006/relationships/image" Target="media/image4.wmf"/><Relationship Id="rId23" Type="http://schemas.openxmlformats.org/officeDocument/2006/relationships/oleObject" Target="embeddings/oleObject8.bin"/><Relationship Id="rId22" Type="http://schemas.openxmlformats.org/officeDocument/2006/relationships/oleObject" Target="embeddings/oleObject7.bin"/><Relationship Id="rId21" Type="http://schemas.openxmlformats.org/officeDocument/2006/relationships/image" Target="media/image3.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5.bin"/><Relationship Id="rId17" Type="http://schemas.openxmlformats.org/officeDocument/2006/relationships/oleObject" Target="embeddings/oleObject4.bin"/><Relationship Id="rId16" Type="http://schemas.openxmlformats.org/officeDocument/2006/relationships/oleObject" Target="embeddings/oleObject3.bin"/><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pPr>
            <w:pStyle w:val="5"/>
            <w:rPr>
              <w:rFonts w:hint="eastAsia"/>
            </w:rPr>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176CE9"/>
    <w:rsid w:val="002803A1"/>
    <w:rsid w:val="002E0838"/>
    <w:rsid w:val="002E086C"/>
    <w:rsid w:val="003A2003"/>
    <w:rsid w:val="004F1E24"/>
    <w:rsid w:val="00657E46"/>
    <w:rsid w:val="007F328F"/>
    <w:rsid w:val="008046BF"/>
    <w:rsid w:val="00815F9F"/>
    <w:rsid w:val="00AF064C"/>
    <w:rsid w:val="00AF20A4"/>
    <w:rsid w:val="00B00791"/>
    <w:rsid w:val="00BB3501"/>
    <w:rsid w:val="00C379B8"/>
    <w:rsid w:val="00C82F9A"/>
    <w:rsid w:val="00E06F6F"/>
    <w:rsid w:val="00E07858"/>
    <w:rsid w:val="00EA6F64"/>
    <w:rsid w:val="00ED19FA"/>
    <w:rsid w:val="00FB33FE"/>
    <w:rsid w:val="00FF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480EF-03F5-434F-AE5D-D2613B965F8A}">
  <ds:schemaRefs/>
</ds:datastoreItem>
</file>

<file path=docProps/app.xml><?xml version="1.0" encoding="utf-8"?>
<Properties xmlns="http://schemas.openxmlformats.org/officeDocument/2006/extended-properties" xmlns:vt="http://schemas.openxmlformats.org/officeDocument/2006/docPropsVTypes">
  <Template>bzbx20.dotx</Template>
  <Company>Microsoft</Company>
  <Pages>18</Pages>
  <Words>2101</Words>
  <Characters>11978</Characters>
  <Lines>99</Lines>
  <Paragraphs>28</Paragraphs>
  <TotalTime>2260</TotalTime>
  <ScaleCrop>false</ScaleCrop>
  <LinksUpToDate>false</LinksUpToDate>
  <CharactersWithSpaces>14051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2022-10-14T02:40:00Z</dcterms:created>
  <dc:creator>GY</dc:creator>
  <cp:lastModifiedBy>sunlin</cp:lastModifiedBy>
  <cp:lastPrinted>2021-02-08T04:27:00Z</cp:lastPrinted>
  <dcterms:modified xsi:type="dcterms:W3CDTF">2024-10-23T02:48:18Z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2052-11.8.2.12085</vt:lpwstr>
  </property>
  <property fmtid="{D5CDD505-2E9C-101B-9397-08002B2CF9AE}" pid="22" name="ICV">
    <vt:lpwstr>517429A6B6B04B6881B6F790301C105D</vt:lpwstr>
  </property>
</Properties>
</file>