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40" w:rsidRDefault="00FA7BFE">
      <w:pPr>
        <w:pStyle w:val="af"/>
        <w:jc w:val="left"/>
        <w:rPr>
          <w:rFonts w:ascii="黑体" w:eastAsia="黑体" w:hAnsi="黑体"/>
          <w:b w:val="0"/>
        </w:rPr>
      </w:pPr>
      <w:bookmarkStart w:id="0" w:name="_Toc27541"/>
      <w:bookmarkStart w:id="1" w:name="_Toc25419"/>
      <w:r>
        <w:rPr>
          <w:rFonts w:ascii="黑体" w:eastAsia="黑体" w:hAnsi="黑体"/>
          <w:b w:val="0"/>
        </w:rPr>
        <w:t>附件</w:t>
      </w:r>
      <w:r>
        <w:rPr>
          <w:rFonts w:ascii="黑体" w:eastAsia="黑体" w:hAnsi="黑体" w:hint="eastAsia"/>
          <w:b w:val="0"/>
        </w:rPr>
        <w:t>8</w:t>
      </w:r>
      <w:bookmarkEnd w:id="0"/>
      <w:bookmarkEnd w:id="1"/>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3D2540">
      <w:pPr>
        <w:pStyle w:val="af7"/>
        <w:ind w:firstLineChars="0" w:firstLine="0"/>
      </w:pPr>
    </w:p>
    <w:p w:rsidR="003D2540" w:rsidRDefault="00AB2EAE">
      <w:pPr>
        <w:pStyle w:val="af7"/>
        <w:ind w:firstLineChars="0" w:firstLine="0"/>
        <w:jc w:val="center"/>
        <w:rPr>
          <w:rFonts w:ascii="黑体" w:eastAsia="黑体"/>
          <w:sz w:val="44"/>
          <w:szCs w:val="44"/>
        </w:rPr>
      </w:pPr>
      <w:r w:rsidRPr="00AB2EAE">
        <w:rPr>
          <w:rFonts w:ascii="黑体" w:eastAsia="黑体" w:hint="eastAsia"/>
          <w:sz w:val="44"/>
          <w:szCs w:val="44"/>
        </w:rPr>
        <w:t>电力感知终端射频能量收集技术导则</w:t>
      </w:r>
    </w:p>
    <w:p w:rsidR="003D2540" w:rsidRDefault="003D2540">
      <w:pPr>
        <w:pStyle w:val="af7"/>
      </w:pPr>
    </w:p>
    <w:p w:rsidR="003D2540" w:rsidRDefault="003D2540">
      <w:pPr>
        <w:pStyle w:val="af7"/>
      </w:pPr>
    </w:p>
    <w:p w:rsidR="003D2540" w:rsidRDefault="00FA7BFE">
      <w:pPr>
        <w:pStyle w:val="a"/>
        <w:numPr>
          <w:ilvl w:val="0"/>
          <w:numId w:val="0"/>
        </w:numPr>
        <w:jc w:val="center"/>
        <w:rPr>
          <w:sz w:val="28"/>
          <w:szCs w:val="28"/>
        </w:rPr>
      </w:pPr>
      <w:bookmarkStart w:id="2" w:name="_Toc298937333"/>
      <w:bookmarkStart w:id="3" w:name="_Toc298937368"/>
      <w:bookmarkStart w:id="4" w:name="_Toc310002657"/>
      <w:bookmarkStart w:id="5" w:name="_Toc309993200"/>
      <w:bookmarkStart w:id="6" w:name="_Toc304402675"/>
      <w:bookmarkStart w:id="7" w:name="_Toc320020914"/>
      <w:bookmarkStart w:id="8" w:name="_Toc309997060"/>
      <w:bookmarkStart w:id="9" w:name="_Toc298938646"/>
      <w:bookmarkStart w:id="10" w:name="_Toc309996019"/>
      <w:bookmarkStart w:id="11" w:name="_Toc298937620"/>
      <w:bookmarkStart w:id="12" w:name="_Toc304825020"/>
      <w:bookmarkStart w:id="13" w:name="_Toc309995598"/>
      <w:bookmarkStart w:id="14" w:name="_Toc298938794"/>
      <w:bookmarkStart w:id="15" w:name="_Toc309994571"/>
      <w:bookmarkStart w:id="16" w:name="_Toc298937430"/>
      <w:bookmarkStart w:id="17" w:name="_Toc304828086"/>
      <w:bookmarkStart w:id="18" w:name="_Toc304824981"/>
      <w:bookmarkStart w:id="19" w:name="_Toc309995410"/>
      <w:bookmarkStart w:id="20" w:name="_Toc298937560"/>
      <w:bookmarkStart w:id="21" w:name="_Toc304825093"/>
      <w:bookmarkStart w:id="22" w:name="_Toc318613715"/>
      <w:bookmarkStart w:id="23" w:name="_Toc298937473"/>
      <w:bookmarkStart w:id="24" w:name="_Toc309995492"/>
      <w:r>
        <w:rPr>
          <w:rFonts w:hint="eastAsia"/>
          <w:sz w:val="28"/>
          <w:szCs w:val="28"/>
        </w:rPr>
        <w:t>编 制 说</w:t>
      </w:r>
      <w:bookmarkEnd w:id="2"/>
      <w:bookmarkEnd w:id="3"/>
      <w:r>
        <w:rPr>
          <w:rFonts w:hint="eastAsia"/>
          <w:sz w:val="28"/>
          <w:szCs w:val="28"/>
        </w:rPr>
        <w:t> 明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D2540" w:rsidRDefault="003D2540">
      <w:pPr>
        <w:pStyle w:val="af7"/>
        <w:ind w:firstLine="560"/>
        <w:jc w:val="center"/>
        <w:rPr>
          <w:rFonts w:ascii="黑体" w:eastAsia="黑体"/>
          <w:sz w:val="28"/>
          <w:szCs w:val="28"/>
        </w:rPr>
      </w:pPr>
    </w:p>
    <w:p w:rsidR="003D2540" w:rsidRDefault="003D2540">
      <w:pPr>
        <w:pStyle w:val="af7"/>
        <w:ind w:firstLine="560"/>
        <w:jc w:val="center"/>
        <w:rPr>
          <w:rFonts w:ascii="黑体" w:eastAsia="黑体"/>
          <w:sz w:val="28"/>
          <w:szCs w:val="28"/>
        </w:rPr>
      </w:pPr>
    </w:p>
    <w:p w:rsidR="003D2540" w:rsidRDefault="003D2540">
      <w:pPr>
        <w:pStyle w:val="af7"/>
        <w:sectPr w:rsidR="003D2540">
          <w:headerReference w:type="even" r:id="rId8"/>
          <w:headerReference w:type="default" r:id="rId9"/>
          <w:footerReference w:type="default" r:id="rId10"/>
          <w:pgSz w:w="11906" w:h="16838"/>
          <w:pgMar w:top="567" w:right="1134" w:bottom="1134" w:left="1417" w:header="1418" w:footer="1134" w:gutter="0"/>
          <w:cols w:space="720"/>
          <w:formProt w:val="0"/>
          <w:docGrid w:type="lines" w:linePitch="312"/>
        </w:sectPr>
      </w:pPr>
    </w:p>
    <w:p w:rsidR="003D2540" w:rsidRDefault="00FA7BFE">
      <w:pPr>
        <w:pStyle w:val="aff"/>
      </w:pPr>
      <w:bookmarkStart w:id="25" w:name="_Toc513731109"/>
      <w:bookmarkStart w:id="26" w:name="_Toc309992160"/>
      <w:bookmarkStart w:id="27" w:name="_Toc513731021"/>
      <w:bookmarkStart w:id="28" w:name="_Toc8080"/>
      <w:r>
        <w:rPr>
          <w:rFonts w:hint="eastAsia"/>
        </w:rPr>
        <w:lastRenderedPageBreak/>
        <w:t>目次</w:t>
      </w:r>
      <w:bookmarkEnd w:id="25"/>
      <w:bookmarkEnd w:id="26"/>
      <w:bookmarkEnd w:id="27"/>
      <w:bookmarkEnd w:id="28"/>
    </w:p>
    <w:p w:rsidR="003D2540" w:rsidRDefault="00FA7BFE">
      <w:pPr>
        <w:pStyle w:val="TOC1"/>
        <w:tabs>
          <w:tab w:val="clear" w:pos="9241"/>
          <w:tab w:val="right" w:leader="dot" w:pos="9355"/>
        </w:tabs>
        <w:spacing w:before="78" w:after="78"/>
      </w:pPr>
      <w:r>
        <w:rPr>
          <w:rFonts w:hAnsi="宋体" w:cs="宋体" w:hint="eastAsia"/>
        </w:rPr>
        <w:fldChar w:fldCharType="begin"/>
      </w:r>
      <w:r>
        <w:rPr>
          <w:rFonts w:hAnsi="宋体" w:cs="宋体" w:hint="eastAsia"/>
        </w:rPr>
        <w:instrText xml:space="preserve"> TOC \o "1-1" \h \z \u </w:instrText>
      </w:r>
      <w:r>
        <w:rPr>
          <w:rFonts w:hAnsi="宋体" w:cs="宋体" w:hint="eastAsia"/>
        </w:rPr>
        <w:fldChar w:fldCharType="separate"/>
      </w:r>
      <w:hyperlink w:anchor="_Toc8080" w:history="1">
        <w:r>
          <w:rPr>
            <w:rFonts w:hint="eastAsia"/>
          </w:rPr>
          <w:t>目次</w:t>
        </w:r>
        <w:r>
          <w:tab/>
        </w:r>
        <w:r>
          <w:fldChar w:fldCharType="begin"/>
        </w:r>
        <w:r>
          <w:instrText xml:space="preserve"> PAGEREF _Toc8080 \h </w:instrText>
        </w:r>
        <w:r>
          <w:fldChar w:fldCharType="separate"/>
        </w:r>
        <w:r>
          <w:t>2</w:t>
        </w:r>
        <w:r>
          <w:fldChar w:fldCharType="end"/>
        </w:r>
      </w:hyperlink>
    </w:p>
    <w:p w:rsidR="003D2540" w:rsidRDefault="00FA7BFE">
      <w:pPr>
        <w:pStyle w:val="TOC1"/>
        <w:tabs>
          <w:tab w:val="clear" w:pos="9241"/>
          <w:tab w:val="right" w:leader="dot" w:pos="9355"/>
        </w:tabs>
        <w:spacing w:before="78" w:after="78"/>
      </w:pPr>
      <w:hyperlink w:anchor="_Toc18500" w:history="1">
        <w:r>
          <w:rPr>
            <w:rFonts w:hAnsi="宋体" w:hint="eastAsia"/>
          </w:rPr>
          <w:t xml:space="preserve">1 </w:t>
        </w:r>
        <w:r>
          <w:rPr>
            <w:rFonts w:hAnsi="宋体" w:hint="eastAsia"/>
          </w:rPr>
          <w:t>编制背景</w:t>
        </w:r>
        <w:r>
          <w:tab/>
        </w:r>
        <w:r>
          <w:fldChar w:fldCharType="begin"/>
        </w:r>
        <w:r>
          <w:instrText xml:space="preserve"> PAGEREF _Toc18500 \h </w:instrText>
        </w:r>
        <w:r>
          <w:fldChar w:fldCharType="separate"/>
        </w:r>
        <w:r>
          <w:t>3</w:t>
        </w:r>
        <w:r>
          <w:fldChar w:fldCharType="end"/>
        </w:r>
      </w:hyperlink>
    </w:p>
    <w:p w:rsidR="003D2540" w:rsidRDefault="00FA7BFE">
      <w:pPr>
        <w:pStyle w:val="TOC1"/>
        <w:tabs>
          <w:tab w:val="clear" w:pos="9241"/>
          <w:tab w:val="right" w:leader="dot" w:pos="9355"/>
        </w:tabs>
        <w:spacing w:before="78" w:after="78"/>
      </w:pPr>
      <w:hyperlink w:anchor="_Toc3787" w:history="1">
        <w:r>
          <w:rPr>
            <w:rFonts w:hAnsi="宋体" w:hint="eastAsia"/>
          </w:rPr>
          <w:t xml:space="preserve">2 </w:t>
        </w:r>
        <w:r>
          <w:rPr>
            <w:rFonts w:hAnsi="宋体" w:hint="eastAsia"/>
          </w:rPr>
          <w:t>编制主要原则</w:t>
        </w:r>
        <w:r>
          <w:tab/>
        </w:r>
        <w:r>
          <w:fldChar w:fldCharType="begin"/>
        </w:r>
        <w:r>
          <w:instrText xml:space="preserve"> PAGEREF _Toc3787 \h </w:instrText>
        </w:r>
        <w:r>
          <w:fldChar w:fldCharType="separate"/>
        </w:r>
        <w:r>
          <w:t>3</w:t>
        </w:r>
        <w:r>
          <w:fldChar w:fldCharType="end"/>
        </w:r>
      </w:hyperlink>
    </w:p>
    <w:p w:rsidR="003D2540" w:rsidRDefault="00FA7BFE">
      <w:pPr>
        <w:pStyle w:val="TOC1"/>
        <w:tabs>
          <w:tab w:val="clear" w:pos="9241"/>
          <w:tab w:val="right" w:leader="dot" w:pos="9355"/>
        </w:tabs>
        <w:spacing w:before="78" w:after="78"/>
      </w:pPr>
      <w:hyperlink w:anchor="_Toc11710" w:history="1">
        <w:r>
          <w:rPr>
            <w:rFonts w:hAnsi="宋体" w:hint="eastAsia"/>
          </w:rPr>
          <w:t xml:space="preserve">3 </w:t>
        </w:r>
        <w:r>
          <w:rPr>
            <w:rFonts w:hAnsi="宋体" w:hint="eastAsia"/>
          </w:rPr>
          <w:t>主要工作过程</w:t>
        </w:r>
        <w:r>
          <w:tab/>
        </w:r>
        <w:r>
          <w:fldChar w:fldCharType="begin"/>
        </w:r>
        <w:r>
          <w:instrText xml:space="preserve"> PAGEREF _Toc11710 \h </w:instrText>
        </w:r>
        <w:r>
          <w:fldChar w:fldCharType="separate"/>
        </w:r>
        <w:r>
          <w:t>3</w:t>
        </w:r>
        <w:r>
          <w:fldChar w:fldCharType="end"/>
        </w:r>
      </w:hyperlink>
    </w:p>
    <w:p w:rsidR="003D2540" w:rsidRDefault="00FA7BFE">
      <w:pPr>
        <w:pStyle w:val="TOC1"/>
        <w:tabs>
          <w:tab w:val="clear" w:pos="9241"/>
          <w:tab w:val="right" w:leader="dot" w:pos="9355"/>
        </w:tabs>
        <w:spacing w:before="78" w:after="78"/>
      </w:pPr>
      <w:hyperlink w:anchor="_Toc7163" w:history="1">
        <w:r>
          <w:rPr>
            <w:rFonts w:hAnsi="宋体" w:hint="eastAsia"/>
          </w:rPr>
          <w:t>4</w:t>
        </w:r>
        <w:r>
          <w:rPr>
            <w:rFonts w:hint="eastAsia"/>
          </w:rPr>
          <w:t xml:space="preserve"> </w:t>
        </w:r>
        <w:r>
          <w:rPr>
            <w:rFonts w:hint="eastAsia"/>
          </w:rPr>
          <w:t>标准结构和内容说明</w:t>
        </w:r>
        <w:r>
          <w:tab/>
        </w:r>
        <w:r>
          <w:fldChar w:fldCharType="begin"/>
        </w:r>
        <w:r>
          <w:instrText xml:space="preserve"> PAGEREF _Toc7163 \h </w:instrText>
        </w:r>
        <w:r>
          <w:fldChar w:fldCharType="separate"/>
        </w:r>
        <w:r>
          <w:t>4</w:t>
        </w:r>
        <w:r>
          <w:fldChar w:fldCharType="end"/>
        </w:r>
      </w:hyperlink>
    </w:p>
    <w:p w:rsidR="003D2540" w:rsidRDefault="00FA7BFE">
      <w:pPr>
        <w:pStyle w:val="TOC1"/>
        <w:tabs>
          <w:tab w:val="clear" w:pos="9241"/>
          <w:tab w:val="right" w:leader="dot" w:pos="9355"/>
        </w:tabs>
        <w:spacing w:before="78" w:after="78"/>
      </w:pPr>
      <w:hyperlink w:anchor="_Toc18422" w:history="1">
        <w:r>
          <w:rPr>
            <w:rFonts w:hAnsi="宋体" w:hint="eastAsia"/>
          </w:rPr>
          <w:t xml:space="preserve">5 </w:t>
        </w:r>
        <w:r>
          <w:rPr>
            <w:rFonts w:hAnsi="宋体" w:hint="eastAsia"/>
          </w:rPr>
          <w:t>相关</w:t>
        </w:r>
        <w:r>
          <w:rPr>
            <w:rFonts w:hint="eastAsia"/>
          </w:rPr>
          <w:t>标准对比说明</w:t>
        </w:r>
        <w:r>
          <w:tab/>
        </w:r>
        <w:r>
          <w:fldChar w:fldCharType="begin"/>
        </w:r>
        <w:r>
          <w:instrText xml:space="preserve"> PAGEREF _Toc18422 \h </w:instrText>
        </w:r>
        <w:r>
          <w:fldChar w:fldCharType="separate"/>
        </w:r>
        <w:r>
          <w:t>5</w:t>
        </w:r>
        <w:r>
          <w:fldChar w:fldCharType="end"/>
        </w:r>
      </w:hyperlink>
    </w:p>
    <w:p w:rsidR="003D2540" w:rsidRDefault="00FA7BFE">
      <w:pPr>
        <w:pStyle w:val="TOC1"/>
        <w:tabs>
          <w:tab w:val="clear" w:pos="9241"/>
          <w:tab w:val="right" w:leader="dot" w:pos="9355"/>
        </w:tabs>
        <w:spacing w:before="78" w:after="78"/>
      </w:pPr>
      <w:hyperlink w:anchor="_Toc6180" w:history="1">
        <w:r>
          <w:rPr>
            <w:rFonts w:hAnsi="宋体" w:hint="eastAsia"/>
          </w:rPr>
          <w:t>6</w:t>
        </w:r>
        <w:r>
          <w:rPr>
            <w:rFonts w:hAnsi="宋体" w:hint="eastAsia"/>
          </w:rPr>
          <w:t>标准实施措施说明</w:t>
        </w:r>
        <w:r>
          <w:tab/>
        </w:r>
        <w:r>
          <w:fldChar w:fldCharType="begin"/>
        </w:r>
        <w:r>
          <w:instrText xml:space="preserve"> PAGEREF _Toc6180 \h </w:instrText>
        </w:r>
        <w:r>
          <w:fldChar w:fldCharType="separate"/>
        </w:r>
        <w:r>
          <w:t>6</w:t>
        </w:r>
        <w:r>
          <w:fldChar w:fldCharType="end"/>
        </w:r>
      </w:hyperlink>
    </w:p>
    <w:p w:rsidR="003D2540" w:rsidRDefault="00FA7BFE">
      <w:pPr>
        <w:pStyle w:val="af7"/>
        <w:rPr>
          <w:rFonts w:hAnsi="宋体"/>
          <w:szCs w:val="21"/>
        </w:rPr>
      </w:pPr>
      <w:r>
        <w:rPr>
          <w:rFonts w:hAnsi="宋体" w:cs="宋体" w:hint="eastAsia"/>
          <w:szCs w:val="21"/>
        </w:rPr>
        <w:fldChar w:fldCharType="end"/>
      </w:r>
    </w:p>
    <w:p w:rsidR="003D2540" w:rsidRDefault="003D2540">
      <w:pPr>
        <w:pStyle w:val="af7"/>
        <w:rPr>
          <w:rFonts w:hAnsi="宋体"/>
          <w:szCs w:val="21"/>
        </w:rPr>
      </w:pPr>
    </w:p>
    <w:p w:rsidR="003D2540" w:rsidRDefault="003D2540">
      <w:pPr>
        <w:pStyle w:val="af7"/>
        <w:rPr>
          <w:rFonts w:hAnsi="宋体"/>
          <w:szCs w:val="21"/>
        </w:rPr>
      </w:pPr>
    </w:p>
    <w:p w:rsidR="003D2540" w:rsidRDefault="003D2540">
      <w:pPr>
        <w:pStyle w:val="af7"/>
        <w:rPr>
          <w:rFonts w:hAnsi="宋体"/>
          <w:szCs w:val="21"/>
        </w:rPr>
      </w:pPr>
    </w:p>
    <w:p w:rsidR="003D2540" w:rsidRDefault="003D2540">
      <w:pPr>
        <w:pStyle w:val="af7"/>
        <w:rPr>
          <w:rFonts w:hAnsi="宋体"/>
          <w:szCs w:val="21"/>
        </w:rPr>
        <w:sectPr w:rsidR="003D2540">
          <w:headerReference w:type="default" r:id="rId11"/>
          <w:footerReference w:type="default" r:id="rId12"/>
          <w:pgSz w:w="11906" w:h="16838"/>
          <w:pgMar w:top="567" w:right="1134" w:bottom="1134" w:left="1417" w:header="1418" w:footer="1134" w:gutter="0"/>
          <w:cols w:space="720"/>
          <w:formProt w:val="0"/>
          <w:docGrid w:type="lines" w:linePitch="312"/>
        </w:sectPr>
      </w:pPr>
    </w:p>
    <w:p w:rsidR="003D2540" w:rsidRDefault="00FA7BFE">
      <w:pPr>
        <w:pStyle w:val="12"/>
        <w:spacing w:before="312" w:after="312"/>
        <w:rPr>
          <w:rFonts w:ascii="宋体" w:hAnsi="宋体"/>
          <w:szCs w:val="21"/>
        </w:rPr>
      </w:pPr>
      <w:bookmarkStart w:id="29" w:name="_Toc18500"/>
      <w:r>
        <w:rPr>
          <w:rFonts w:ascii="宋体" w:hAnsi="宋体" w:hint="eastAsia"/>
          <w:szCs w:val="21"/>
        </w:rPr>
        <w:t xml:space="preserve">1 </w:t>
      </w:r>
      <w:r>
        <w:rPr>
          <w:rFonts w:ascii="宋体" w:hAnsi="宋体" w:hint="eastAsia"/>
          <w:szCs w:val="21"/>
        </w:rPr>
        <w:t>编制背景</w:t>
      </w:r>
      <w:bookmarkEnd w:id="29"/>
    </w:p>
    <w:p w:rsidR="003D2540" w:rsidRDefault="00FA7BFE">
      <w:pPr>
        <w:pStyle w:val="af7"/>
      </w:pPr>
      <w:r>
        <w:rPr>
          <w:rFonts w:hint="eastAsia"/>
        </w:rPr>
        <w:t>本标准是根据中国电机工程学会电机咨〔</w:t>
      </w:r>
      <w:r>
        <w:rPr>
          <w:rFonts w:hint="eastAsia"/>
        </w:rPr>
        <w:t>2023</w:t>
      </w:r>
      <w:r>
        <w:rPr>
          <w:rFonts w:hint="eastAsia"/>
        </w:rPr>
        <w:t>〕</w:t>
      </w:r>
      <w:r>
        <w:rPr>
          <w:rFonts w:hint="eastAsia"/>
        </w:rPr>
        <w:t xml:space="preserve">371 </w:t>
      </w:r>
      <w:r>
        <w:rPr>
          <w:rFonts w:hint="eastAsia"/>
        </w:rPr>
        <w:t>号文，</w:t>
      </w:r>
      <w:r>
        <w:t>“</w:t>
      </w:r>
      <w:r>
        <w:rPr>
          <w:rFonts w:hint="eastAsia"/>
        </w:rPr>
        <w:t>关于申报中国电机工程学会标准</w:t>
      </w:r>
      <w:r>
        <w:rPr>
          <w:rFonts w:hint="eastAsia"/>
        </w:rPr>
        <w:t>2023</w:t>
      </w:r>
      <w:r>
        <w:rPr>
          <w:rFonts w:hint="eastAsia"/>
        </w:rPr>
        <w:t>年第二批计划项目的通知</w:t>
      </w:r>
      <w:r>
        <w:t>”</w:t>
      </w:r>
      <w:r>
        <w:t>下达</w:t>
      </w:r>
      <w:r>
        <w:rPr>
          <w:rFonts w:hint="eastAsia"/>
        </w:rPr>
        <w:t>的制定</w:t>
      </w:r>
      <w:r>
        <w:t>任务</w:t>
      </w:r>
      <w:r>
        <w:rPr>
          <w:rFonts w:hint="eastAsia"/>
        </w:rPr>
        <w:t>，对“</w:t>
      </w:r>
      <w:r w:rsidR="007D254C" w:rsidRPr="007D254C">
        <w:rPr>
          <w:rFonts w:hint="eastAsia"/>
        </w:rPr>
        <w:t>电力感知终端射频能量收集技术导则</w:t>
      </w:r>
      <w:r>
        <w:rPr>
          <w:rFonts w:hint="eastAsia"/>
        </w:rPr>
        <w:t>”进行制定的</w:t>
      </w:r>
      <w:r>
        <w:t>。</w:t>
      </w:r>
      <w:r>
        <w:rPr>
          <w:rFonts w:hint="eastAsia"/>
        </w:rPr>
        <w:t>由中国电力科学院研究院有限公司</w:t>
      </w:r>
      <w:r>
        <w:t>负责起草。</w:t>
      </w:r>
    </w:p>
    <w:p w:rsidR="007D254C" w:rsidRDefault="007D254C">
      <w:pPr>
        <w:pStyle w:val="af7"/>
      </w:pPr>
      <w:r w:rsidRPr="007D254C">
        <w:rPr>
          <w:rFonts w:hint="eastAsia"/>
        </w:rPr>
        <w:t>电力感知终端能量收集与反向散射通信技术是目前物联网产业界高度关注的一种新型无线通信技术，通过对环境中的射频能量加以收集和利用，打破了传统物联网终端在供电、成本、终端体积等方面的众多限制，可广泛应用于工业传感器网络、智慧物流</w:t>
      </w:r>
      <w:r w:rsidRPr="007D254C">
        <w:t>/仓储、智能可穿戴等物联网场景，支持未来物联网千亿级连接。由于其</w:t>
      </w:r>
      <w:r w:rsidRPr="007D254C">
        <w:t>“</w:t>
      </w:r>
      <w:r w:rsidRPr="007D254C">
        <w:t>无缆化、小尺寸</w:t>
      </w:r>
      <w:r w:rsidRPr="007D254C">
        <w:t>”</w:t>
      </w:r>
      <w:r w:rsidRPr="007D254C">
        <w:t>等优良特性，在电力设备状态感知、智慧仓储物资管理、现场作业安全管控等电力应用场景下，可实现与现有物联感知技术的良好互补，满足多层次、多维度、全场景的物联感知需求。</w:t>
      </w:r>
    </w:p>
    <w:p w:rsidR="003D2540" w:rsidRPr="007D254C" w:rsidRDefault="00FA7BFE">
      <w:pPr>
        <w:pStyle w:val="af7"/>
      </w:pPr>
      <w:r>
        <w:rPr>
          <w:rFonts w:hint="eastAsia"/>
        </w:rPr>
        <w:t>为此，</w:t>
      </w:r>
      <w:r>
        <w:rPr>
          <w:rFonts w:hint="eastAsia"/>
        </w:rPr>
        <w:t>制定</w:t>
      </w:r>
      <w:r w:rsidR="007D254C" w:rsidRPr="007D254C">
        <w:rPr>
          <w:rFonts w:hint="eastAsia"/>
        </w:rPr>
        <w:t>电力感知终端射频能量收集技术导则</w:t>
      </w:r>
      <w:r>
        <w:rPr>
          <w:rFonts w:hint="eastAsia"/>
        </w:rPr>
        <w:t>，</w:t>
      </w:r>
      <w:r w:rsidR="007D254C" w:rsidRPr="007D254C">
        <w:rPr>
          <w:rFonts w:hint="eastAsia"/>
        </w:rPr>
        <w:t>解决传统电力感知终端在实际运行环境下取电或电池更换困难的问题。通过环境能量收集、反向散射通信和低功耗计算技术实现电力感知数据的无线采集，摆脱常规方案取电限制，提升电力感知业务部署灵活性，有力支撑感知数据的无缝采集与泛在接入。</w:t>
      </w:r>
    </w:p>
    <w:p w:rsidR="003D2540" w:rsidRDefault="00FA7BFE">
      <w:pPr>
        <w:pStyle w:val="12"/>
        <w:spacing w:before="312" w:after="312"/>
        <w:rPr>
          <w:rFonts w:ascii="宋体" w:hAnsi="宋体"/>
          <w:szCs w:val="21"/>
        </w:rPr>
      </w:pPr>
      <w:bookmarkStart w:id="30" w:name="_Toc3787"/>
      <w:r>
        <w:rPr>
          <w:rFonts w:ascii="宋体" w:hAnsi="宋体" w:hint="eastAsia"/>
          <w:szCs w:val="21"/>
        </w:rPr>
        <w:t xml:space="preserve">2 </w:t>
      </w:r>
      <w:r>
        <w:rPr>
          <w:rFonts w:ascii="宋体" w:hAnsi="宋体" w:hint="eastAsia"/>
          <w:szCs w:val="21"/>
        </w:rPr>
        <w:t>编制主要原则</w:t>
      </w:r>
      <w:bookmarkEnd w:id="30"/>
    </w:p>
    <w:p w:rsidR="003D2540" w:rsidRDefault="00FA7BFE" w:rsidP="007D254C">
      <w:pPr>
        <w:pStyle w:val="af7"/>
      </w:pPr>
      <w:r>
        <w:rPr>
          <w:rFonts w:hint="eastAsia"/>
        </w:rPr>
        <w:t>本标准的编写依据</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部分：标准化文件的结构和起草规则》的要求</w:t>
      </w:r>
      <w:r>
        <w:rPr>
          <w:rFonts w:hint="eastAsia"/>
        </w:rPr>
        <w:t>，在标准起草过程中参考了</w:t>
      </w:r>
      <w:r>
        <w:rPr>
          <w:rFonts w:hint="eastAsia"/>
        </w:rPr>
        <w:t xml:space="preserve">GB/T 8897.1-2013 </w:t>
      </w:r>
      <w:r>
        <w:rPr>
          <w:rFonts w:hint="eastAsia"/>
        </w:rPr>
        <w:t>原电池第</w:t>
      </w:r>
      <w:r>
        <w:rPr>
          <w:rFonts w:hint="eastAsia"/>
        </w:rPr>
        <w:t>1</w:t>
      </w:r>
      <w:r>
        <w:rPr>
          <w:rFonts w:hint="eastAsia"/>
        </w:rPr>
        <w:t>部分</w:t>
      </w:r>
      <w:r>
        <w:rPr>
          <w:rFonts w:hint="eastAsia"/>
        </w:rPr>
        <w:t>:</w:t>
      </w:r>
      <w:r>
        <w:rPr>
          <w:rFonts w:hint="eastAsia"/>
        </w:rPr>
        <w:t>总则、</w:t>
      </w:r>
      <w:r>
        <w:rPr>
          <w:rFonts w:hint="eastAsia"/>
        </w:rPr>
        <w:t xml:space="preserve">GB/T 8897.2-2013 </w:t>
      </w:r>
      <w:r>
        <w:rPr>
          <w:rFonts w:hint="eastAsia"/>
        </w:rPr>
        <w:t>原电池</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外形尺寸和电性能要求、</w:t>
      </w:r>
      <w:r>
        <w:rPr>
          <w:rFonts w:hint="eastAsia"/>
        </w:rPr>
        <w:t xml:space="preserve">GB/T 17626.2-2018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静电放电抗扰度试验、</w:t>
      </w:r>
      <w:r>
        <w:rPr>
          <w:rFonts w:hint="eastAsia"/>
        </w:rPr>
        <w:t xml:space="preserve">GB/T 17626.3-2016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射频电磁场辐射抗扰度试验、</w:t>
      </w:r>
      <w:r>
        <w:rPr>
          <w:rFonts w:hint="eastAsia"/>
        </w:rPr>
        <w:t xml:space="preserve">GB/T 17626.8-2006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工频磁场抗扰度试验、</w:t>
      </w:r>
      <w:r>
        <w:rPr>
          <w:rFonts w:hint="eastAsia"/>
        </w:rPr>
        <w:t xml:space="preserve">GB/T 17626.9-2011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脉冲磁场抗扰度试验、</w:t>
      </w:r>
      <w:r>
        <w:rPr>
          <w:rFonts w:hint="eastAsia"/>
        </w:rPr>
        <w:t>GB/T 16896.1</w:t>
      </w:r>
      <w:r>
        <w:rPr>
          <w:rFonts w:hint="eastAsia"/>
        </w:rPr>
        <w:t xml:space="preserve">-2005 </w:t>
      </w:r>
      <w:r>
        <w:rPr>
          <w:rFonts w:hint="eastAsia"/>
        </w:rPr>
        <w:t>高电压冲击测量仪器和软件第</w:t>
      </w:r>
      <w:r>
        <w:rPr>
          <w:rFonts w:hint="eastAsia"/>
        </w:rPr>
        <w:t>1</w:t>
      </w:r>
      <w:r>
        <w:rPr>
          <w:rFonts w:hint="eastAsia"/>
        </w:rPr>
        <w:t>部分</w:t>
      </w:r>
      <w:r>
        <w:rPr>
          <w:rFonts w:hint="eastAsia"/>
        </w:rPr>
        <w:t>:</w:t>
      </w:r>
      <w:r>
        <w:rPr>
          <w:rFonts w:hint="eastAsia"/>
        </w:rPr>
        <w:t>对仪器的要求、</w:t>
      </w:r>
      <w:r>
        <w:rPr>
          <w:rFonts w:hint="eastAsia"/>
        </w:rPr>
        <w:t xml:space="preserve">GB/T 4208-2017 </w:t>
      </w:r>
      <w:r>
        <w:rPr>
          <w:rFonts w:hint="eastAsia"/>
        </w:rPr>
        <w:t>外壳防护等级</w:t>
      </w:r>
      <w:r>
        <w:rPr>
          <w:rFonts w:hint="eastAsia"/>
        </w:rPr>
        <w:t>(IP</w:t>
      </w:r>
      <w:r>
        <w:rPr>
          <w:rFonts w:hint="eastAsia"/>
        </w:rPr>
        <w:t>代码</w:t>
      </w:r>
      <w:r>
        <w:rPr>
          <w:rFonts w:hint="eastAsia"/>
        </w:rPr>
        <w:t>)</w:t>
      </w:r>
      <w:r>
        <w:rPr>
          <w:rFonts w:hint="eastAsia"/>
        </w:rPr>
        <w:t>、</w:t>
      </w:r>
      <w:r>
        <w:rPr>
          <w:rFonts w:hint="eastAsia"/>
        </w:rPr>
        <w:t xml:space="preserve">GB 11463-1989 </w:t>
      </w:r>
      <w:r>
        <w:rPr>
          <w:rFonts w:hint="eastAsia"/>
        </w:rPr>
        <w:t>电子测量仪器可靠性试验、</w:t>
      </w:r>
      <w:r>
        <w:rPr>
          <w:rFonts w:hint="eastAsia"/>
        </w:rPr>
        <w:t xml:space="preserve">GB/T 2423.1-2008 </w:t>
      </w:r>
      <w:r>
        <w:rPr>
          <w:rFonts w:hint="eastAsia"/>
        </w:rPr>
        <w:t>电工电子产品环境试验</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试验方法</w:t>
      </w:r>
      <w:r>
        <w:rPr>
          <w:rFonts w:hint="eastAsia"/>
        </w:rPr>
        <w:t xml:space="preserve"> </w:t>
      </w:r>
      <w:r>
        <w:rPr>
          <w:rFonts w:hint="eastAsia"/>
        </w:rPr>
        <w:t>试验</w:t>
      </w:r>
      <w:r>
        <w:rPr>
          <w:rFonts w:hint="eastAsia"/>
        </w:rPr>
        <w:t>A</w:t>
      </w:r>
      <w:r>
        <w:rPr>
          <w:rFonts w:hint="eastAsia"/>
        </w:rPr>
        <w:t>：低温、</w:t>
      </w:r>
      <w:r>
        <w:rPr>
          <w:rFonts w:hint="eastAsia"/>
        </w:rPr>
        <w:t xml:space="preserve">GB/T 2423.2-2008 </w:t>
      </w:r>
      <w:r>
        <w:rPr>
          <w:rFonts w:hint="eastAsia"/>
        </w:rPr>
        <w:t>电工电子产品环境试验</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试验方法</w:t>
      </w:r>
      <w:r>
        <w:rPr>
          <w:rFonts w:hint="eastAsia"/>
        </w:rPr>
        <w:t xml:space="preserve"> </w:t>
      </w:r>
      <w:r>
        <w:rPr>
          <w:rFonts w:hint="eastAsia"/>
        </w:rPr>
        <w:t>试验</w:t>
      </w:r>
      <w:r>
        <w:rPr>
          <w:rFonts w:hint="eastAsia"/>
        </w:rPr>
        <w:t>B</w:t>
      </w:r>
      <w:r>
        <w:rPr>
          <w:rFonts w:hint="eastAsia"/>
        </w:rPr>
        <w:t>：高温、</w:t>
      </w:r>
      <w:r>
        <w:rPr>
          <w:rFonts w:hint="eastAsia"/>
        </w:rPr>
        <w:t xml:space="preserve">GB/T 2423.4-2008 </w:t>
      </w:r>
      <w:r>
        <w:rPr>
          <w:rFonts w:hint="eastAsia"/>
        </w:rPr>
        <w:t>电工电子产品环境试验</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试验方法</w:t>
      </w:r>
      <w:r>
        <w:rPr>
          <w:rFonts w:hint="eastAsia"/>
        </w:rPr>
        <w:t xml:space="preserve"> </w:t>
      </w:r>
      <w:r>
        <w:rPr>
          <w:rFonts w:hint="eastAsia"/>
        </w:rPr>
        <w:t>试验</w:t>
      </w:r>
      <w:r>
        <w:rPr>
          <w:rFonts w:hint="eastAsia"/>
        </w:rPr>
        <w:t>Db:</w:t>
      </w:r>
      <w:r>
        <w:rPr>
          <w:rFonts w:hint="eastAsia"/>
        </w:rPr>
        <w:t>交变湿热</w:t>
      </w:r>
      <w:r>
        <w:rPr>
          <w:rFonts w:hint="eastAsia"/>
        </w:rPr>
        <w:t>(12h+12h</w:t>
      </w:r>
      <w:r>
        <w:rPr>
          <w:rFonts w:hint="eastAsia"/>
        </w:rPr>
        <w:t>循环</w:t>
      </w:r>
      <w:r>
        <w:rPr>
          <w:rFonts w:hint="eastAsia"/>
        </w:rPr>
        <w:t>)</w:t>
      </w:r>
      <w:r>
        <w:rPr>
          <w:rFonts w:hint="eastAsia"/>
        </w:rPr>
        <w:t>、</w:t>
      </w:r>
      <w:r>
        <w:rPr>
          <w:rFonts w:hint="eastAsia"/>
        </w:rPr>
        <w:t xml:space="preserve">GB/T 11372-1989  </w:t>
      </w:r>
      <w:r>
        <w:rPr>
          <w:rFonts w:hint="eastAsia"/>
        </w:rPr>
        <w:t>防锈术语、</w:t>
      </w:r>
      <w:r>
        <w:rPr>
          <w:rFonts w:hint="eastAsia"/>
        </w:rPr>
        <w:t>G</w:t>
      </w:r>
      <w:r>
        <w:rPr>
          <w:rFonts w:hint="eastAsia"/>
        </w:rPr>
        <w:t xml:space="preserve">B/T 2361-1992 </w:t>
      </w:r>
      <w:r>
        <w:rPr>
          <w:rFonts w:hint="eastAsia"/>
        </w:rPr>
        <w:t>防锈油脂湿热试验法、</w:t>
      </w:r>
      <w:r>
        <w:rPr>
          <w:rFonts w:hint="eastAsia"/>
        </w:rPr>
        <w:t xml:space="preserve">SH/T 0081-1991 </w:t>
      </w:r>
      <w:r>
        <w:rPr>
          <w:rFonts w:hint="eastAsia"/>
        </w:rPr>
        <w:t>防锈油脂盐雾试验法、</w:t>
      </w:r>
      <w:r>
        <w:rPr>
          <w:rFonts w:hint="eastAsia"/>
        </w:rPr>
        <w:t xml:space="preserve">GB/T 24517-2009 </w:t>
      </w:r>
      <w:r>
        <w:rPr>
          <w:rFonts w:hint="eastAsia"/>
        </w:rPr>
        <w:t>金属和合金的腐蚀</w:t>
      </w:r>
      <w:r>
        <w:rPr>
          <w:rFonts w:hint="eastAsia"/>
        </w:rPr>
        <w:t xml:space="preserve"> </w:t>
      </w:r>
      <w:r>
        <w:rPr>
          <w:rFonts w:hint="eastAsia"/>
        </w:rPr>
        <w:t>户外周期喷淋暴露试验方法、</w:t>
      </w:r>
      <w:r>
        <w:rPr>
          <w:rFonts w:hint="eastAsia"/>
        </w:rPr>
        <w:t xml:space="preserve">SH/T 0025-1999 </w:t>
      </w:r>
      <w:r>
        <w:rPr>
          <w:rFonts w:hint="eastAsia"/>
        </w:rPr>
        <w:t>防锈油盐水浸渍试验法、</w:t>
      </w:r>
      <w:r>
        <w:rPr>
          <w:rFonts w:hint="eastAsia"/>
        </w:rPr>
        <w:t xml:space="preserve">GB/T 2423.24-2022 </w:t>
      </w:r>
      <w:r>
        <w:rPr>
          <w:rFonts w:hint="eastAsia"/>
        </w:rPr>
        <w:t>环境试验</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试验方法</w:t>
      </w:r>
      <w:r>
        <w:rPr>
          <w:rFonts w:hint="eastAsia"/>
        </w:rPr>
        <w:t xml:space="preserve"> </w:t>
      </w:r>
      <w:r>
        <w:rPr>
          <w:rFonts w:hint="eastAsia"/>
        </w:rPr>
        <w:t>试验</w:t>
      </w:r>
      <w:r>
        <w:rPr>
          <w:rFonts w:hint="eastAsia"/>
        </w:rPr>
        <w:t>S:</w:t>
      </w:r>
      <w:r>
        <w:rPr>
          <w:rFonts w:hint="eastAsia"/>
        </w:rPr>
        <w:t>模拟地面上的太阳辐射及太阳辐射试验和气候老化试验导则、</w:t>
      </w:r>
      <w:r>
        <w:rPr>
          <w:rFonts w:hint="eastAsia"/>
        </w:rPr>
        <w:t xml:space="preserve">GB/T 191-2008 </w:t>
      </w:r>
      <w:r>
        <w:rPr>
          <w:rFonts w:hint="eastAsia"/>
        </w:rPr>
        <w:t>包装储运图示标志、</w:t>
      </w:r>
      <w:r>
        <w:rPr>
          <w:rFonts w:hint="eastAsia"/>
        </w:rPr>
        <w:t xml:space="preserve">GB/T 13384-2008 </w:t>
      </w:r>
      <w:r>
        <w:rPr>
          <w:rFonts w:hint="eastAsia"/>
        </w:rPr>
        <w:t>机电产品包装通用技术条件、</w:t>
      </w:r>
      <w:r>
        <w:rPr>
          <w:rFonts w:hint="eastAsia"/>
        </w:rPr>
        <w:t xml:space="preserve">GB/T 6587.6-1986 </w:t>
      </w:r>
      <w:r>
        <w:rPr>
          <w:rFonts w:hint="eastAsia"/>
        </w:rPr>
        <w:t>电子测量仪器</w:t>
      </w:r>
      <w:r>
        <w:rPr>
          <w:rFonts w:hint="eastAsia"/>
        </w:rPr>
        <w:t xml:space="preserve"> </w:t>
      </w:r>
      <w:r>
        <w:rPr>
          <w:rFonts w:hint="eastAsia"/>
        </w:rPr>
        <w:t>运输试</w:t>
      </w:r>
      <w:r>
        <w:rPr>
          <w:rFonts w:hint="eastAsia"/>
        </w:rPr>
        <w:t>验、</w:t>
      </w:r>
      <w:r>
        <w:rPr>
          <w:rFonts w:hint="eastAsia"/>
        </w:rPr>
        <w:t xml:space="preserve">QJ/T 815.2-1994 </w:t>
      </w:r>
      <w:r>
        <w:rPr>
          <w:rFonts w:hint="eastAsia"/>
        </w:rPr>
        <w:t>产品公路运输加速模拟试验方法等标准</w:t>
      </w:r>
    </w:p>
    <w:p w:rsidR="007D254C" w:rsidRPr="007D254C" w:rsidRDefault="007D254C" w:rsidP="007D254C">
      <w:pPr>
        <w:pStyle w:val="af7"/>
      </w:pPr>
      <w:r w:rsidRPr="007D254C">
        <w:rPr>
          <w:rFonts w:hint="eastAsia"/>
        </w:rPr>
        <w:t>本文件主要根据以下原则编制：</w:t>
      </w:r>
    </w:p>
    <w:p w:rsidR="007D254C" w:rsidRPr="007D254C" w:rsidRDefault="007D254C" w:rsidP="007D254C">
      <w:pPr>
        <w:pStyle w:val="af7"/>
        <w:ind w:left="736" w:firstLineChars="0" w:hanging="316"/>
      </w:pPr>
      <w:r w:rsidRPr="007D254C">
        <w:t>a</w:t>
      </w:r>
      <w:r w:rsidRPr="007D254C">
        <w:rPr>
          <w:rFonts w:hint="eastAsia"/>
        </w:rPr>
        <w:t>）</w:t>
      </w:r>
      <w:r w:rsidRPr="007D254C">
        <w:tab/>
      </w:r>
      <w:r w:rsidRPr="007D254C">
        <w:rPr>
          <w:rFonts w:hint="eastAsia"/>
        </w:rPr>
        <w:t>坚持先进性与实用性相结合、统一性与灵活性相结合、可靠性与经济性相结合的原则，以标准化为引领，服务电力行业科学发展。</w:t>
      </w:r>
    </w:p>
    <w:p w:rsidR="007D254C" w:rsidRPr="007D254C" w:rsidRDefault="007D254C" w:rsidP="007D254C">
      <w:pPr>
        <w:pStyle w:val="af7"/>
        <w:ind w:left="736" w:firstLineChars="0" w:hanging="316"/>
      </w:pPr>
      <w:r w:rsidRPr="007D254C">
        <w:t>b</w:t>
      </w:r>
      <w:r w:rsidRPr="007D254C">
        <w:rPr>
          <w:rFonts w:hint="eastAsia"/>
        </w:rPr>
        <w:t>）</w:t>
      </w:r>
      <w:r w:rsidRPr="007D254C">
        <w:tab/>
      </w:r>
      <w:r w:rsidRPr="007D254C">
        <w:rPr>
          <w:rFonts w:hint="eastAsia"/>
        </w:rPr>
        <w:t>采用分散与集中讨论的形式，充分了解各地城市电力地下管廊中通信覆盖系统建设现状，明确地城市电力地下管廊中通信覆盖需求，研究城市电力地下管廊覆盖技术、网络功能与性能要求、终端设备要求、管控系统要求、安全要求，体现研究的实用性和先进性。</w:t>
      </w:r>
    </w:p>
    <w:p w:rsidR="007D254C" w:rsidRPr="007D254C" w:rsidRDefault="007D254C" w:rsidP="007D254C">
      <w:pPr>
        <w:pStyle w:val="af7"/>
        <w:ind w:left="736" w:firstLineChars="0" w:hanging="316"/>
      </w:pPr>
      <w:r w:rsidRPr="007D254C">
        <w:t>c</w:t>
      </w:r>
      <w:r w:rsidRPr="007D254C">
        <w:rPr>
          <w:rFonts w:hint="eastAsia"/>
        </w:rPr>
        <w:t>）</w:t>
      </w:r>
      <w:r w:rsidRPr="007D254C">
        <w:tab/>
      </w:r>
      <w:r w:rsidRPr="007D254C">
        <w:rPr>
          <w:rFonts w:hint="eastAsia"/>
        </w:rPr>
        <w:t>认真研究国内外现行相关的</w:t>
      </w:r>
      <w:r w:rsidRPr="007D254C">
        <w:t>IEC</w:t>
      </w:r>
      <w:r w:rsidRPr="007D254C">
        <w:rPr>
          <w:rFonts w:hint="eastAsia"/>
        </w:rPr>
        <w:t>标准、国家标准、行业标准、企业标准，体现通信特性和功能拓展的最新发展。</w:t>
      </w:r>
    </w:p>
    <w:p w:rsidR="007D254C" w:rsidRPr="007D254C" w:rsidRDefault="007D254C" w:rsidP="007D254C">
      <w:pPr>
        <w:pStyle w:val="af7"/>
        <w:ind w:left="736" w:firstLineChars="0" w:hanging="316"/>
      </w:pPr>
      <w:r w:rsidRPr="007D254C">
        <w:t>d</w:t>
      </w:r>
      <w:r w:rsidRPr="007D254C">
        <w:rPr>
          <w:rFonts w:hint="eastAsia"/>
        </w:rPr>
        <w:t>）</w:t>
      </w:r>
      <w:r w:rsidRPr="007D254C">
        <w:tab/>
      </w:r>
      <w:r w:rsidRPr="007D254C">
        <w:rPr>
          <w:rFonts w:hint="eastAsia"/>
        </w:rPr>
        <w:t>坚持集中电力系统人才资源优势，整合、吸收电力系统各单位先进的管理要求和发展思路，体现电力行业集团化运作、集约化发展、精益化管理、标准化建设的理念。</w:t>
      </w:r>
    </w:p>
    <w:p w:rsidR="003D2540" w:rsidRDefault="00FA7BFE">
      <w:pPr>
        <w:pStyle w:val="12"/>
        <w:spacing w:before="312" w:after="312"/>
        <w:rPr>
          <w:rFonts w:ascii="宋体" w:hAnsi="宋体"/>
          <w:szCs w:val="21"/>
        </w:rPr>
      </w:pPr>
      <w:bookmarkStart w:id="31" w:name="_Toc11710"/>
      <w:r>
        <w:rPr>
          <w:rFonts w:ascii="宋体" w:hAnsi="宋体" w:hint="eastAsia"/>
          <w:szCs w:val="21"/>
        </w:rPr>
        <w:t>3</w:t>
      </w:r>
      <w:r>
        <w:rPr>
          <w:rFonts w:ascii="宋体" w:hAnsi="宋体" w:hint="eastAsia"/>
          <w:szCs w:val="21"/>
        </w:rPr>
        <w:t xml:space="preserve"> </w:t>
      </w:r>
      <w:r>
        <w:rPr>
          <w:rFonts w:ascii="宋体" w:hAnsi="宋体" w:hint="eastAsia"/>
          <w:szCs w:val="21"/>
        </w:rPr>
        <w:t>主要工作过程</w:t>
      </w:r>
      <w:bookmarkEnd w:id="31"/>
    </w:p>
    <w:p w:rsidR="003D2540" w:rsidRDefault="00FA7BFE">
      <w:pPr>
        <w:pStyle w:val="af7"/>
      </w:pPr>
      <w:r>
        <w:rPr>
          <w:rFonts w:hint="eastAsia"/>
        </w:rPr>
        <w:t>本标准由中国电机工程学会智能感知专委会提出。</w:t>
      </w:r>
    </w:p>
    <w:p w:rsidR="003D2540" w:rsidRDefault="00FA7BFE">
      <w:pPr>
        <w:pStyle w:val="af7"/>
      </w:pPr>
      <w:r>
        <w:rPr>
          <w:rFonts w:hint="eastAsia"/>
        </w:rPr>
        <w:t>本标准由中国电机工程学会智能感知专委会归口。</w:t>
      </w:r>
    </w:p>
    <w:p w:rsidR="003D2540" w:rsidRDefault="00FA7BFE" w:rsidP="007D254C">
      <w:pPr>
        <w:pStyle w:val="af7"/>
      </w:pPr>
      <w:r>
        <w:rPr>
          <w:rFonts w:hint="eastAsia"/>
        </w:rPr>
        <w:t>本标准起草单位：</w:t>
      </w:r>
      <w:r w:rsidR="007D254C" w:rsidRPr="007D254C">
        <w:rPr>
          <w:rFonts w:hint="eastAsia"/>
        </w:rPr>
        <w:t>国网河北省电力有限公司</w:t>
      </w:r>
      <w:r w:rsidR="007D254C">
        <w:rPr>
          <w:rFonts w:hint="eastAsia"/>
        </w:rPr>
        <w:t>、</w:t>
      </w:r>
      <w:r w:rsidR="007D254C" w:rsidRPr="007D254C">
        <w:rPr>
          <w:rFonts w:hint="eastAsia"/>
        </w:rPr>
        <w:t>中国电力科学研究院有限公司、国网信息通信产业集团有限公司、北京智芯微电子科技有限公司、电子科技大学</w:t>
      </w:r>
      <w:r>
        <w:rPr>
          <w:rFonts w:hint="eastAsia"/>
        </w:rPr>
        <w:t>。</w:t>
      </w:r>
    </w:p>
    <w:p w:rsidR="003D2540" w:rsidRDefault="00FA7BFE">
      <w:pPr>
        <w:pStyle w:val="af7"/>
      </w:pPr>
      <w:r>
        <w:rPr>
          <w:rFonts w:hint="eastAsia"/>
        </w:rPr>
        <w:t>本标准主要起草人：</w:t>
      </w:r>
      <w:r w:rsidR="007D254C" w:rsidRPr="002E51D8">
        <w:rPr>
          <w:rFonts w:hAnsi="宋体" w:hint="eastAsia"/>
        </w:rPr>
        <w:t>钟成、路鹏程、李树荣、陆阳、吴青青</w:t>
      </w:r>
      <w:r w:rsidR="007D254C">
        <w:rPr>
          <w:rFonts w:hAnsi="宋体" w:hint="eastAsia"/>
        </w:rPr>
        <w:t>、</w:t>
      </w:r>
      <w:r w:rsidR="007D254C" w:rsidRPr="002E51D8">
        <w:rPr>
          <w:rFonts w:hAnsi="宋体" w:hint="eastAsia"/>
        </w:rPr>
        <w:t>翟迪、邹显炳</w:t>
      </w:r>
      <w:r w:rsidR="007D254C">
        <w:rPr>
          <w:rFonts w:hAnsi="宋体" w:hint="eastAsia"/>
        </w:rPr>
        <w:t>、</w:t>
      </w:r>
      <w:r w:rsidR="007D254C" w:rsidRPr="002E51D8">
        <w:rPr>
          <w:rFonts w:hAnsi="宋体" w:hint="eastAsia"/>
        </w:rPr>
        <w:t>韩金侠、张春玲、张晓燚</w:t>
      </w:r>
      <w:r w:rsidR="007D254C" w:rsidRPr="002E51D8">
        <w:rPr>
          <w:rFonts w:hAnsi="宋体"/>
        </w:rPr>
        <w:t>。</w:t>
      </w:r>
    </w:p>
    <w:p w:rsidR="003D2540" w:rsidRDefault="00FA7BFE">
      <w:pPr>
        <w:pStyle w:val="af7"/>
      </w:pPr>
      <w:r>
        <w:rPr>
          <w:rFonts w:hint="eastAsia"/>
        </w:rPr>
        <w:t>起草工作阶段：标准编制工作起草小组在</w:t>
      </w:r>
      <w:r>
        <w:rPr>
          <w:rFonts w:hint="eastAsia"/>
        </w:rPr>
        <w:t>2023</w:t>
      </w:r>
      <w:r>
        <w:rPr>
          <w:rFonts w:hint="eastAsia"/>
        </w:rPr>
        <w:t>年</w:t>
      </w:r>
      <w:r>
        <w:rPr>
          <w:rFonts w:hint="eastAsia"/>
        </w:rPr>
        <w:t>8</w:t>
      </w:r>
      <w:r>
        <w:rPr>
          <w:rFonts w:hint="eastAsia"/>
        </w:rPr>
        <w:t>月积极组织筹备和征集标准起草工作组的成员单位，成立了标准起草工作组。</w:t>
      </w:r>
    </w:p>
    <w:p w:rsidR="003D2540" w:rsidRDefault="00FA7BFE">
      <w:pPr>
        <w:pStyle w:val="af7"/>
      </w:pPr>
      <w:r>
        <w:rPr>
          <w:rFonts w:hint="eastAsia"/>
        </w:rPr>
        <w:t>标准起草工作组制定了标准编制工作计划、编写大纲，明确任务分工及各阶段进度时间。同时，标准起草工作组成员认真学习了</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部分：标准化文件的结构和起草规则》，结合标准制定工作程序的各个环节，进行了探讨和研究。</w:t>
      </w:r>
    </w:p>
    <w:p w:rsidR="003D2540" w:rsidRDefault="00FA7BFE">
      <w:pPr>
        <w:pStyle w:val="af7"/>
      </w:pPr>
      <w:r>
        <w:rPr>
          <w:rFonts w:hint="eastAsia"/>
        </w:rPr>
        <w:t>2023</w:t>
      </w:r>
      <w:r>
        <w:rPr>
          <w:rFonts w:hint="eastAsia"/>
        </w:rPr>
        <w:t>年</w:t>
      </w:r>
      <w:r>
        <w:rPr>
          <w:rFonts w:hint="eastAsia"/>
        </w:rPr>
        <w:t>10</w:t>
      </w:r>
      <w:r>
        <w:rPr>
          <w:rFonts w:hint="eastAsia"/>
        </w:rPr>
        <w:t>月，标准起草工作组编写完成并提交了标准工作组讨论稿，经中国电机工程学会智能感知专委会评审后，标准起草工作组根据评审专家意见修改完善了标准工作组讨论稿，并于</w:t>
      </w:r>
      <w:r>
        <w:rPr>
          <w:rFonts w:hint="eastAsia"/>
        </w:rPr>
        <w:t>2023</w:t>
      </w:r>
      <w:r>
        <w:rPr>
          <w:rFonts w:hint="eastAsia"/>
        </w:rPr>
        <w:t>年</w:t>
      </w:r>
      <w:r>
        <w:rPr>
          <w:rFonts w:hint="eastAsia"/>
        </w:rPr>
        <w:t>11</w:t>
      </w:r>
      <w:r>
        <w:rPr>
          <w:rFonts w:hint="eastAsia"/>
        </w:rPr>
        <w:t>月提交至中国电机工程学会智能感知专委会归口。</w:t>
      </w:r>
    </w:p>
    <w:p w:rsidR="003D2540" w:rsidRDefault="00FA7BFE">
      <w:pPr>
        <w:pStyle w:val="af7"/>
      </w:pPr>
      <w:r>
        <w:rPr>
          <w:rFonts w:hint="eastAsia"/>
        </w:rPr>
        <w:t>2023</w:t>
      </w:r>
      <w:r>
        <w:rPr>
          <w:rFonts w:hint="eastAsia"/>
        </w:rPr>
        <w:t>年</w:t>
      </w:r>
      <w:r>
        <w:rPr>
          <w:rFonts w:hint="eastAsia"/>
        </w:rPr>
        <w:t>12</w:t>
      </w:r>
      <w:r>
        <w:rPr>
          <w:rFonts w:hint="eastAsia"/>
        </w:rPr>
        <w:t>月，标准立项评审会成功召开，与会专家一致同意标准在中国电机工程学会智能感知专委会立项，并于当月发布标准立项通知。</w:t>
      </w:r>
    </w:p>
    <w:p w:rsidR="003D2540" w:rsidRDefault="00FA7BFE">
      <w:pPr>
        <w:pStyle w:val="af7"/>
      </w:pPr>
      <w:r>
        <w:rPr>
          <w:rFonts w:hint="eastAsia"/>
        </w:rPr>
        <w:t>2024</w:t>
      </w:r>
      <w:r>
        <w:rPr>
          <w:rFonts w:hint="eastAsia"/>
        </w:rPr>
        <w:t>年</w:t>
      </w:r>
      <w:r>
        <w:rPr>
          <w:rFonts w:hint="eastAsia"/>
        </w:rPr>
        <w:t>3</w:t>
      </w:r>
      <w:r>
        <w:rPr>
          <w:rFonts w:hint="eastAsia"/>
        </w:rPr>
        <w:t>月，标准起草单位根据标准立项评审意见，迅速开展并</w:t>
      </w:r>
      <w:r>
        <w:rPr>
          <w:rFonts w:hint="eastAsia"/>
        </w:rPr>
        <w:t>完成了标准征询意见稿的编制工作。</w:t>
      </w:r>
    </w:p>
    <w:p w:rsidR="003D2540" w:rsidRDefault="00FA7BFE">
      <w:pPr>
        <w:pStyle w:val="af7"/>
      </w:pPr>
      <w:r>
        <w:rPr>
          <w:rFonts w:hint="eastAsia"/>
        </w:rPr>
        <w:t>征求意见阶段：</w:t>
      </w:r>
      <w:r>
        <w:rPr>
          <w:rFonts w:hint="eastAsia"/>
        </w:rPr>
        <w:t>2024</w:t>
      </w:r>
      <w:r>
        <w:rPr>
          <w:rFonts w:hint="eastAsia"/>
        </w:rPr>
        <w:t>年</w:t>
      </w:r>
      <w:r>
        <w:rPr>
          <w:rFonts w:hint="eastAsia"/>
        </w:rPr>
        <w:t>10</w:t>
      </w:r>
      <w:r>
        <w:rPr>
          <w:rFonts w:hint="eastAsia"/>
        </w:rPr>
        <w:t>月，通过以下方式进行了广泛征求意见：</w:t>
      </w:r>
    </w:p>
    <w:p w:rsidR="003D2540" w:rsidRDefault="00FA7BFE">
      <w:pPr>
        <w:pStyle w:val="af7"/>
      </w:pPr>
      <w:r>
        <w:rPr>
          <w:rFonts w:hint="eastAsia"/>
        </w:rPr>
        <w:t>将标准征求意见稿上传至全国团体标准信息平台，向行业单位征求意见。</w:t>
      </w:r>
    </w:p>
    <w:p w:rsidR="003D2540" w:rsidRDefault="00FA7BFE">
      <w:pPr>
        <w:pStyle w:val="af7"/>
      </w:pPr>
      <w:r>
        <w:rPr>
          <w:rFonts w:hint="eastAsia"/>
        </w:rPr>
        <w:t>将标准征求意见稿向起草各单位或专家发出征求意见。</w:t>
      </w:r>
    </w:p>
    <w:p w:rsidR="003D2540" w:rsidRDefault="00FA7BFE">
      <w:pPr>
        <w:pStyle w:val="12"/>
        <w:spacing w:before="312" w:after="312"/>
      </w:pPr>
      <w:bookmarkStart w:id="32" w:name="_Toc7163"/>
      <w:r>
        <w:rPr>
          <w:rFonts w:ascii="宋体" w:hAnsi="宋体" w:hint="eastAsia"/>
          <w:szCs w:val="21"/>
        </w:rPr>
        <w:t>4</w:t>
      </w:r>
      <w:r>
        <w:rPr>
          <w:rFonts w:hint="eastAsia"/>
        </w:rPr>
        <w:t xml:space="preserve"> </w:t>
      </w:r>
      <w:r w:rsidRPr="00286550">
        <w:rPr>
          <w:rFonts w:hint="eastAsia"/>
        </w:rPr>
        <w:t>标准结构和内容说明</w:t>
      </w:r>
      <w:bookmarkStart w:id="33" w:name="_GoBack"/>
      <w:bookmarkEnd w:id="32"/>
      <w:bookmarkEnd w:id="33"/>
    </w:p>
    <w:p w:rsidR="007D254C" w:rsidRDefault="007D254C" w:rsidP="007D254C">
      <w:pPr>
        <w:pStyle w:val="af7"/>
      </w:pPr>
      <w:r>
        <w:rPr>
          <w:rFonts w:hint="eastAsia"/>
        </w:rPr>
        <w:t>本文件为技术导则，对于</w:t>
      </w:r>
      <w:r>
        <w:rPr>
          <w:rFonts w:hint="eastAsia"/>
        </w:rPr>
        <w:t>电力感知终端射频能量收集技术</w:t>
      </w:r>
      <w:r>
        <w:rPr>
          <w:rFonts w:hint="eastAsia"/>
        </w:rPr>
        <w:t>总</w:t>
      </w:r>
      <w:r>
        <w:rPr>
          <w:rFonts w:hint="eastAsia"/>
        </w:rPr>
        <w:t>则</w:t>
      </w:r>
      <w:r>
        <w:rPr>
          <w:rFonts w:hint="eastAsia"/>
        </w:rPr>
        <w:t>—</w:t>
      </w:r>
      <w:r>
        <w:rPr>
          <w:rFonts w:hint="eastAsia"/>
        </w:rPr>
        <w:t>总体架构</w:t>
      </w:r>
      <w:r>
        <w:rPr>
          <w:rFonts w:hint="eastAsia"/>
        </w:rPr>
        <w:t>—</w:t>
      </w:r>
      <w:r>
        <w:rPr>
          <w:rFonts w:hint="eastAsia"/>
        </w:rPr>
        <w:t>物理层技术要求</w:t>
      </w:r>
      <w:r>
        <w:rPr>
          <w:rFonts w:hint="eastAsia"/>
        </w:rPr>
        <w:t>—</w:t>
      </w:r>
      <w:r w:rsidR="004449B8">
        <w:rPr>
          <w:rFonts w:hint="eastAsia"/>
        </w:rPr>
        <w:t>媒体访问控制层技术要求</w:t>
      </w:r>
      <w:r w:rsidR="004449B8">
        <w:rPr>
          <w:rFonts w:hint="eastAsia"/>
        </w:rPr>
        <w:t>—</w:t>
      </w:r>
      <w:r>
        <w:rPr>
          <w:rFonts w:hint="eastAsia"/>
        </w:rPr>
        <w:t>安全要求的顺序起草。第</w:t>
      </w:r>
      <w:r>
        <w:t>5章中规</w:t>
      </w:r>
      <w:r w:rsidR="004449B8">
        <w:rPr>
          <w:rFonts w:hint="eastAsia"/>
        </w:rPr>
        <w:t>电力感知终端射频能量收集技术总则</w:t>
      </w:r>
      <w:r>
        <w:t>。第6章中规定了</w:t>
      </w:r>
      <w:r w:rsidR="004449B8">
        <w:rPr>
          <w:rFonts w:hint="eastAsia"/>
        </w:rPr>
        <w:t>电力感知终端射频能量收集技术</w:t>
      </w:r>
      <w:r w:rsidR="004449B8">
        <w:rPr>
          <w:rFonts w:hint="eastAsia"/>
        </w:rPr>
        <w:t>总体架构</w:t>
      </w:r>
      <w:r>
        <w:t>。第7章中规定了</w:t>
      </w:r>
      <w:r w:rsidR="004449B8">
        <w:rPr>
          <w:rFonts w:hint="eastAsia"/>
        </w:rPr>
        <w:t>电力感知终端射频能量收集技术</w:t>
      </w:r>
      <w:r w:rsidR="004449B8">
        <w:rPr>
          <w:rFonts w:hint="eastAsia"/>
        </w:rPr>
        <w:t>的物理层技术要求</w:t>
      </w:r>
      <w:r>
        <w:t>。第8章中规定了</w:t>
      </w:r>
      <w:r w:rsidR="004449B8">
        <w:rPr>
          <w:rFonts w:hint="eastAsia"/>
        </w:rPr>
        <w:t>电力感知终端射频能量收集技术的媒体访问控制层技术要求</w:t>
      </w:r>
      <w:r>
        <w:t>。第9章规定</w:t>
      </w:r>
      <w:r w:rsidR="004449B8">
        <w:rPr>
          <w:rFonts w:hint="eastAsia"/>
        </w:rPr>
        <w:t>了</w:t>
      </w:r>
      <w:r w:rsidR="004449B8">
        <w:rPr>
          <w:rFonts w:hint="eastAsia"/>
        </w:rPr>
        <w:t>电力感知终端射频能量收集技术的</w:t>
      </w:r>
      <w:r w:rsidR="004449B8">
        <w:rPr>
          <w:rFonts w:hint="eastAsia"/>
        </w:rPr>
        <w:t>安全</w:t>
      </w:r>
      <w:r>
        <w:t>要求。</w:t>
      </w:r>
    </w:p>
    <w:p w:rsidR="003D2540" w:rsidRPr="007D254C" w:rsidRDefault="007D254C" w:rsidP="007D254C">
      <w:pPr>
        <w:pStyle w:val="af7"/>
      </w:pPr>
      <w:r>
        <w:rPr>
          <w:rFonts w:hint="eastAsia"/>
        </w:rPr>
        <w:t>本文件包含</w:t>
      </w:r>
      <w:r w:rsidR="004449B8">
        <w:t>1</w:t>
      </w:r>
      <w:r>
        <w:t>个</w:t>
      </w:r>
      <w:r w:rsidR="004449B8">
        <w:rPr>
          <w:rFonts w:hint="eastAsia"/>
        </w:rPr>
        <w:t>技术性目录和3个</w:t>
      </w:r>
      <w:r>
        <w:t>资料性目录，附录A为</w:t>
      </w:r>
      <w:r w:rsidR="004449B8">
        <w:rPr>
          <w:rFonts w:hint="eastAsia"/>
        </w:rPr>
        <w:t>技术性</w:t>
      </w:r>
      <w:r>
        <w:t>附录，由第</w:t>
      </w:r>
      <w:r w:rsidR="004449B8">
        <w:t>8</w:t>
      </w:r>
      <w:r>
        <w:t>章指明</w:t>
      </w:r>
      <w:r w:rsidR="004449B8">
        <w:rPr>
          <w:rFonts w:hint="eastAsia"/>
        </w:rPr>
        <w:t>了</w:t>
      </w:r>
      <w:r w:rsidR="004449B8" w:rsidRPr="004449B8">
        <w:t>电力感知终端工作状态</w:t>
      </w:r>
      <w:r>
        <w:t>；附录B为资料性附录，由第</w:t>
      </w:r>
      <w:r w:rsidR="004449B8">
        <w:t>8</w:t>
      </w:r>
      <w:r>
        <w:t>章指明，列出了</w:t>
      </w:r>
      <w:r w:rsidR="004449B8" w:rsidRPr="004449B8">
        <w:t>电力地下管廊低速率物联感知类业务需求</w:t>
      </w:r>
      <w:r>
        <w:t>；附录C为资料性附录，由第</w:t>
      </w:r>
      <w:r w:rsidR="004449B8">
        <w:t>8</w:t>
      </w:r>
      <w:r>
        <w:t>章指明，列出了</w:t>
      </w:r>
      <w:r w:rsidR="004449B8" w:rsidRPr="004449B8">
        <w:t>智慧变电站场景低速率物联感知类业务需求</w:t>
      </w:r>
      <w:r>
        <w:t>；附录D为资料性附录，由第</w:t>
      </w:r>
      <w:r w:rsidR="004449B8">
        <w:t>8</w:t>
      </w:r>
      <w:r>
        <w:t>章指明，列出了</w:t>
      </w:r>
      <w:r w:rsidR="004449B8" w:rsidRPr="004449B8">
        <w:t>智慧仓储场景低速率物联感知类业务需求</w:t>
      </w:r>
      <w:r>
        <w:t>。</w:t>
      </w:r>
    </w:p>
    <w:p w:rsidR="003D2540" w:rsidRDefault="00FA7BFE">
      <w:pPr>
        <w:pStyle w:val="12"/>
        <w:spacing w:before="312" w:after="312"/>
      </w:pPr>
      <w:bookmarkStart w:id="34" w:name="_Toc18422"/>
      <w:r>
        <w:rPr>
          <w:rFonts w:ascii="宋体" w:hAnsi="宋体" w:hint="eastAsia"/>
          <w:szCs w:val="21"/>
        </w:rPr>
        <w:t>5</w:t>
      </w:r>
      <w:r>
        <w:rPr>
          <w:rFonts w:ascii="宋体" w:hAnsi="宋体" w:hint="eastAsia"/>
          <w:szCs w:val="21"/>
        </w:rPr>
        <w:t xml:space="preserve"> </w:t>
      </w:r>
      <w:r>
        <w:rPr>
          <w:rFonts w:ascii="宋体" w:hAnsi="宋体" w:hint="eastAsia"/>
          <w:szCs w:val="21"/>
        </w:rPr>
        <w:t>相关</w:t>
      </w:r>
      <w:r>
        <w:rPr>
          <w:rFonts w:hint="eastAsia"/>
        </w:rPr>
        <w:t>标准对比说</w:t>
      </w:r>
      <w:r>
        <w:rPr>
          <w:rFonts w:hint="eastAsia"/>
        </w:rPr>
        <w:t>明</w:t>
      </w:r>
      <w:bookmarkEnd w:id="34"/>
    </w:p>
    <w:p w:rsidR="007D254C" w:rsidRDefault="007D254C" w:rsidP="007D254C">
      <w:pPr>
        <w:pStyle w:val="af7"/>
      </w:pPr>
      <w:r>
        <w:rPr>
          <w:rFonts w:hint="eastAsia"/>
        </w:rPr>
        <w:t>本文件与相关技术领域的国家现行法律、法规和政策保持一致。</w:t>
      </w:r>
    </w:p>
    <w:p w:rsidR="003D2540" w:rsidRPr="007D254C" w:rsidRDefault="007D254C" w:rsidP="007D254C">
      <w:pPr>
        <w:pStyle w:val="af7"/>
      </w:pPr>
      <w:r>
        <w:rPr>
          <w:rFonts w:hint="eastAsia"/>
        </w:rPr>
        <w:t>本文件不涉及知识产权问题。</w:t>
      </w:r>
    </w:p>
    <w:p w:rsidR="003D2540" w:rsidRDefault="00FA7BFE">
      <w:pPr>
        <w:pStyle w:val="12"/>
        <w:spacing w:before="312" w:after="312"/>
        <w:rPr>
          <w:rFonts w:ascii="宋体" w:hAnsi="宋体"/>
          <w:szCs w:val="21"/>
        </w:rPr>
      </w:pPr>
      <w:bookmarkStart w:id="35" w:name="_Toc6180"/>
      <w:r>
        <w:rPr>
          <w:rFonts w:ascii="宋体" w:hAnsi="宋体" w:hint="eastAsia"/>
          <w:szCs w:val="21"/>
        </w:rPr>
        <w:t>6</w:t>
      </w:r>
      <w:r>
        <w:rPr>
          <w:rFonts w:ascii="宋体" w:hAnsi="宋体" w:hint="eastAsia"/>
          <w:szCs w:val="21"/>
        </w:rPr>
        <w:t>标准实施措施说明</w:t>
      </w:r>
      <w:bookmarkEnd w:id="35"/>
    </w:p>
    <w:p w:rsidR="003D2540" w:rsidRDefault="00FA7BFE">
      <w:pPr>
        <w:pStyle w:val="af7"/>
      </w:pPr>
      <w:r>
        <w:rPr>
          <w:rFonts w:hint="eastAsia"/>
        </w:rPr>
        <w:t>建议作为推荐性团体标准，并加强标准的宣传实施，以</w:t>
      </w:r>
      <w:r w:rsidR="007D254C" w:rsidRPr="007D254C">
        <w:rPr>
          <w:rFonts w:hint="eastAsia"/>
        </w:rPr>
        <w:t>摆脱常规方案取电限制，提升电力感知业务部署灵活性，有力支撑感知数据的无缝采集与泛在接入</w:t>
      </w:r>
      <w:r>
        <w:rPr>
          <w:rFonts w:hint="eastAsia"/>
        </w:rPr>
        <w:t>。</w:t>
      </w:r>
    </w:p>
    <w:sectPr w:rsidR="003D2540">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BFE" w:rsidRDefault="00FA7BFE">
      <w:r>
        <w:separator/>
      </w:r>
    </w:p>
  </w:endnote>
  <w:endnote w:type="continuationSeparator" w:id="0">
    <w:p w:rsidR="00FA7BFE" w:rsidRDefault="00FA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FA7BFE">
    <w:pPr>
      <w:pStyle w:val="aff1"/>
      <w:jc w:val="center"/>
    </w:pPr>
    <w:r>
      <w:rPr>
        <w:kern w:val="2"/>
      </w:rPr>
      <w:fldChar w:fldCharType="begin"/>
    </w:r>
    <w:r>
      <w:rPr>
        <w:rStyle w:val="af2"/>
      </w:rPr>
      <w:instrText xml:space="preserve"> PAGE </w:instrText>
    </w:r>
    <w:r>
      <w:rPr>
        <w:kern w:val="2"/>
      </w:rPr>
      <w:fldChar w:fldCharType="separate"/>
    </w:r>
    <w:r>
      <w:rPr>
        <w:rStyle w:val="af2"/>
      </w:rPr>
      <w:t>26</w:t>
    </w:r>
    <w:r>
      <w:rPr>
        <w:kern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FA7BFE">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3D2540" w:rsidRDefault="00FA7BFE">
                          <w:pPr>
                            <w:pStyle w:val="ac"/>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E+na4L1AQAAtAMAAA4AAAAAAAAAAAAAAAAALgIAAGRycy9lMm9E&#10;b2MueG1sUEsBAi0AFAAGAAgAAAAhAE1C6UzXAAAAAwEAAA8AAAAAAAAAAAAAAAAATwQAAGRycy9k&#10;b3ducmV2LnhtbFBLBQYAAAAABAAEAPMAAABTBQAAAAA=&#10;" filled="f" stroked="f">
              <v:textbox style="mso-fit-shape-to-text:t" inset="0,0,0,0">
                <w:txbxContent>
                  <w:p w:rsidR="003D2540" w:rsidRDefault="00FA7BFE">
                    <w:pPr>
                      <w:pStyle w:val="ac"/>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FA7BFE">
    <w:pPr>
      <w:pStyle w:val="aff1"/>
      <w:ind w:right="360" w:firstLine="360"/>
      <w:rPr>
        <w:rStyle w:val="af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D2540" w:rsidRDefault="00FA7BFE">
                          <w:pPr>
                            <w:pStyle w:val="ac"/>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mwfV8vIBAAC+AwAADgAAAAAAAAAAAAAAAAAuAgAAZHJzL2Uyb0RvYy54&#10;bWxQSwECLQAUAAYACAAAACEADErw7tYAAAAFAQAADwAAAAAAAAAAAAAAAABMBAAAZHJzL2Rvd25y&#10;ZXYueG1sUEsFBgAAAAAEAAQA8wAAAE8FAAAAAA==&#10;" filled="f" stroked="f">
              <v:textbox style="mso-fit-shape-to-text:t" inset="0,0,0,0">
                <w:txbxContent>
                  <w:p w:rsidR="003D2540" w:rsidRDefault="00FA7BFE">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BFE" w:rsidRDefault="00FA7BFE">
      <w:r>
        <w:separator/>
      </w:r>
    </w:p>
  </w:footnote>
  <w:footnote w:type="continuationSeparator" w:id="0">
    <w:p w:rsidR="00FA7BFE" w:rsidRDefault="00FA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FA7BFE">
    <w:pPr>
      <w:pStyle w:val="af8"/>
      <w:spacing w:before="120" w:after="120"/>
      <w:jc w:val="both"/>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FA7BFE">
    <w:pPr>
      <w:pStyle w:val="af8"/>
      <w:wordWrap w:val="0"/>
    </w:pPr>
    <w:r>
      <w:rPr>
        <w:rFonts w:hint="eastAsia"/>
      </w:rPr>
      <w:t>T</w:t>
    </w:r>
    <w:r>
      <w:t>/</w:t>
    </w:r>
    <w:r>
      <w:rPr>
        <w:rFonts w:hint="eastAsia"/>
      </w:rPr>
      <w:t>CSEE</w:t>
    </w:r>
    <w:r>
      <w:rPr>
        <w:rFonts w:hAnsi="黑体" w:hint="eastAsia"/>
      </w:rPr>
      <w:t xml:space="preserve"> XXXX-YYYY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3D2540">
    <w:pPr>
      <w:pStyle w:val="af8"/>
      <w:wordWrap w:val="0"/>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540" w:rsidRDefault="00FA7BFE">
    <w:pPr>
      <w:pStyle w:val="af8"/>
    </w:pPr>
    <w:r>
      <w:t>T/CSEE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568"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20F62E9"/>
    <w:multiLevelType w:val="multilevel"/>
    <w:tmpl w:val="520F62E9"/>
    <w:lvl w:ilvl="0">
      <w:start w:val="1"/>
      <w:numFmt w:val="decimal"/>
      <w:pStyle w:val="a4"/>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3AF7EBF"/>
    <w:multiLevelType w:val="multilevel"/>
    <w:tmpl w:val="63AF7EBF"/>
    <w:lvl w:ilvl="0">
      <w:start w:val="1"/>
      <w:numFmt w:val="decimal"/>
      <w:pStyle w:val="a5"/>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57D3FBC"/>
    <w:multiLevelType w:val="multilevel"/>
    <w:tmpl w:val="657D3FBC"/>
    <w:lvl w:ilvl="0">
      <w:start w:val="1"/>
      <w:numFmt w:val="upperLetter"/>
      <w:pStyle w:val="a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1YzdmZGMyNDVjMzk3YjM0OWU2ZGI1MmNhYWFjNWEifQ=="/>
  </w:docVars>
  <w:rsids>
    <w:rsidRoot w:val="00B04C11"/>
    <w:rsid w:val="00121587"/>
    <w:rsid w:val="001B6929"/>
    <w:rsid w:val="00232DD7"/>
    <w:rsid w:val="0023314E"/>
    <w:rsid w:val="002739AF"/>
    <w:rsid w:val="00286550"/>
    <w:rsid w:val="002A44C3"/>
    <w:rsid w:val="002D6D29"/>
    <w:rsid w:val="003D2540"/>
    <w:rsid w:val="004449B8"/>
    <w:rsid w:val="00444CAF"/>
    <w:rsid w:val="007D254C"/>
    <w:rsid w:val="008706A2"/>
    <w:rsid w:val="00905399"/>
    <w:rsid w:val="009F4BFB"/>
    <w:rsid w:val="00A36F15"/>
    <w:rsid w:val="00A4128A"/>
    <w:rsid w:val="00AA7553"/>
    <w:rsid w:val="00AB2EAE"/>
    <w:rsid w:val="00B04C11"/>
    <w:rsid w:val="00F9702B"/>
    <w:rsid w:val="00FA7BFE"/>
    <w:rsid w:val="07AD5B25"/>
    <w:rsid w:val="0B2B4CE0"/>
    <w:rsid w:val="0E611BB8"/>
    <w:rsid w:val="20E93F65"/>
    <w:rsid w:val="2DAF6D80"/>
    <w:rsid w:val="2E7C2DA0"/>
    <w:rsid w:val="313540FB"/>
    <w:rsid w:val="31AC7601"/>
    <w:rsid w:val="361433DA"/>
    <w:rsid w:val="3B7178DA"/>
    <w:rsid w:val="3B926F4C"/>
    <w:rsid w:val="4B016A6B"/>
    <w:rsid w:val="55AE2AAB"/>
    <w:rsid w:val="67CE0D8B"/>
    <w:rsid w:val="6CE36BED"/>
    <w:rsid w:val="742E508B"/>
    <w:rsid w:val="783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4B26C"/>
  <w15:docId w15:val="{615CD461-033D-4C14-9792-D96CFA35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8"/>
    <w:next w:val="a8"/>
    <w:link w:val="10"/>
    <w:uiPriority w:val="9"/>
    <w:qFormat/>
    <w:pPr>
      <w:keepNext/>
      <w:keepLines/>
      <w:spacing w:before="340" w:after="330" w:line="578" w:lineRule="auto"/>
      <w:outlineLvl w:val="0"/>
    </w:pPr>
    <w:rPr>
      <w:b/>
      <w:bCs/>
      <w:kern w:val="44"/>
      <w:sz w:val="44"/>
      <w:szCs w:val="44"/>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TOC3">
    <w:name w:val="toc 3"/>
    <w:basedOn w:val="a8"/>
    <w:next w:val="a8"/>
    <w:uiPriority w:val="39"/>
    <w:qFormat/>
    <w:pPr>
      <w:tabs>
        <w:tab w:val="right" w:leader="dot" w:pos="9241"/>
      </w:tabs>
      <w:ind w:firstLineChars="100" w:firstLine="102"/>
      <w:jc w:val="left"/>
    </w:pPr>
    <w:rPr>
      <w:rFonts w:ascii="宋体"/>
      <w:szCs w:val="21"/>
    </w:rPr>
  </w:style>
  <w:style w:type="paragraph" w:styleId="ac">
    <w:name w:val="footer"/>
    <w:basedOn w:val="a8"/>
    <w:link w:val="ad"/>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e">
    <w:name w:val="header"/>
    <w:basedOn w:val="a8"/>
    <w:qFormat/>
    <w:pPr>
      <w:snapToGrid w:val="0"/>
      <w:jc w:val="left"/>
    </w:pPr>
    <w:rPr>
      <w:sz w:val="18"/>
      <w:szCs w:val="18"/>
    </w:rPr>
  </w:style>
  <w:style w:type="paragraph" w:styleId="TOC1">
    <w:name w:val="toc 1"/>
    <w:basedOn w:val="a8"/>
    <w:next w:val="a8"/>
    <w:uiPriority w:val="39"/>
    <w:qFormat/>
    <w:pPr>
      <w:tabs>
        <w:tab w:val="right" w:leader="dot" w:pos="9241"/>
      </w:tabs>
      <w:spacing w:beforeLines="25" w:before="25" w:afterLines="25" w:after="25"/>
      <w:jc w:val="left"/>
    </w:pPr>
    <w:rPr>
      <w:rFonts w:ascii="宋体" w:eastAsia="宋体" w:hAnsi="Times New Roman" w:cs="Times New Roman"/>
      <w:szCs w:val="21"/>
    </w:rPr>
  </w:style>
  <w:style w:type="paragraph" w:styleId="TOC2">
    <w:name w:val="toc 2"/>
    <w:basedOn w:val="a8"/>
    <w:next w:val="a8"/>
    <w:uiPriority w:val="39"/>
    <w:qFormat/>
    <w:pPr>
      <w:tabs>
        <w:tab w:val="right" w:leader="dot" w:pos="9241"/>
      </w:tabs>
    </w:pPr>
    <w:rPr>
      <w:rFonts w:ascii="宋体"/>
      <w:szCs w:val="21"/>
    </w:rPr>
  </w:style>
  <w:style w:type="paragraph" w:styleId="af">
    <w:name w:val="Title"/>
    <w:basedOn w:val="a8"/>
    <w:next w:val="a8"/>
    <w:link w:val="af0"/>
    <w:qFormat/>
    <w:pPr>
      <w:spacing w:before="240" w:after="60"/>
      <w:jc w:val="center"/>
      <w:outlineLvl w:val="0"/>
    </w:pPr>
    <w:rPr>
      <w:rFonts w:ascii="Cambria" w:eastAsia="宋体" w:hAnsi="Cambria" w:cs="Times New Roman"/>
      <w:b/>
      <w:bCs/>
      <w:sz w:val="32"/>
      <w:szCs w:val="32"/>
    </w:rPr>
  </w:style>
  <w:style w:type="table" w:styleId="af1">
    <w:name w:val="Table Grid"/>
    <w:basedOn w:val="aa"/>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sz w:val="18"/>
    </w:rPr>
  </w:style>
  <w:style w:type="character" w:styleId="af3">
    <w:name w:val="Emphasis"/>
    <w:basedOn w:val="a9"/>
    <w:uiPriority w:val="20"/>
    <w:qFormat/>
    <w:rPr>
      <w:i/>
    </w:rPr>
  </w:style>
  <w:style w:type="character" w:styleId="af4">
    <w:name w:val="Hyperlink"/>
    <w:uiPriority w:val="99"/>
    <w:qFormat/>
    <w:rPr>
      <w:rFonts w:cs="Times New Roman"/>
      <w:color w:val="0563C1"/>
      <w:u w:val="single"/>
    </w:rPr>
  </w:style>
  <w:style w:type="character" w:customStyle="1" w:styleId="ad">
    <w:name w:val="页脚 字符"/>
    <w:basedOn w:val="a9"/>
    <w:link w:val="ac"/>
    <w:uiPriority w:val="99"/>
    <w:qFormat/>
    <w:rPr>
      <w:rFonts w:ascii="Calibri" w:eastAsia="宋体" w:hAnsi="Calibri" w:cs="Times New Roman"/>
      <w:kern w:val="0"/>
      <w:sz w:val="18"/>
      <w:szCs w:val="18"/>
    </w:rPr>
  </w:style>
  <w:style w:type="character" w:customStyle="1" w:styleId="af0">
    <w:name w:val="标题 字符"/>
    <w:basedOn w:val="a9"/>
    <w:link w:val="af"/>
    <w:qFormat/>
    <w:rPr>
      <w:rFonts w:ascii="Cambria" w:eastAsia="宋体" w:hAnsi="Cambria" w:cs="Times New Roman"/>
      <w:b/>
      <w:bCs/>
      <w:sz w:val="32"/>
      <w:szCs w:val="32"/>
    </w:rPr>
  </w:style>
  <w:style w:type="paragraph" w:customStyle="1" w:styleId="af5">
    <w:name w:val="封面一致性程度标识"/>
    <w:qFormat/>
    <w:pPr>
      <w:spacing w:before="680" w:line="400" w:lineRule="exact"/>
      <w:jc w:val="center"/>
    </w:pPr>
    <w:rPr>
      <w:rFonts w:ascii="黑体" w:eastAsia="黑体" w:hAnsi="黑体"/>
      <w:sz w:val="28"/>
    </w:rPr>
  </w:style>
  <w:style w:type="paragraph" w:customStyle="1" w:styleId="af6">
    <w:name w:val="封面标准名称"/>
    <w:qFormat/>
    <w:pPr>
      <w:widowControl w:val="0"/>
      <w:spacing w:line="680" w:lineRule="exact"/>
      <w:jc w:val="center"/>
      <w:textAlignment w:val="center"/>
    </w:pPr>
    <w:rPr>
      <w:rFonts w:ascii="黑体" w:eastAsia="黑体"/>
      <w:sz w:val="52"/>
    </w:rPr>
  </w:style>
  <w:style w:type="paragraph" w:customStyle="1" w:styleId="a0">
    <w:name w:val="一级条标题"/>
    <w:next w:val="af7"/>
    <w:qFormat/>
    <w:pPr>
      <w:numPr>
        <w:ilvl w:val="1"/>
        <w:numId w:val="1"/>
      </w:numPr>
      <w:spacing w:beforeLines="50" w:before="156" w:afterLines="50" w:after="156"/>
      <w:outlineLvl w:val="2"/>
    </w:pPr>
    <w:rPr>
      <w:rFonts w:ascii="黑体" w:eastAsia="黑体"/>
      <w:sz w:val="21"/>
      <w:szCs w:val="21"/>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8">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
    <w:name w:val="章标题"/>
    <w:next w:val="af7"/>
    <w:qFormat/>
    <w:pPr>
      <w:numPr>
        <w:numId w:val="1"/>
      </w:numPr>
      <w:spacing w:beforeLines="100" w:before="312" w:afterLines="100" w:after="312"/>
      <w:jc w:val="both"/>
      <w:outlineLvl w:val="1"/>
    </w:pPr>
    <w:rPr>
      <w:rFonts w:ascii="黑体" w:eastAsia="黑体"/>
      <w:sz w:val="21"/>
    </w:rPr>
  </w:style>
  <w:style w:type="paragraph" w:customStyle="1" w:styleId="af9">
    <w:name w:val="标准书眉一"/>
    <w:qFormat/>
    <w:pPr>
      <w:jc w:val="both"/>
    </w:pPr>
  </w:style>
  <w:style w:type="paragraph" w:customStyle="1" w:styleId="afa">
    <w:name w:val="封面标准代替信息"/>
    <w:basedOn w:val="a8"/>
    <w:qFormat/>
    <w:pPr>
      <w:kinsoku w:val="0"/>
      <w:overflowPunct w:val="0"/>
      <w:autoSpaceDE w:val="0"/>
      <w:autoSpaceDN w:val="0"/>
      <w:adjustRightInd w:val="0"/>
      <w:spacing w:line="360" w:lineRule="exact"/>
      <w:jc w:val="right"/>
      <w:textAlignment w:val="center"/>
    </w:pPr>
    <w:rPr>
      <w:rFonts w:ascii="黑体" w:eastAsia="黑体" w:hAnsi="黑体" w:cs="Times New Roman"/>
      <w:kern w:val="0"/>
      <w:szCs w:val="20"/>
    </w:rPr>
  </w:style>
  <w:style w:type="paragraph" w:customStyle="1" w:styleId="11">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a6">
    <w:name w:val="附录标识"/>
    <w:basedOn w:val="a8"/>
    <w:next w:val="a8"/>
    <w:qFormat/>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b">
    <w:name w:val="标准书眉_偶数页"/>
    <w:basedOn w:val="af8"/>
    <w:next w:val="a8"/>
    <w:qFormat/>
    <w:pPr>
      <w:jc w:val="left"/>
    </w:pPr>
  </w:style>
  <w:style w:type="paragraph" w:customStyle="1" w:styleId="afc">
    <w:name w:val="封面标准英文名称"/>
    <w:qFormat/>
    <w:pPr>
      <w:widowControl w:val="0"/>
      <w:spacing w:before="330" w:line="400" w:lineRule="exact"/>
      <w:jc w:val="center"/>
    </w:pPr>
    <w:rPr>
      <w:rFonts w:ascii="黑体" w:eastAsia="黑体"/>
      <w:sz w:val="28"/>
    </w:rPr>
  </w:style>
  <w:style w:type="paragraph" w:customStyle="1" w:styleId="afd">
    <w:name w:val="实施日期"/>
    <w:basedOn w:val="afe"/>
    <w:qFormat/>
    <w:pPr>
      <w:jc w:val="right"/>
    </w:pPr>
  </w:style>
  <w:style w:type="paragraph" w:customStyle="1" w:styleId="afe">
    <w:name w:val="发布日期"/>
    <w:qFormat/>
    <w:rPr>
      <w:rFonts w:ascii="黑体" w:eastAsia="黑体" w:hAnsi="黑体"/>
      <w:sz w:val="28"/>
    </w:rPr>
  </w:style>
  <w:style w:type="paragraph" w:customStyle="1" w:styleId="12">
    <w:name w:val="样式 标题 1 + 非加粗"/>
    <w:basedOn w:val="1"/>
    <w:qFormat/>
    <w:pPr>
      <w:spacing w:beforeLines="100" w:before="100" w:afterLines="100" w:after="100" w:line="240" w:lineRule="auto"/>
    </w:pPr>
    <w:rPr>
      <w:rFonts w:ascii="Times New Roman" w:eastAsia="黑体" w:hAnsi="Times New Roman" w:cs="Times New Roman"/>
      <w:b w:val="0"/>
      <w:bCs w:val="0"/>
      <w:sz w:val="21"/>
    </w:rPr>
  </w:style>
  <w:style w:type="paragraph" w:customStyle="1" w:styleId="aff">
    <w:name w:val="目次、标准名称标题"/>
    <w:basedOn w:val="a8"/>
    <w:next w:val="af7"/>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TB">
    <w:name w:val="发布TB"/>
    <w:basedOn w:val="a8"/>
    <w:qFormat/>
    <w:pPr>
      <w:spacing w:line="280" w:lineRule="exact"/>
      <w:ind w:left="567"/>
    </w:pPr>
    <w:rPr>
      <w:rFonts w:ascii="黑体" w:eastAsia="黑体" w:hAnsi="Times New Roman" w:cs="Times New Roman"/>
      <w:kern w:val="3"/>
      <w:sz w:val="28"/>
      <w:szCs w:val="20"/>
    </w:rPr>
  </w:style>
  <w:style w:type="paragraph" w:styleId="aff0">
    <w:name w:val="List Paragraph"/>
    <w:basedOn w:val="a8"/>
    <w:uiPriority w:val="34"/>
    <w:qFormat/>
    <w:pPr>
      <w:ind w:firstLineChars="200" w:firstLine="420"/>
    </w:pPr>
    <w:rPr>
      <w:rFonts w:ascii="Calibri" w:eastAsia="宋体" w:hAnsi="Calibri" w:cs="Times New Roman"/>
    </w:rPr>
  </w:style>
  <w:style w:type="paragraph" w:customStyle="1" w:styleId="a7">
    <w:name w:val="附录章标题"/>
    <w:next w:val="af7"/>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B0">
    <w:name w:val="发布部门TB"/>
    <w:basedOn w:val="a8"/>
    <w:qFormat/>
    <w:pPr>
      <w:widowControl/>
      <w:spacing w:line="360" w:lineRule="exact"/>
      <w:jc w:val="center"/>
    </w:pPr>
    <w:rPr>
      <w:rFonts w:ascii="黑体" w:eastAsia="黑体" w:hAnsi="黑体" w:cs="Times New Roman"/>
      <w:spacing w:val="20"/>
      <w:w w:val="135"/>
      <w:kern w:val="0"/>
      <w:sz w:val="36"/>
      <w:szCs w:val="20"/>
    </w:rPr>
  </w:style>
  <w:style w:type="paragraph" w:customStyle="1" w:styleId="aff1">
    <w:name w:val="标准书脚_奇数页"/>
    <w:qFormat/>
    <w:pPr>
      <w:spacing w:before="120"/>
      <w:ind w:right="198"/>
      <w:jc w:val="right"/>
    </w:pPr>
    <w:rPr>
      <w:rFonts w:ascii="宋体"/>
      <w:sz w:val="18"/>
      <w:szCs w:val="18"/>
    </w:rPr>
  </w:style>
  <w:style w:type="paragraph" w:customStyle="1" w:styleId="aff2">
    <w:name w:val="标准书脚_偶数页"/>
    <w:qFormat/>
    <w:pPr>
      <w:spacing w:before="120"/>
    </w:pPr>
    <w:rPr>
      <w:sz w:val="18"/>
    </w:rPr>
  </w:style>
  <w:style w:type="paragraph" w:customStyle="1" w:styleId="ICS">
    <w:name w:val="ICS"/>
    <w:basedOn w:val="a8"/>
    <w:qFormat/>
    <w:pPr>
      <w:widowControl/>
      <w:jc w:val="left"/>
    </w:pPr>
    <w:rPr>
      <w:rFonts w:ascii="黑体" w:eastAsia="黑体" w:hAnsi="Times New Roman" w:cs="Times New Roman"/>
      <w:kern w:val="0"/>
      <w:szCs w:val="20"/>
    </w:rPr>
  </w:style>
  <w:style w:type="character" w:customStyle="1" w:styleId="10">
    <w:name w:val="标题 1 字符"/>
    <w:basedOn w:val="a9"/>
    <w:link w:val="1"/>
    <w:uiPriority w:val="9"/>
    <w:qFormat/>
    <w:rPr>
      <w:b/>
      <w:bCs/>
      <w:kern w:val="44"/>
      <w:sz w:val="44"/>
      <w:szCs w:val="44"/>
    </w:rPr>
  </w:style>
  <w:style w:type="paragraph" w:customStyle="1" w:styleId="BodyText1I2">
    <w:name w:val="BodyText1I2"/>
    <w:basedOn w:val="a8"/>
    <w:qFormat/>
    <w:pPr>
      <w:spacing w:after="120"/>
      <w:ind w:leftChars="200" w:left="420" w:firstLine="420"/>
    </w:pPr>
  </w:style>
  <w:style w:type="paragraph" w:customStyle="1" w:styleId="aff3">
    <w:name w:val="前言、引言标题"/>
    <w:next w:val="af7"/>
    <w:pPr>
      <w:keepNext/>
      <w:pageBreakBefore/>
      <w:shd w:val="clear" w:color="FFFFFF" w:fill="FFFFFF"/>
      <w:spacing w:before="640" w:after="560"/>
      <w:jc w:val="center"/>
      <w:outlineLvl w:val="0"/>
    </w:pPr>
    <w:rPr>
      <w:rFonts w:ascii="黑体" w:eastAsia="黑体"/>
      <w:sz w:val="32"/>
    </w:rPr>
  </w:style>
  <w:style w:type="paragraph" w:customStyle="1" w:styleId="aff4">
    <w:name w:val="标准文件_段"/>
    <w:pPr>
      <w:autoSpaceDE w:val="0"/>
      <w:autoSpaceDN w:val="0"/>
      <w:ind w:firstLineChars="200" w:firstLine="200"/>
      <w:jc w:val="both"/>
    </w:pPr>
    <w:rPr>
      <w:rFonts w:ascii="宋体"/>
      <w:sz w:val="21"/>
    </w:rPr>
  </w:style>
  <w:style w:type="paragraph" w:customStyle="1" w:styleId="a1">
    <w:name w:val="二级条标题"/>
    <w:basedOn w:val="a0"/>
    <w:next w:val="af7"/>
    <w:pPr>
      <w:numPr>
        <w:ilvl w:val="2"/>
      </w:numPr>
      <w:spacing w:before="50" w:after="50"/>
      <w:outlineLvl w:val="3"/>
    </w:pPr>
  </w:style>
  <w:style w:type="paragraph" w:customStyle="1" w:styleId="a2">
    <w:name w:val="三级条标题"/>
    <w:basedOn w:val="a1"/>
    <w:next w:val="af7"/>
    <w:qFormat/>
    <w:pPr>
      <w:numPr>
        <w:ilvl w:val="3"/>
      </w:numPr>
      <w:outlineLvl w:val="4"/>
    </w:pPr>
  </w:style>
  <w:style w:type="paragraph" w:customStyle="1" w:styleId="a3">
    <w:name w:val="四级条标题"/>
    <w:basedOn w:val="a2"/>
    <w:next w:val="af7"/>
    <w:qFormat/>
    <w:pPr>
      <w:numPr>
        <w:ilvl w:val="4"/>
      </w:numPr>
      <w:outlineLvl w:val="5"/>
    </w:pPr>
  </w:style>
  <w:style w:type="paragraph" w:customStyle="1" w:styleId="a4">
    <w:name w:val="正文图标题"/>
    <w:next w:val="af7"/>
    <w:qFormat/>
    <w:pPr>
      <w:numPr>
        <w:numId w:val="3"/>
      </w:numPr>
      <w:spacing w:beforeLines="50" w:afterLines="50"/>
      <w:jc w:val="center"/>
    </w:pPr>
    <w:rPr>
      <w:rFonts w:ascii="黑体" w:eastAsia="黑体"/>
      <w:sz w:val="21"/>
    </w:rPr>
  </w:style>
  <w:style w:type="paragraph" w:customStyle="1" w:styleId="a5">
    <w:name w:val="正文表标题"/>
    <w:next w:val="af7"/>
    <w:pPr>
      <w:numPr>
        <w:numId w:val="4"/>
      </w:numPr>
      <w:spacing w:beforeLines="50" w:afterLines="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27832">
      <w:bodyDiv w:val="1"/>
      <w:marLeft w:val="0"/>
      <w:marRight w:val="0"/>
      <w:marTop w:val="0"/>
      <w:marBottom w:val="0"/>
      <w:divBdr>
        <w:top w:val="none" w:sz="0" w:space="0" w:color="auto"/>
        <w:left w:val="none" w:sz="0" w:space="0" w:color="auto"/>
        <w:bottom w:val="none" w:sz="0" w:space="0" w:color="auto"/>
        <w:right w:val="none" w:sz="0" w:space="0" w:color="auto"/>
      </w:divBdr>
    </w:div>
    <w:div w:id="1192837851">
      <w:bodyDiv w:val="1"/>
      <w:marLeft w:val="0"/>
      <w:marRight w:val="0"/>
      <w:marTop w:val="0"/>
      <w:marBottom w:val="0"/>
      <w:divBdr>
        <w:top w:val="none" w:sz="0" w:space="0" w:color="auto"/>
        <w:left w:val="none" w:sz="0" w:space="0" w:color="auto"/>
        <w:bottom w:val="none" w:sz="0" w:space="0" w:color="auto"/>
        <w:right w:val="none" w:sz="0" w:space="0" w:color="auto"/>
      </w:divBdr>
    </w:div>
    <w:div w:id="159902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505</Words>
  <Characters>2882</Characters>
  <Application>Microsoft Office Word</Application>
  <DocSecurity>0</DocSecurity>
  <Lines>24</Lines>
  <Paragraphs>6</Paragraphs>
  <ScaleCrop>false</ScaleCrop>
  <Company>神州网信技术有限公司</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吴青青</cp:lastModifiedBy>
  <cp:revision>4</cp:revision>
  <dcterms:created xsi:type="dcterms:W3CDTF">2024-09-30T02:44:00Z</dcterms:created>
  <dcterms:modified xsi:type="dcterms:W3CDTF">2024-10-17T14:54:00Z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EE95A78589354388AFBA01EAE4DD077A_13</vt:lpwstr>
  </property>
</Properties>
</file>