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40" w:after="60"/>
        <w:jc w:val="left"/>
        <w:outlineLvl w:val="0"/>
        <w:rPr>
          <w:rFonts w:hint="eastAsia" w:ascii="黑体" w:hAnsi="黑体" w:eastAsia="黑体" w:cs="Times New Roman"/>
          <w:b w:val="0"/>
          <w:bCs/>
          <w:kern w:val="2"/>
          <w:sz w:val="32"/>
          <w:szCs w:val="32"/>
          <w:lang w:val="en-US" w:eastAsia="zh-CN" w:bidi="ar-SA"/>
        </w:rPr>
      </w:pPr>
      <w:bookmarkStart w:id="0" w:name="_Toc10878"/>
      <w:r>
        <w:rPr>
          <w:rFonts w:ascii="黑体" w:hAnsi="黑体" w:eastAsia="黑体" w:cs="Times New Roman"/>
          <w:b w:val="0"/>
          <w:bCs/>
          <w:kern w:val="2"/>
          <w:sz w:val="32"/>
          <w:szCs w:val="32"/>
          <w:lang w:val="en-US" w:eastAsia="zh-CN" w:bidi="ar-SA"/>
        </w:rPr>
        <w:t>附件</w:t>
      </w:r>
      <w:r>
        <w:rPr>
          <w:rFonts w:hint="eastAsia" w:ascii="黑体" w:hAnsi="黑体" w:eastAsia="黑体" w:cs="Times New Roman"/>
          <w:b w:val="0"/>
          <w:bCs/>
          <w:kern w:val="2"/>
          <w:sz w:val="32"/>
          <w:szCs w:val="32"/>
          <w:lang w:val="en-US" w:eastAsia="zh-CN" w:bidi="ar-SA"/>
        </w:rPr>
        <w:t>8</w:t>
      </w:r>
      <w:bookmarkEnd w:id="0"/>
    </w:p>
    <w:p>
      <w:pPr>
        <w:jc w:val="center"/>
        <w:rPr>
          <w:rFonts w:hint="eastAsia" w:ascii="黑体" w:hAnsi="黑体" w:eastAsia="黑体" w:cs="Times New Roman"/>
          <w:bCs/>
          <w:sz w:val="32"/>
          <w:szCs w:val="32"/>
        </w:rPr>
      </w:pPr>
      <w:r>
        <w:rPr>
          <w:rFonts w:hint="eastAsia" w:ascii="黑体" w:hAnsi="黑体" w:eastAsia="黑体" w:cs="Times New Roman"/>
          <w:bCs/>
          <w:sz w:val="32"/>
          <w:szCs w:val="32"/>
        </w:rPr>
        <w:t>编制说明（格式）</w:t>
      </w: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0" w:firstLineChars="0"/>
        <w:jc w:val="center"/>
        <w:rPr>
          <w:rFonts w:ascii="黑体" w:hAnsi="Times New Roman" w:eastAsia="黑体" w:cs="Times New Roman"/>
          <w:kern w:val="0"/>
          <w:sz w:val="44"/>
          <w:szCs w:val="44"/>
          <w:lang w:val="en-US" w:eastAsia="zh-CN" w:bidi="ar-SA"/>
        </w:rPr>
      </w:pPr>
      <w:r>
        <w:rPr>
          <w:rFonts w:hint="eastAsia" w:ascii="黑体" w:hAnsi="Times New Roman" w:eastAsia="黑体" w:cs="Times New Roman"/>
          <w:kern w:val="0"/>
          <w:sz w:val="44"/>
          <w:szCs w:val="44"/>
          <w:lang w:val="en-US" w:eastAsia="zh-CN" w:bidi="ar-SA"/>
        </w:rPr>
        <w:t>变电站局部放电空间宽带射频定位检测法</w:t>
      </w:r>
    </w:p>
    <w:p>
      <w:pPr>
        <w:tabs>
          <w:tab w:val="center" w:pos="4201"/>
          <w:tab w:val="right" w:leader="dot" w:pos="9298"/>
        </w:tabs>
        <w:autoSpaceDE w:val="0"/>
        <w:autoSpaceDN w:val="0"/>
        <w:ind w:firstLine="420" w:firstLineChars="200"/>
        <w:jc w:val="both"/>
        <w:rPr>
          <w:rFonts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420" w:firstLineChars="200"/>
        <w:jc w:val="both"/>
        <w:rPr>
          <w:rFonts w:ascii="宋体" w:hAnsi="Times New Roman" w:eastAsia="宋体" w:cs="Times New Roman"/>
          <w:kern w:val="0"/>
          <w:sz w:val="21"/>
          <w:szCs w:val="20"/>
          <w:lang w:val="en-US" w:eastAsia="zh-CN" w:bidi="ar-SA"/>
        </w:rPr>
      </w:pPr>
    </w:p>
    <w:p>
      <w:pPr>
        <w:numPr>
          <w:ilvl w:val="0"/>
          <w:numId w:val="0"/>
        </w:numPr>
        <w:spacing w:before="312" w:beforeLines="100" w:after="312" w:afterLines="100"/>
        <w:jc w:val="center"/>
        <w:outlineLvl w:val="1"/>
        <w:rPr>
          <w:rFonts w:ascii="黑体" w:hAnsi="Times New Roman" w:eastAsia="黑体" w:cs="Times New Roman"/>
          <w:kern w:val="0"/>
          <w:sz w:val="28"/>
          <w:szCs w:val="28"/>
          <w:lang w:val="en-US" w:eastAsia="zh-CN" w:bidi="ar-SA"/>
        </w:rPr>
      </w:pPr>
      <w:bookmarkStart w:id="1" w:name="_Toc298937368"/>
      <w:bookmarkStart w:id="2" w:name="_Toc298937333"/>
      <w:bookmarkStart w:id="3" w:name="_Toc309995598"/>
      <w:bookmarkStart w:id="4" w:name="_Toc304824981"/>
      <w:bookmarkStart w:id="5" w:name="_Toc298937620"/>
      <w:bookmarkStart w:id="6" w:name="_Toc320020914"/>
      <w:bookmarkStart w:id="7" w:name="_Toc318613715"/>
      <w:bookmarkStart w:id="8" w:name="_Toc309993200"/>
      <w:bookmarkStart w:id="9" w:name="_Toc298937560"/>
      <w:bookmarkStart w:id="10" w:name="_Toc304825020"/>
      <w:bookmarkStart w:id="11" w:name="_Toc309997060"/>
      <w:bookmarkStart w:id="12" w:name="_Toc298938646"/>
      <w:bookmarkStart w:id="13" w:name="_Toc309995492"/>
      <w:bookmarkStart w:id="14" w:name="_Toc309994571"/>
      <w:bookmarkStart w:id="15" w:name="_Toc304825093"/>
      <w:bookmarkStart w:id="16" w:name="_Toc304402675"/>
      <w:bookmarkStart w:id="17" w:name="_Toc309995410"/>
      <w:bookmarkStart w:id="18" w:name="_Toc298937430"/>
      <w:bookmarkStart w:id="19" w:name="_Toc298937473"/>
      <w:bookmarkStart w:id="20" w:name="_Toc304828086"/>
      <w:bookmarkStart w:id="21" w:name="_Toc310002657"/>
      <w:bookmarkStart w:id="22" w:name="_Toc298938794"/>
      <w:bookmarkStart w:id="23" w:name="_Toc309996019"/>
      <w:r>
        <w:rPr>
          <w:rFonts w:hint="eastAsia" w:ascii="黑体" w:hAnsi="Times New Roman" w:eastAsia="黑体" w:cs="Times New Roman"/>
          <w:kern w:val="0"/>
          <w:sz w:val="28"/>
          <w:szCs w:val="28"/>
          <w:lang w:val="en-US" w:eastAsia="zh-CN" w:bidi="ar-SA"/>
        </w:rPr>
        <w:t>编 制 说</w:t>
      </w:r>
      <w:bookmarkEnd w:id="1"/>
      <w:bookmarkEnd w:id="2"/>
      <w:r>
        <w:rPr>
          <w:rFonts w:hint="eastAsia" w:ascii="黑体" w:hAnsi="Times New Roman" w:eastAsia="黑体" w:cs="Times New Roman"/>
          <w:kern w:val="0"/>
          <w:sz w:val="28"/>
          <w:szCs w:val="28"/>
          <w:lang w:val="en-US" w:eastAsia="zh-CN" w:bidi="ar-SA"/>
        </w:rPr>
        <w:t> 明</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tabs>
          <w:tab w:val="center" w:pos="4201"/>
          <w:tab w:val="right" w:leader="dot" w:pos="9298"/>
        </w:tabs>
        <w:autoSpaceDE w:val="0"/>
        <w:autoSpaceDN w:val="0"/>
        <w:ind w:firstLine="560" w:firstLineChars="200"/>
        <w:jc w:val="center"/>
        <w:rPr>
          <w:rFonts w:ascii="黑体" w:hAnsi="Times New Roman" w:eastAsia="黑体" w:cs="Times New Roman"/>
          <w:kern w:val="0"/>
          <w:sz w:val="28"/>
          <w:szCs w:val="28"/>
          <w:lang w:val="en-US" w:eastAsia="zh-CN" w:bidi="ar-SA"/>
        </w:rPr>
      </w:pPr>
    </w:p>
    <w:p>
      <w:pPr>
        <w:tabs>
          <w:tab w:val="center" w:pos="4201"/>
          <w:tab w:val="right" w:leader="dot" w:pos="9298"/>
        </w:tabs>
        <w:autoSpaceDE w:val="0"/>
        <w:autoSpaceDN w:val="0"/>
        <w:ind w:firstLine="560" w:firstLineChars="200"/>
        <w:jc w:val="center"/>
        <w:rPr>
          <w:rFonts w:ascii="黑体" w:hAnsi="Times New Roman" w:eastAsia="黑体" w:cs="Times New Roman"/>
          <w:kern w:val="0"/>
          <w:sz w:val="28"/>
          <w:szCs w:val="28"/>
          <w:lang w:val="en-US" w:eastAsia="zh-CN" w:bidi="ar-SA"/>
        </w:rPr>
      </w:pPr>
    </w:p>
    <w:p>
      <w:pPr>
        <w:tabs>
          <w:tab w:val="center" w:pos="4201"/>
          <w:tab w:val="right" w:leader="dot" w:pos="9298"/>
        </w:tabs>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pPr>
        <w:keepNext/>
        <w:pageBreakBefore/>
        <w:widowControl/>
        <w:shd w:val="clear" w:color="FFFFFF" w:fill="FFFFFF"/>
        <w:spacing w:before="640" w:after="560" w:line="460" w:lineRule="exact"/>
        <w:jc w:val="center"/>
        <w:outlineLvl w:val="0"/>
        <w:rPr>
          <w:rFonts w:ascii="黑体" w:hAnsi="Times New Roman" w:eastAsia="黑体" w:cs="Times New Roman"/>
          <w:kern w:val="0"/>
          <w:sz w:val="32"/>
          <w:szCs w:val="20"/>
          <w:lang w:val="en-US" w:eastAsia="zh-CN" w:bidi="ar-SA"/>
        </w:rPr>
      </w:pPr>
      <w:bookmarkStart w:id="24" w:name="_Toc513731021"/>
      <w:bookmarkStart w:id="25" w:name="_Toc22987"/>
      <w:bookmarkStart w:id="26" w:name="_Toc309992160"/>
      <w:bookmarkStart w:id="27" w:name="_Toc513731109"/>
      <w:r>
        <w:rPr>
          <w:rFonts w:hint="eastAsia" w:ascii="黑体" w:hAnsi="Times New Roman" w:eastAsia="黑体" w:cs="Times New Roman"/>
          <w:kern w:val="0"/>
          <w:sz w:val="32"/>
          <w:szCs w:val="20"/>
          <w:lang w:val="en-US" w:eastAsia="zh-CN" w:bidi="ar-SA"/>
        </w:rPr>
        <w:t>目次</w:t>
      </w:r>
      <w:bookmarkEnd w:id="24"/>
      <w:bookmarkEnd w:id="25"/>
      <w:bookmarkEnd w:id="26"/>
      <w:bookmarkEnd w:id="27"/>
    </w:p>
    <w:p>
      <w:pPr>
        <w:pStyle w:val="2"/>
        <w:tabs>
          <w:tab w:val="right" w:leader="dot" w:pos="9355"/>
        </w:tabs>
        <w:rPr>
          <w:b w:val="0"/>
          <w:bCs w:val="0"/>
        </w:rPr>
      </w:pPr>
      <w:r>
        <w:rPr>
          <w:rFonts w:ascii="宋体" w:hAnsi="宋体" w:eastAsia="宋体" w:cs="Times New Roman"/>
          <w:b w:val="0"/>
          <w:bCs w:val="0"/>
          <w:kern w:val="2"/>
          <w:sz w:val="21"/>
          <w:szCs w:val="21"/>
          <w:lang w:val="en-US" w:eastAsia="zh-CN" w:bidi="ar-SA"/>
        </w:rPr>
        <w:fldChar w:fldCharType="begin"/>
      </w:r>
      <w:r>
        <w:rPr>
          <w:rFonts w:ascii="宋体" w:hAnsi="宋体" w:eastAsia="宋体" w:cs="Times New Roman"/>
          <w:b w:val="0"/>
          <w:bCs w:val="0"/>
          <w:kern w:val="2"/>
          <w:sz w:val="21"/>
          <w:szCs w:val="21"/>
          <w:lang w:val="en-US" w:eastAsia="zh-CN" w:bidi="ar-SA"/>
        </w:rPr>
        <w:instrText xml:space="preserve"> </w:instrText>
      </w:r>
      <w:r>
        <w:rPr>
          <w:rFonts w:hint="eastAsia" w:ascii="宋体" w:hAnsi="宋体" w:eastAsia="宋体" w:cs="Times New Roman"/>
          <w:b w:val="0"/>
          <w:bCs w:val="0"/>
          <w:kern w:val="2"/>
          <w:sz w:val="21"/>
          <w:szCs w:val="21"/>
          <w:lang w:val="en-US" w:eastAsia="zh-CN" w:bidi="ar-SA"/>
        </w:rPr>
        <w:instrText xml:space="preserve">TOC \o "1-1" \h \z \u</w:instrText>
      </w:r>
      <w:r>
        <w:rPr>
          <w:rFonts w:ascii="宋体" w:hAnsi="宋体" w:eastAsia="宋体" w:cs="Times New Roman"/>
          <w:b w:val="0"/>
          <w:bCs w:val="0"/>
          <w:kern w:val="2"/>
          <w:sz w:val="21"/>
          <w:szCs w:val="21"/>
          <w:lang w:val="en-US" w:eastAsia="zh-CN" w:bidi="ar-SA"/>
        </w:rPr>
        <w:instrText xml:space="preserve"> </w:instrText>
      </w:r>
      <w:r>
        <w:rPr>
          <w:rFonts w:ascii="宋体" w:hAnsi="宋体" w:eastAsia="宋体" w:cs="Times New Roman"/>
          <w:b w:val="0"/>
          <w:bCs w:val="0"/>
          <w:kern w:val="2"/>
          <w:sz w:val="21"/>
          <w:szCs w:val="21"/>
          <w:lang w:val="en-US" w:eastAsia="zh-CN" w:bidi="ar-SA"/>
        </w:rPr>
        <w:fldChar w:fldCharType="separate"/>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_Toc21574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1 编制背景</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_Toc21574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3</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_Toc15391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2 编制主要原则</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_Toc15391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3</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_Toc28001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3 主要工作过程</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_Toc28001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3</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_Toc4904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4</w:t>
      </w:r>
      <w:r>
        <w:rPr>
          <w:rFonts w:hint="eastAsia" w:asciiTheme="minorEastAsia" w:hAnsiTheme="minorEastAsia" w:eastAsiaTheme="minorEastAsia" w:cstheme="minorEastAsia"/>
          <w:b w:val="0"/>
          <w:bCs w:val="0"/>
          <w:kern w:val="44"/>
          <w:szCs w:val="44"/>
          <w:lang w:val="en-US" w:eastAsia="zh-CN" w:bidi="ar-SA"/>
        </w:rPr>
        <w:t xml:space="preserve"> 标准结构和内容说明</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_Toc4904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4</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_Toc22881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5相关</w:t>
      </w:r>
      <w:r>
        <w:rPr>
          <w:rFonts w:hint="eastAsia" w:asciiTheme="minorEastAsia" w:hAnsiTheme="minorEastAsia" w:eastAsiaTheme="minorEastAsia" w:cstheme="minorEastAsia"/>
          <w:b w:val="0"/>
          <w:bCs w:val="0"/>
          <w:kern w:val="44"/>
          <w:szCs w:val="44"/>
          <w:lang w:val="en-US" w:eastAsia="zh-CN" w:bidi="ar-SA"/>
        </w:rPr>
        <w:t>标准对比说明</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_Toc22881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5</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pStyle w:val="2"/>
        <w:tabs>
          <w:tab w:val="right" w:leader="dot" w:pos="9355"/>
        </w:tabs>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kern w:val="0"/>
          <w:szCs w:val="21"/>
          <w:lang w:val="en-US" w:eastAsia="zh-CN" w:bidi="ar-SA"/>
        </w:rPr>
        <w:fldChar w:fldCharType="begin"/>
      </w:r>
      <w:r>
        <w:rPr>
          <w:rFonts w:hint="eastAsia" w:asciiTheme="minorEastAsia" w:hAnsiTheme="minorEastAsia" w:eastAsiaTheme="minorEastAsia" w:cstheme="minorEastAsia"/>
          <w:b w:val="0"/>
          <w:bCs w:val="0"/>
          <w:kern w:val="0"/>
          <w:szCs w:val="21"/>
          <w:lang w:val="en-US" w:eastAsia="zh-CN" w:bidi="ar-SA"/>
        </w:rPr>
        <w:instrText xml:space="preserve"> HYPERLINK \l _Toc29563 </w:instrText>
      </w:r>
      <w:r>
        <w:rPr>
          <w:rFonts w:hint="eastAsia" w:asciiTheme="minorEastAsia" w:hAnsiTheme="minorEastAsia" w:eastAsiaTheme="minorEastAsia" w:cstheme="minorEastAsia"/>
          <w:b w:val="0"/>
          <w:bCs w:val="0"/>
          <w:kern w:val="0"/>
          <w:szCs w:val="21"/>
          <w:lang w:val="en-US" w:eastAsia="zh-CN" w:bidi="ar-SA"/>
        </w:rPr>
        <w:fldChar w:fldCharType="separate"/>
      </w:r>
      <w:r>
        <w:rPr>
          <w:rFonts w:hint="eastAsia" w:asciiTheme="minorEastAsia" w:hAnsiTheme="minorEastAsia" w:eastAsiaTheme="minorEastAsia" w:cstheme="minorEastAsia"/>
          <w:b w:val="0"/>
          <w:bCs w:val="0"/>
          <w:kern w:val="44"/>
          <w:szCs w:val="21"/>
          <w:lang w:val="en-US" w:eastAsia="zh-CN" w:bidi="ar-SA"/>
        </w:rPr>
        <w:t>6标准实施措施说明</w:t>
      </w:r>
      <w:r>
        <w:rPr>
          <w:rFonts w:hint="eastAsia" w:asciiTheme="minorEastAsia" w:hAnsiTheme="minorEastAsia" w:eastAsiaTheme="minorEastAsia" w:cstheme="minorEastAsia"/>
          <w:b w:val="0"/>
          <w:bCs w:val="0"/>
        </w:rPr>
        <w:tab/>
      </w:r>
      <w:r>
        <w:rPr>
          <w:rFonts w:hint="eastAsia" w:asciiTheme="minorEastAsia" w:hAnsiTheme="minorEastAsia" w:eastAsiaTheme="minorEastAsia" w:cstheme="minorEastAsia"/>
          <w:b w:val="0"/>
          <w:bCs w:val="0"/>
        </w:rPr>
        <w:fldChar w:fldCharType="begin"/>
      </w:r>
      <w:r>
        <w:rPr>
          <w:rFonts w:hint="eastAsia" w:asciiTheme="minorEastAsia" w:hAnsiTheme="minorEastAsia" w:eastAsiaTheme="minorEastAsia" w:cstheme="minorEastAsia"/>
          <w:b w:val="0"/>
          <w:bCs w:val="0"/>
        </w:rPr>
        <w:instrText xml:space="preserve"> PAGEREF _Toc29563 \h </w:instrText>
      </w:r>
      <w:r>
        <w:rPr>
          <w:rFonts w:hint="eastAsia" w:asciiTheme="minorEastAsia" w:hAnsiTheme="minorEastAsia" w:eastAsiaTheme="minorEastAsia" w:cstheme="minorEastAsia"/>
          <w:b w:val="0"/>
          <w:bCs w:val="0"/>
        </w:rPr>
        <w:fldChar w:fldCharType="separate"/>
      </w:r>
      <w:r>
        <w:rPr>
          <w:rFonts w:hint="eastAsia" w:asciiTheme="minorEastAsia" w:hAnsiTheme="minorEastAsia" w:eastAsiaTheme="minorEastAsia" w:cstheme="minorEastAsia"/>
          <w:b w:val="0"/>
          <w:bCs w:val="0"/>
        </w:rPr>
        <w:t>5</w:t>
      </w:r>
      <w:r>
        <w:rPr>
          <w:rFonts w:hint="eastAsia" w:asciiTheme="minorEastAsia" w:hAnsiTheme="minorEastAsia" w:eastAsiaTheme="minorEastAsia" w:cstheme="minorEastAsia"/>
          <w:b w:val="0"/>
          <w:bCs w:val="0"/>
        </w:rPr>
        <w:fldChar w:fldCharType="end"/>
      </w:r>
      <w:r>
        <w:rPr>
          <w:rFonts w:hint="eastAsia" w:asciiTheme="minorEastAsia" w:hAnsiTheme="minorEastAsia" w:eastAsiaTheme="minorEastAsia" w:cstheme="minorEastAsia"/>
          <w:b w:val="0"/>
          <w:bCs w:val="0"/>
          <w:kern w:val="0"/>
          <w:szCs w:val="21"/>
          <w:lang w:val="en-US" w:eastAsia="zh-CN" w:bidi="ar-SA"/>
        </w:rPr>
        <w:fldChar w:fldCharType="end"/>
      </w:r>
    </w:p>
    <w:p>
      <w:pPr>
        <w:tabs>
          <w:tab w:val="center" w:pos="4201"/>
          <w:tab w:val="right" w:leader="dot" w:pos="9298"/>
        </w:tabs>
        <w:autoSpaceDE w:val="0"/>
        <w:autoSpaceDN w:val="0"/>
        <w:ind w:firstLine="420" w:firstLineChars="200"/>
        <w:jc w:val="both"/>
        <w:rPr>
          <w:rFonts w:hint="eastAsia" w:ascii="宋体" w:hAnsi="宋体" w:eastAsia="宋体" w:cs="Times New Roman"/>
          <w:b w:val="0"/>
          <w:bCs w:val="0"/>
          <w:kern w:val="0"/>
          <w:sz w:val="21"/>
          <w:szCs w:val="21"/>
          <w:lang w:val="en-US" w:eastAsia="zh-CN" w:bidi="ar-SA"/>
        </w:rPr>
      </w:pPr>
      <w:r>
        <w:rPr>
          <w:rFonts w:ascii="宋体" w:hAnsi="宋体" w:eastAsia="宋体" w:cs="Times New Roman"/>
          <w:b w:val="0"/>
          <w:bCs w:val="0"/>
          <w:kern w:val="0"/>
          <w:szCs w:val="21"/>
          <w:lang w:val="en-US" w:eastAsia="zh-CN" w:bidi="ar-SA"/>
        </w:rPr>
        <w:fldChar w:fldCharType="end"/>
      </w:r>
    </w:p>
    <w:p>
      <w:pPr>
        <w:tabs>
          <w:tab w:val="center" w:pos="4201"/>
          <w:tab w:val="right" w:leader="dot" w:pos="9298"/>
        </w:tabs>
        <w:autoSpaceDE w:val="0"/>
        <w:autoSpaceDN w:val="0"/>
        <w:ind w:firstLine="420" w:firstLineChars="200"/>
        <w:jc w:val="both"/>
        <w:rPr>
          <w:rFonts w:hint="eastAsia" w:ascii="宋体" w:hAnsi="宋体" w:eastAsia="宋体" w:cs="Times New Roman"/>
          <w:kern w:val="0"/>
          <w:sz w:val="21"/>
          <w:szCs w:val="21"/>
          <w:lang w:val="en-US" w:eastAsia="zh-CN" w:bidi="ar-SA"/>
        </w:rPr>
      </w:pPr>
    </w:p>
    <w:p>
      <w:pPr>
        <w:tabs>
          <w:tab w:val="center" w:pos="4201"/>
          <w:tab w:val="right" w:leader="dot" w:pos="9298"/>
        </w:tabs>
        <w:autoSpaceDE w:val="0"/>
        <w:autoSpaceDN w:val="0"/>
        <w:ind w:firstLine="420" w:firstLineChars="200"/>
        <w:jc w:val="both"/>
        <w:rPr>
          <w:rFonts w:hint="eastAsia" w:ascii="宋体" w:hAnsi="宋体" w:eastAsia="宋体" w:cs="Times New Roman"/>
          <w:kern w:val="0"/>
          <w:sz w:val="21"/>
          <w:szCs w:val="21"/>
          <w:lang w:val="en-US" w:eastAsia="zh-CN" w:bidi="ar-SA"/>
        </w:rPr>
      </w:pPr>
    </w:p>
    <w:p>
      <w:pPr>
        <w:tabs>
          <w:tab w:val="center" w:pos="4201"/>
          <w:tab w:val="right" w:leader="dot" w:pos="9298"/>
        </w:tabs>
        <w:autoSpaceDE w:val="0"/>
        <w:autoSpaceDN w:val="0"/>
        <w:ind w:firstLine="420" w:firstLineChars="200"/>
        <w:jc w:val="both"/>
        <w:rPr>
          <w:rFonts w:hint="eastAsia" w:ascii="宋体" w:hAnsi="宋体" w:eastAsia="宋体" w:cs="Times New Roman"/>
          <w:kern w:val="0"/>
          <w:sz w:val="21"/>
          <w:szCs w:val="21"/>
          <w:lang w:val="en-US" w:eastAsia="zh-CN" w:bidi="ar-SA"/>
        </w:rPr>
      </w:pPr>
    </w:p>
    <w:p>
      <w:pPr>
        <w:tabs>
          <w:tab w:val="center" w:pos="4201"/>
          <w:tab w:val="right" w:leader="dot" w:pos="9298"/>
        </w:tabs>
        <w:rPr>
          <w:rFonts w:hint="eastAsia" w:hAnsi="宋体"/>
          <w:szCs w:val="21"/>
        </w:rPr>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pPr>
    </w:p>
    <w:p>
      <w:pPr>
        <w:keepNext/>
        <w:keepLines/>
        <w:widowControl w:val="0"/>
        <w:spacing w:before="312" w:beforeLines="100" w:after="312" w:afterLines="100" w:line="240" w:lineRule="auto"/>
        <w:jc w:val="both"/>
        <w:outlineLvl w:val="0"/>
        <w:rPr>
          <w:rFonts w:hint="eastAsia" w:ascii="宋体" w:hAnsi="宋体" w:eastAsia="黑体" w:cs="Times New Roman"/>
          <w:b w:val="0"/>
          <w:bCs w:val="0"/>
          <w:kern w:val="44"/>
          <w:sz w:val="21"/>
          <w:szCs w:val="21"/>
          <w:lang w:val="en-US" w:eastAsia="zh-CN" w:bidi="ar-SA"/>
        </w:rPr>
      </w:pPr>
      <w:bookmarkStart w:id="28" w:name="_Toc21574"/>
      <w:r>
        <w:rPr>
          <w:rFonts w:hint="eastAsia" w:ascii="宋体" w:hAnsi="宋体" w:eastAsia="黑体" w:cs="Times New Roman"/>
          <w:b w:val="0"/>
          <w:bCs w:val="0"/>
          <w:kern w:val="44"/>
          <w:sz w:val="21"/>
          <w:szCs w:val="21"/>
          <w:lang w:val="en-US" w:eastAsia="zh-CN" w:bidi="ar-SA"/>
        </w:rPr>
        <w:t>1 编制背景</w:t>
      </w:r>
      <w:bookmarkEnd w:id="28"/>
    </w:p>
    <w:p>
      <w:pPr>
        <w:tabs>
          <w:tab w:val="center" w:pos="4201"/>
          <w:tab w:val="right" w:leader="dot" w:pos="9298"/>
        </w:tabs>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kern w:val="0"/>
          <w:sz w:val="21"/>
          <w:szCs w:val="20"/>
          <w:lang w:val="en-US" w:eastAsia="zh-CN" w:bidi="ar-SA"/>
        </w:rPr>
        <w:t>本标准是根据中国电机工程学会电机咨〔2023〕512 号号文《中国电机工程学会关于印发“中国电机工程学会2023年标准计划(第二批”的通知》下达的制定任务，项目序号67对“变电站局部放电空间宽带射频定位检测法”标准进行制定。由国网智能电网研究院有限公司、全球能源互联网欧洲研究院、华北电力大学、国网电力科学研究院武汉南瑞有限责任公司、贵州电网有限责任公司贵阳供电局、国网陕西省电力有限公司电力科学研究院、西安交通大</w:t>
      </w:r>
      <w:r>
        <w:rPr>
          <w:rFonts w:hint="eastAsia" w:ascii="宋体" w:hAnsi="Times New Roman" w:eastAsia="宋体" w:cs="Times New Roman"/>
          <w:color w:val="auto"/>
          <w:kern w:val="0"/>
          <w:sz w:val="21"/>
          <w:szCs w:val="20"/>
          <w:lang w:val="en-US" w:eastAsia="zh-CN" w:bidi="ar-SA"/>
        </w:rPr>
        <w:t>学、上海交通大学、上海格鲁布科技有限公司形成编写组负责起草。</w:t>
      </w:r>
    </w:p>
    <w:p>
      <w:pPr>
        <w:tabs>
          <w:tab w:val="center" w:pos="4201"/>
          <w:tab w:val="right" w:leader="dot" w:pos="9298"/>
        </w:tabs>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随着新型电力系统的建设和发展，电网对安全稳定运行的要求越来越高，保障电力设备的可靠运行面临巨大的挑战。在2022年国家发改委发布的《电力可靠性管理办法（暂行）》中，第二十六条明确提出：“电力企业应当加强线路带电作业、无人机巡检、设备状态监测等先进技术应用，优化输变电设备运维检修模式。”绝缘故障是变电设备安全运行的主要隐患，局放检测是实现设备绝缘状态监测的重要手段，现有常规局放检测技术（特高频等）仍存在严重的漏报和误报问题，电力设备突发性故障时有发生。如何有效开展变压器/换流变、高抗、GIS等变电主设备局放监测预警、防范故障扩大化显得尤为必要。空间宽带射频局部放电检测技术原理是利用宽带射频传感器阵列探测设备内部局放辐射到空间的射频信号，实现局放信号辨识和定位。相关实验和仿真研究表明，变压器内部局放电磁波信号通过非金属绝缘部分（箱体缝隙、套管）向外部泄漏传播；套管内部局放电磁波信号可通过套管法兰与上瓷套连接处、电容芯子顶部传播至外部空间；GIS内部局放电磁波信号可通过盆式绝缘子浇注孔传播至外部空间，这为在变电设备外部进行非接触式局放检测提供可行依据。空间宽带射频局部放电检测技术具有非接触式、安全易部署、抗干扰能力强、故障定位效率高，非常适用于在运设备的带电局放检测。国内外已有多家高校、研究机构、产业单位对该技术领域开展了多年研究工作，该技术已经在变电站设备内部局放检测中开展了应用并取得了良好的效果，为现场带电检测提供了一种有效手段，对提升变电主设备的可靠性具有重要意义。但是目前该技术缺乏规范化依据，推广应用难，亟待填补标准空白。建立该标准可为在运设备局放检测提供技术支撑，促进变电设备局放检测先进技术应用，提高变电设备智能运维水平。</w:t>
      </w:r>
    </w:p>
    <w:p>
      <w:pPr>
        <w:keepNext/>
        <w:keepLines/>
        <w:widowControl w:val="0"/>
        <w:spacing w:before="312" w:beforeLines="100" w:after="312" w:afterLines="100" w:line="240" w:lineRule="auto"/>
        <w:jc w:val="both"/>
        <w:outlineLvl w:val="0"/>
        <w:rPr>
          <w:rFonts w:hint="eastAsia" w:ascii="宋体" w:hAnsi="宋体" w:eastAsia="黑体" w:cs="Times New Roman"/>
          <w:b w:val="0"/>
          <w:bCs w:val="0"/>
          <w:kern w:val="44"/>
          <w:sz w:val="21"/>
          <w:szCs w:val="21"/>
          <w:lang w:val="en-US" w:eastAsia="zh-CN" w:bidi="ar-SA"/>
        </w:rPr>
      </w:pPr>
      <w:bookmarkStart w:id="29" w:name="_Toc15391"/>
      <w:r>
        <w:rPr>
          <w:rFonts w:hint="eastAsia" w:ascii="宋体" w:hAnsi="宋体" w:eastAsia="黑体" w:cs="Times New Roman"/>
          <w:b w:val="0"/>
          <w:bCs w:val="0"/>
          <w:kern w:val="44"/>
          <w:sz w:val="21"/>
          <w:szCs w:val="21"/>
          <w:lang w:val="en-US" w:eastAsia="zh-CN" w:bidi="ar-SA"/>
        </w:rPr>
        <w:t>2 编制主要原则</w:t>
      </w:r>
      <w:bookmarkEnd w:id="29"/>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本标准编写时主要遵循以下原则：</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①以现有国内相关标准规范为基础，与现行国家标准和行业标准相衔接。</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②以变电站局部放电空间宽带射频定位检测系统设计与开发过程中的实际需求为导向。</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③在结构和编写规则上，遵守GB/T 1.1—2020《标准化工作导则  第1部分：标准化文件的结构和起草规则》等标准的相关要求。</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④易被为参加标准编写的人员理解。</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p>
    <w:p>
      <w:pPr>
        <w:keepNext/>
        <w:keepLines/>
        <w:widowControl w:val="0"/>
        <w:spacing w:before="312" w:beforeLines="100" w:after="312" w:afterLines="100" w:line="240" w:lineRule="auto"/>
        <w:jc w:val="both"/>
        <w:outlineLvl w:val="0"/>
        <w:rPr>
          <w:rFonts w:hint="eastAsia" w:ascii="宋体" w:hAnsi="宋体" w:eastAsia="黑体" w:cs="Times New Roman"/>
          <w:b w:val="0"/>
          <w:bCs w:val="0"/>
          <w:kern w:val="44"/>
          <w:sz w:val="21"/>
          <w:szCs w:val="21"/>
          <w:lang w:val="en-US" w:eastAsia="zh-CN" w:bidi="ar-SA"/>
        </w:rPr>
      </w:pPr>
      <w:bookmarkStart w:id="30" w:name="_Toc28001"/>
      <w:r>
        <w:rPr>
          <w:rFonts w:hint="eastAsia" w:ascii="宋体" w:hAnsi="宋体" w:eastAsia="黑体" w:cs="Times New Roman"/>
          <w:b w:val="0"/>
          <w:bCs w:val="0"/>
          <w:kern w:val="44"/>
          <w:sz w:val="21"/>
          <w:szCs w:val="21"/>
          <w:lang w:val="en-US" w:eastAsia="zh-CN" w:bidi="ar-SA"/>
        </w:rPr>
        <w:t>3 主要工作过程</w:t>
      </w:r>
      <w:bookmarkEnd w:id="30"/>
    </w:p>
    <w:p>
      <w:pPr>
        <w:tabs>
          <w:tab w:val="center" w:pos="4201"/>
          <w:tab w:val="right" w:leader="dot" w:pos="9298"/>
        </w:tabs>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标准由中国电机工程学会智能感知专业委员会牵头组织，列入中国电机工程学会标准2023年第二批计划项目，委托国网智能电网研究院有限公司组织编制。由国网智能电网研究院有限公司担任主要起草工作，确定工作方案，提出工作进度安排。起草工作组收集与整理了与</w:t>
      </w:r>
      <w:r>
        <w:rPr>
          <w:rFonts w:hint="eastAsia" w:ascii="宋体" w:hAnsi="Times New Roman" w:eastAsia="宋体" w:cs="Times New Roman"/>
          <w:kern w:val="0"/>
          <w:sz w:val="21"/>
          <w:szCs w:val="20"/>
          <w:lang w:val="en-US" w:eastAsia="zh-CN" w:bidi="ar-SA"/>
        </w:rPr>
        <w:t>变电站局部放电空间宽带射频定位检测法</w:t>
      </w:r>
      <w:r>
        <w:rPr>
          <w:rFonts w:hint="eastAsia" w:ascii="宋体" w:hAnsi="Times New Roman" w:eastAsia="宋体" w:cs="Times New Roman"/>
          <w:color w:val="auto"/>
          <w:kern w:val="0"/>
          <w:sz w:val="21"/>
          <w:szCs w:val="20"/>
          <w:lang w:val="en-US" w:eastAsia="zh-CN" w:bidi="ar-SA"/>
        </w:rPr>
        <w:t>相关的国家标准、行业标准，并对国内、国外关于</w:t>
      </w:r>
      <w:r>
        <w:rPr>
          <w:rFonts w:hint="eastAsia" w:ascii="宋体" w:hAnsi="Times New Roman" w:eastAsia="宋体" w:cs="Times New Roman"/>
          <w:kern w:val="0"/>
          <w:sz w:val="21"/>
          <w:szCs w:val="20"/>
          <w:lang w:val="en-US" w:eastAsia="zh-CN" w:bidi="ar-SA"/>
        </w:rPr>
        <w:t>变电站局部放电空间宽带射频定位检测法</w:t>
      </w:r>
      <w:r>
        <w:rPr>
          <w:rFonts w:hint="eastAsia" w:ascii="宋体" w:hAnsi="Times New Roman" w:eastAsia="宋体" w:cs="Times New Roman"/>
          <w:color w:val="auto"/>
          <w:kern w:val="0"/>
          <w:sz w:val="21"/>
          <w:szCs w:val="20"/>
          <w:lang w:val="en-US" w:eastAsia="zh-CN" w:bidi="ar-SA"/>
        </w:rPr>
        <w:t>相关的科研成果与专利文献资料进行了大量研究，在此基础上编制标准草案，并进行了多次讨论与征求意见，完成了本标准的征求意见稿。</w:t>
      </w:r>
    </w:p>
    <w:p>
      <w:pPr>
        <w:tabs>
          <w:tab w:val="center" w:pos="4201"/>
          <w:tab w:val="right" w:leader="dot" w:pos="9298"/>
        </w:tabs>
        <w:autoSpaceDE w:val="0"/>
        <w:autoSpaceDN w:val="0"/>
        <w:ind w:firstLine="420" w:firstLineChars="200"/>
        <w:jc w:val="both"/>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本标准的项目工作安排及进度如下：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50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序号</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阶段</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工作内容</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立项</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1.立项</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2.组建标准工作组</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标准初稿</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w:t>
            </w:r>
            <w:r>
              <w:rPr>
                <w:rFonts w:hint="eastAsia" w:ascii="宋体" w:hAnsi="Times New Roman" w:eastAsia="宋体" w:cs="Times New Roman"/>
                <w:kern w:val="0"/>
                <w:sz w:val="21"/>
                <w:szCs w:val="20"/>
                <w:lang w:val="en-US" w:eastAsia="zh-CN" w:bidi="ar-SA"/>
              </w:rPr>
              <w:t>编写组内部开展三次标准编写研讨，编制标准初稿</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2.形成意见征求稿</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2024年1月至9月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3</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征求意见</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1.意见征集</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2.意见处理</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4</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审查</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1.第二次会议</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2.编制形成送审稿</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3.组织标准审查会</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5</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报批</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eastAsia"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1.形成报批材料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2.报中国电机工程学会</w:t>
            </w:r>
          </w:p>
        </w:tc>
        <w:tc>
          <w:tcPr>
            <w:tcW w:w="0" w:type="auto"/>
          </w:tcPr>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jc w:val="center"/>
              <w:textAlignment w:val="auto"/>
              <w:rPr>
                <w:rFonts w:hint="default" w:ascii="宋体" w:hAnsi="Times New Roman" w:eastAsia="宋体" w:cs="Times New Roman"/>
                <w:color w:val="auto"/>
                <w:kern w:val="0"/>
                <w:sz w:val="21"/>
                <w:szCs w:val="20"/>
                <w:vertAlign w:val="baseline"/>
                <w:lang w:val="en-US" w:eastAsia="zh-CN" w:bidi="ar-SA"/>
              </w:rPr>
            </w:pPr>
            <w:r>
              <w:rPr>
                <w:rFonts w:hint="eastAsia" w:ascii="宋体" w:hAnsi="Times New Roman" w:eastAsia="宋体" w:cs="Times New Roman"/>
                <w:color w:val="auto"/>
                <w:kern w:val="0"/>
                <w:sz w:val="21"/>
                <w:szCs w:val="20"/>
                <w:vertAlign w:val="baseline"/>
                <w:lang w:val="en-US" w:eastAsia="zh-CN" w:bidi="ar-SA"/>
              </w:rPr>
              <w:t>2024年12月</w:t>
            </w:r>
          </w:p>
        </w:tc>
      </w:tr>
    </w:tbl>
    <w:p>
      <w:pPr>
        <w:tabs>
          <w:tab w:val="center" w:pos="4201"/>
          <w:tab w:val="right" w:leader="dot" w:pos="9298"/>
        </w:tabs>
        <w:autoSpaceDE w:val="0"/>
        <w:autoSpaceDN w:val="0"/>
        <w:ind w:firstLine="420" w:firstLineChars="200"/>
        <w:jc w:val="both"/>
        <w:rPr>
          <w:rFonts w:hint="default" w:ascii="宋体" w:hAnsi="Times New Roman" w:eastAsia="宋体" w:cs="Times New Roman"/>
          <w:color w:val="auto"/>
          <w:kern w:val="0"/>
          <w:sz w:val="21"/>
          <w:szCs w:val="20"/>
          <w:lang w:val="en-US" w:eastAsia="zh-CN" w:bidi="ar-SA"/>
        </w:rPr>
      </w:pPr>
    </w:p>
    <w:p>
      <w:pPr>
        <w:widowControl w:val="0"/>
        <w:ind w:left="360" w:firstLine="0" w:firstLineChars="0"/>
        <w:jc w:val="both"/>
        <w:rPr>
          <w:rFonts w:hint="eastAsia" w:ascii="Calibri" w:hAnsi="Calibri" w:eastAsia="宋体" w:cs="Times New Roman"/>
          <w:color w:val="FF0000"/>
          <w:kern w:val="2"/>
          <w:sz w:val="21"/>
          <w:szCs w:val="22"/>
          <w:lang w:val="en-US" w:eastAsia="zh-CN" w:bidi="ar-SA"/>
        </w:rPr>
      </w:pPr>
    </w:p>
    <w:p>
      <w:pPr>
        <w:widowControl w:val="0"/>
        <w:ind w:left="360" w:firstLine="0" w:firstLineChars="0"/>
        <w:jc w:val="both"/>
        <w:rPr>
          <w:rFonts w:hint="eastAsia" w:ascii="Calibri" w:hAnsi="Calibri" w:eastAsia="宋体" w:cs="Times New Roman"/>
          <w:color w:val="FF0000"/>
          <w:kern w:val="2"/>
          <w:sz w:val="21"/>
          <w:szCs w:val="22"/>
          <w:lang w:val="en-US" w:eastAsia="zh-CN" w:bidi="ar-SA"/>
        </w:rPr>
      </w:pPr>
    </w:p>
    <w:p>
      <w:pPr>
        <w:keepNext/>
        <w:keepLines/>
        <w:widowControl w:val="0"/>
        <w:spacing w:before="312" w:beforeLines="100" w:after="312" w:afterLines="100" w:line="240" w:lineRule="auto"/>
        <w:jc w:val="both"/>
        <w:outlineLvl w:val="0"/>
        <w:rPr>
          <w:rFonts w:ascii="Times New Roman" w:hAnsi="Times New Roman" w:eastAsia="黑体" w:cs="Times New Roman"/>
          <w:b w:val="0"/>
          <w:bCs w:val="0"/>
          <w:kern w:val="44"/>
          <w:sz w:val="21"/>
          <w:szCs w:val="44"/>
          <w:lang w:val="en-US" w:eastAsia="zh-CN" w:bidi="ar-SA"/>
        </w:rPr>
      </w:pPr>
      <w:bookmarkStart w:id="31" w:name="_Toc4904"/>
      <w:r>
        <w:rPr>
          <w:rFonts w:hint="eastAsia" w:ascii="宋体" w:hAnsi="宋体" w:eastAsia="黑体" w:cs="Times New Roman"/>
          <w:b w:val="0"/>
          <w:bCs w:val="0"/>
          <w:kern w:val="44"/>
          <w:sz w:val="21"/>
          <w:szCs w:val="21"/>
          <w:lang w:val="en-US" w:eastAsia="zh-CN" w:bidi="ar-SA"/>
        </w:rPr>
        <w:t>4</w:t>
      </w:r>
      <w:r>
        <w:rPr>
          <w:rFonts w:hint="eastAsia" w:ascii="Times New Roman" w:hAnsi="Times New Roman" w:eastAsia="黑体" w:cs="Times New Roman"/>
          <w:b w:val="0"/>
          <w:bCs w:val="0"/>
          <w:kern w:val="44"/>
          <w:sz w:val="21"/>
          <w:szCs w:val="44"/>
          <w:lang w:val="en-US" w:eastAsia="zh-CN" w:bidi="ar-SA"/>
        </w:rPr>
        <w:t xml:space="preserve"> 标准结构和内容说明</w:t>
      </w:r>
      <w:bookmarkEnd w:id="31"/>
    </w:p>
    <w:p>
      <w:pPr>
        <w:tabs>
          <w:tab w:val="center" w:pos="4201"/>
          <w:tab w:val="right" w:leader="dot" w:pos="9298"/>
        </w:tabs>
        <w:autoSpaceDE w:val="0"/>
        <w:autoSpaceDN w:val="0"/>
        <w:spacing w:line="360" w:lineRule="exact"/>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（1）范围</w:t>
      </w:r>
    </w:p>
    <w:p>
      <w:pPr>
        <w:tabs>
          <w:tab w:val="center" w:pos="4201"/>
          <w:tab w:val="right" w:leader="dot" w:pos="9298"/>
        </w:tabs>
        <w:autoSpaceDE w:val="0"/>
        <w:autoSpaceDN w:val="0"/>
        <w:spacing w:line="360" w:lineRule="exact"/>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该章主要明确标准的适用范围。</w:t>
      </w:r>
    </w:p>
    <w:p>
      <w:pPr>
        <w:tabs>
          <w:tab w:val="center" w:pos="4201"/>
          <w:tab w:val="right" w:leader="dot" w:pos="9298"/>
        </w:tabs>
        <w:autoSpaceDE w:val="0"/>
        <w:autoSpaceDN w:val="0"/>
        <w:spacing w:line="360" w:lineRule="exact"/>
        <w:ind w:firstLine="420" w:firstLineChars="200"/>
        <w:jc w:val="both"/>
        <w:rPr>
          <w:rFonts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本标准规定了变电站局部放电空间宽带射频定位检测法的系统结构及功能、技术要求、测试方法、检验规则等。</w:t>
      </w:r>
    </w:p>
    <w:p>
      <w:pPr>
        <w:tabs>
          <w:tab w:val="center" w:pos="4201"/>
          <w:tab w:val="right" w:leader="dot" w:pos="9298"/>
        </w:tabs>
        <w:autoSpaceDE w:val="0"/>
        <w:autoSpaceDN w:val="0"/>
        <w:spacing w:line="360" w:lineRule="exact"/>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本标准适用于局部放电空间宽带射频定位检测法在110KV及以上电压等级变电站、换流站的变压器、换流变内部局放带电检测应用，以及空间宽带射频定位检测装置的设计和检验。</w:t>
      </w:r>
    </w:p>
    <w:p>
      <w:pPr>
        <w:numPr>
          <w:ilvl w:val="0"/>
          <w:numId w:val="0"/>
        </w:num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bookmarkStart w:id="32" w:name="_Toc525302995"/>
      <w:bookmarkStart w:id="33" w:name="_Toc149243259"/>
      <w:bookmarkStart w:id="34" w:name="_Toc150535539"/>
      <w:bookmarkStart w:id="35" w:name="_Toc525119162"/>
      <w:r>
        <w:rPr>
          <w:rFonts w:hint="eastAsia" w:ascii="宋体" w:hAnsi="Times New Roman" w:eastAsia="宋体" w:cs="Times New Roman"/>
          <w:kern w:val="0"/>
          <w:sz w:val="21"/>
          <w:szCs w:val="20"/>
          <w:lang w:val="en-US" w:eastAsia="zh-CN" w:bidi="ar-SA"/>
        </w:rPr>
        <w:t>（2）规范性引用文件</w:t>
      </w:r>
      <w:bookmarkEnd w:id="32"/>
      <w:bookmarkEnd w:id="33"/>
      <w:bookmarkEnd w:id="34"/>
      <w:bookmarkEnd w:id="35"/>
    </w:p>
    <w:p>
      <w:pPr>
        <w:tabs>
          <w:tab w:val="center" w:pos="4201"/>
          <w:tab w:val="right" w:leader="dot" w:pos="9298"/>
        </w:tabs>
        <w:autoSpaceDE w:val="0"/>
        <w:autoSpaceDN w:val="0"/>
        <w:spacing w:line="360" w:lineRule="exact"/>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该章主要阐述标准中引用到的已有文件。</w:t>
      </w:r>
    </w:p>
    <w:p>
      <w:pPr>
        <w:tabs>
          <w:tab w:val="center" w:pos="4201"/>
          <w:tab w:val="right" w:leader="dot" w:pos="9298"/>
        </w:tabs>
        <w:autoSpaceDE w:val="0"/>
        <w:autoSpaceDN w:val="0"/>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（3）术语和定义</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该章的编制主要参考DL/T 417—2006、Q/GDW 1168—2013等已发布标准，并在其基础上，通过试验过程中的验证和理解进行修改和整理。</w:t>
      </w:r>
    </w:p>
    <w:p>
      <w:pPr>
        <w:numPr>
          <w:ilvl w:val="0"/>
          <w:numId w:val="0"/>
        </w:numPr>
        <w:tabs>
          <w:tab w:val="center" w:pos="4201"/>
          <w:tab w:val="right" w:leader="dot" w:pos="9298"/>
        </w:tabs>
        <w:autoSpaceDE w:val="0"/>
        <w:autoSpaceDN w:val="0"/>
        <w:ind w:left="0" w:leftChars="0"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（4）检测原理</w:t>
      </w:r>
    </w:p>
    <w:p>
      <w:pPr>
        <w:tabs>
          <w:tab w:val="center" w:pos="4201"/>
          <w:tab w:val="right" w:leader="dot" w:pos="9298"/>
        </w:tabs>
        <w:autoSpaceDE w:val="0"/>
        <w:autoSpaceDN w:val="0"/>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该章主要阐述该标准方法的技术原理和可行性。</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（5）</w:t>
      </w:r>
      <w:bookmarkStart w:id="36" w:name="_Toc150535548"/>
      <w:r>
        <w:rPr>
          <w:rFonts w:hint="eastAsia" w:ascii="宋体" w:hAnsi="Times New Roman" w:eastAsia="宋体" w:cs="宋体"/>
          <w:kern w:val="0"/>
          <w:sz w:val="21"/>
          <w:szCs w:val="20"/>
          <w:lang w:val="en-US" w:eastAsia="zh-CN" w:bidi="ar-SA"/>
        </w:rPr>
        <w:t>系统结构</w:t>
      </w:r>
      <w:bookmarkEnd w:id="36"/>
    </w:p>
    <w:p>
      <w:pPr>
        <w:tabs>
          <w:tab w:val="center" w:pos="4201"/>
          <w:tab w:val="right" w:leader="dot" w:pos="9298"/>
        </w:tabs>
        <w:autoSpaceDE w:val="0"/>
        <w:autoSpaceDN w:val="0"/>
        <w:ind w:firstLine="420" w:firstLineChars="200"/>
        <w:jc w:val="both"/>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该章主要阐述该标准技术装置的通用系统结构和各部分功能。</w:t>
      </w:r>
    </w:p>
    <w:p>
      <w:pPr>
        <w:tabs>
          <w:tab w:val="center" w:pos="4201"/>
          <w:tab w:val="right" w:leader="dot" w:pos="9298"/>
        </w:tabs>
        <w:autoSpaceDE w:val="0"/>
        <w:autoSpaceDN w:val="0"/>
        <w:ind w:firstLine="420" w:firstLineChars="200"/>
        <w:jc w:val="both"/>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（6）技术要求</w:t>
      </w:r>
    </w:p>
    <w:p>
      <w:pPr>
        <w:tabs>
          <w:tab w:val="center" w:pos="4201"/>
          <w:tab w:val="right" w:leader="dot" w:pos="9298"/>
        </w:tabs>
        <w:autoSpaceDE w:val="0"/>
        <w:autoSpaceDN w:val="0"/>
        <w:ind w:firstLine="420" w:firstLineChars="200"/>
        <w:jc w:val="both"/>
        <w:rPr>
          <w:rFonts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该章</w:t>
      </w:r>
      <w:r>
        <w:rPr>
          <w:rFonts w:hint="eastAsia" w:ascii="宋体" w:hAnsi="Times New Roman" w:eastAsia="宋体" w:cs="Times New Roman"/>
          <w:kern w:val="0"/>
          <w:sz w:val="21"/>
          <w:szCs w:val="20"/>
          <w:lang w:val="en-US" w:eastAsia="zh-CN" w:bidi="ar-SA"/>
        </w:rPr>
        <w:t>主要说明技术装置应满足的</w:t>
      </w:r>
      <w:bookmarkStart w:id="37" w:name="_Toc150535556"/>
      <w:r>
        <w:rPr>
          <w:rFonts w:hint="eastAsia" w:ascii="宋体" w:hAnsi="Times New Roman" w:eastAsia="宋体" w:cs="宋体"/>
          <w:kern w:val="0"/>
          <w:sz w:val="21"/>
          <w:szCs w:val="20"/>
          <w:lang w:val="en-US" w:eastAsia="zh-CN" w:bidi="ar-SA"/>
        </w:rPr>
        <w:t>工作条件</w:t>
      </w:r>
      <w:bookmarkEnd w:id="37"/>
      <w:r>
        <w:rPr>
          <w:rFonts w:hint="eastAsia" w:ascii="宋体" w:hAnsi="Times New Roman" w:eastAsia="宋体" w:cs="宋体"/>
          <w:kern w:val="0"/>
          <w:sz w:val="21"/>
          <w:szCs w:val="20"/>
          <w:lang w:val="en-US" w:eastAsia="zh-CN" w:bidi="ar-SA"/>
        </w:rPr>
        <w:t>、</w:t>
      </w:r>
      <w:bookmarkStart w:id="38" w:name="_Toc150535557"/>
      <w:r>
        <w:rPr>
          <w:rFonts w:hint="eastAsia" w:ascii="宋体" w:hAnsi="Times New Roman" w:eastAsia="宋体" w:cs="宋体"/>
          <w:kern w:val="0"/>
          <w:sz w:val="21"/>
          <w:szCs w:val="20"/>
          <w:lang w:val="en-US" w:eastAsia="zh-CN" w:bidi="ar-SA"/>
        </w:rPr>
        <w:t>通用技术要求</w:t>
      </w:r>
      <w:bookmarkEnd w:id="38"/>
      <w:r>
        <w:rPr>
          <w:rFonts w:hint="eastAsia" w:ascii="宋体" w:hAnsi="Times New Roman" w:eastAsia="宋体" w:cs="宋体"/>
          <w:kern w:val="0"/>
          <w:sz w:val="21"/>
          <w:szCs w:val="20"/>
          <w:lang w:val="en-US" w:eastAsia="zh-CN" w:bidi="ar-SA"/>
        </w:rPr>
        <w:t>、</w:t>
      </w:r>
      <w:bookmarkStart w:id="39" w:name="_Toc150535558"/>
      <w:r>
        <w:rPr>
          <w:rFonts w:hint="eastAsia" w:ascii="宋体" w:hAnsi="Times New Roman" w:eastAsia="宋体" w:cs="宋体"/>
          <w:kern w:val="0"/>
          <w:sz w:val="21"/>
          <w:szCs w:val="20"/>
          <w:lang w:val="en-US" w:eastAsia="zh-CN" w:bidi="ar-SA"/>
        </w:rPr>
        <w:t>功能要求</w:t>
      </w:r>
      <w:bookmarkEnd w:id="39"/>
      <w:r>
        <w:rPr>
          <w:rFonts w:hint="eastAsia" w:ascii="宋体" w:hAnsi="Times New Roman" w:eastAsia="宋体" w:cs="宋体"/>
          <w:kern w:val="0"/>
          <w:sz w:val="21"/>
          <w:szCs w:val="20"/>
          <w:lang w:val="en-US" w:eastAsia="zh-CN" w:bidi="ar-SA"/>
        </w:rPr>
        <w:t>、</w:t>
      </w:r>
      <w:bookmarkStart w:id="40" w:name="_Toc150535559"/>
      <w:r>
        <w:rPr>
          <w:rFonts w:hint="eastAsia" w:ascii="宋体" w:hAnsi="Times New Roman" w:eastAsia="宋体" w:cs="宋体"/>
          <w:kern w:val="0"/>
          <w:sz w:val="21"/>
          <w:szCs w:val="20"/>
          <w:lang w:val="en-US" w:eastAsia="zh-CN" w:bidi="ar-SA"/>
        </w:rPr>
        <w:t>性能特性</w:t>
      </w:r>
      <w:bookmarkEnd w:id="40"/>
      <w:r>
        <w:rPr>
          <w:rFonts w:hint="eastAsia" w:ascii="宋体" w:hAnsi="Times New Roman" w:eastAsia="宋体" w:cs="Times New Roman"/>
          <w:kern w:val="0"/>
          <w:sz w:val="21"/>
          <w:szCs w:val="20"/>
          <w:lang w:val="en-US" w:eastAsia="zh-CN" w:bidi="ar-SA"/>
        </w:rPr>
        <w:t>，其中性能特性着重阐述了变电站局部放电空间宽带射频定位检测装置的关键性能指标要求，包括有检测带宽、检测灵敏度、动态范围、信号分类准确率</w:t>
      </w:r>
      <w:bookmarkStart w:id="47" w:name="_GoBack"/>
      <w:bookmarkEnd w:id="47"/>
      <w:r>
        <w:rPr>
          <w:rFonts w:hint="eastAsia" w:ascii="宋体" w:hAnsi="Times New Roman" w:eastAsia="宋体" w:cs="Times New Roman"/>
          <w:kern w:val="0"/>
          <w:sz w:val="21"/>
          <w:szCs w:val="20"/>
          <w:lang w:val="en-US" w:eastAsia="zh-CN" w:bidi="ar-SA"/>
        </w:rPr>
        <w:t>、放电信号定位精度等指标要求</w:t>
      </w:r>
      <w:r>
        <w:rPr>
          <w:rFonts w:hint="default" w:ascii="宋体" w:hAnsi="Times New Roman" w:eastAsia="宋体" w:cs="Times New Roman"/>
          <w:kern w:val="0"/>
          <w:sz w:val="21"/>
          <w:szCs w:val="20"/>
          <w:lang w:val="en-US" w:eastAsia="zh-CN" w:bidi="ar-SA"/>
        </w:rPr>
        <w:t>，其关键性的技术参数经过大量的试验认证并有相关的试验检测报告</w:t>
      </w:r>
      <w:r>
        <w:rPr>
          <w:rFonts w:hint="eastAsia" w:ascii="宋体" w:hAnsi="Times New Roman" w:eastAsia="宋体" w:cs="Times New Roman"/>
          <w:kern w:val="0"/>
          <w:sz w:val="21"/>
          <w:szCs w:val="20"/>
          <w:lang w:val="en-US" w:eastAsia="zh-CN" w:bidi="ar-SA"/>
        </w:rPr>
        <w:t>。</w:t>
      </w:r>
    </w:p>
    <w:p>
      <w:pPr>
        <w:numPr>
          <w:ilvl w:val="0"/>
          <w:numId w:val="1"/>
        </w:numPr>
        <w:tabs>
          <w:tab w:val="center" w:pos="4201"/>
          <w:tab w:val="right" w:leader="dot" w:pos="9298"/>
        </w:tabs>
        <w:autoSpaceDE w:val="0"/>
        <w:autoSpaceDN w:val="0"/>
        <w:ind w:firstLine="420" w:firstLineChars="200"/>
        <w:jc w:val="both"/>
        <w:rPr>
          <w:rFonts w:hint="eastAsia" w:ascii="宋体" w:hAnsi="Times New Roman" w:eastAsia="宋体" w:cs="宋体"/>
          <w:kern w:val="0"/>
          <w:sz w:val="21"/>
          <w:szCs w:val="20"/>
          <w:lang w:val="en-US" w:eastAsia="zh-CN" w:bidi="ar-SA"/>
        </w:rPr>
      </w:pPr>
      <w:bookmarkStart w:id="41" w:name="_Toc150535560"/>
      <w:r>
        <w:rPr>
          <w:rFonts w:hint="eastAsia" w:ascii="宋体" w:hAnsi="Times New Roman" w:eastAsia="宋体" w:cs="宋体"/>
          <w:kern w:val="0"/>
          <w:sz w:val="21"/>
          <w:szCs w:val="20"/>
          <w:lang w:val="en-US" w:eastAsia="zh-CN" w:bidi="ar-SA"/>
        </w:rPr>
        <w:t>试验项目及要求</w:t>
      </w:r>
      <w:bookmarkEnd w:id="41"/>
    </w:p>
    <w:p>
      <w:pPr>
        <w:tabs>
          <w:tab w:val="center" w:pos="4201"/>
          <w:tab w:val="right" w:leader="dot" w:pos="9298"/>
        </w:tabs>
        <w:autoSpaceDE w:val="0"/>
        <w:autoSpaceDN w:val="0"/>
        <w:ind w:firstLine="420" w:firstLineChars="200"/>
        <w:jc w:val="both"/>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该章的试验方法主要根据目前</w:t>
      </w:r>
      <w:r>
        <w:rPr>
          <w:rFonts w:hint="eastAsia" w:ascii="宋体" w:hAnsi="Times New Roman" w:eastAsia="宋体" w:cs="Times New Roman"/>
          <w:kern w:val="0"/>
          <w:sz w:val="21"/>
          <w:szCs w:val="20"/>
          <w:lang w:val="en-US" w:eastAsia="zh-CN" w:bidi="ar-SA"/>
        </w:rPr>
        <w:t>已发布标准中的有关指标试验方法和装置设计验证</w:t>
      </w:r>
      <w:r>
        <w:rPr>
          <w:rFonts w:hint="default" w:ascii="宋体" w:hAnsi="Times New Roman" w:eastAsia="宋体" w:cs="Times New Roman"/>
          <w:kern w:val="0"/>
          <w:sz w:val="21"/>
          <w:szCs w:val="20"/>
          <w:lang w:val="en-US" w:eastAsia="zh-CN" w:bidi="ar-SA"/>
        </w:rPr>
        <w:t>所</w:t>
      </w:r>
      <w:r>
        <w:rPr>
          <w:rFonts w:hint="eastAsia" w:ascii="宋体" w:hAnsi="Times New Roman" w:eastAsia="宋体" w:cs="Times New Roman"/>
          <w:kern w:val="0"/>
          <w:sz w:val="21"/>
          <w:szCs w:val="20"/>
          <w:lang w:val="en-US" w:eastAsia="zh-CN" w:bidi="ar-SA"/>
        </w:rPr>
        <w:t>使</w:t>
      </w:r>
      <w:r>
        <w:rPr>
          <w:rFonts w:hint="default" w:ascii="宋体" w:hAnsi="Times New Roman" w:eastAsia="宋体" w:cs="Times New Roman"/>
          <w:kern w:val="0"/>
          <w:sz w:val="21"/>
          <w:szCs w:val="20"/>
          <w:lang w:val="en-US" w:eastAsia="zh-CN" w:bidi="ar-SA"/>
        </w:rPr>
        <w:t>用的通用技术方案，以及来自</w:t>
      </w:r>
      <w:r>
        <w:rPr>
          <w:rFonts w:hint="eastAsia" w:ascii="宋体" w:hAnsi="Times New Roman" w:eastAsia="宋体" w:cs="Times New Roman"/>
          <w:kern w:val="0"/>
          <w:sz w:val="21"/>
          <w:szCs w:val="20"/>
          <w:lang w:val="en-US" w:eastAsia="zh-CN" w:bidi="ar-SA"/>
        </w:rPr>
        <w:t>电网公司、科研机构、产业单位与相关企业等的</w:t>
      </w:r>
      <w:r>
        <w:rPr>
          <w:rFonts w:hint="default" w:ascii="宋体" w:hAnsi="Times New Roman" w:eastAsia="宋体" w:cs="Times New Roman"/>
          <w:kern w:val="0"/>
          <w:sz w:val="21"/>
          <w:szCs w:val="20"/>
          <w:lang w:val="en-US" w:eastAsia="zh-CN" w:bidi="ar-SA"/>
        </w:rPr>
        <w:t>客户技术资料为依据而制定。包括有结构和外观</w:t>
      </w:r>
      <w:r>
        <w:rPr>
          <w:rFonts w:hint="eastAsia" w:ascii="宋体" w:hAnsi="Times New Roman" w:eastAsia="宋体" w:cs="Times New Roman"/>
          <w:kern w:val="0"/>
          <w:sz w:val="21"/>
          <w:szCs w:val="20"/>
          <w:lang w:val="en-US" w:eastAsia="zh-CN" w:bidi="ar-SA"/>
        </w:rPr>
        <w:t>、</w:t>
      </w:r>
      <w:bookmarkStart w:id="42" w:name="_Toc150535563"/>
      <w:r>
        <w:rPr>
          <w:rFonts w:hint="eastAsia" w:ascii="宋体" w:hAnsi="Times New Roman" w:eastAsia="宋体" w:cs="Times New Roman"/>
          <w:kern w:val="0"/>
          <w:sz w:val="21"/>
          <w:szCs w:val="20"/>
          <w:lang w:val="en-US" w:eastAsia="zh-CN" w:bidi="ar-SA"/>
        </w:rPr>
        <w:t>功能检查</w:t>
      </w:r>
      <w:bookmarkEnd w:id="42"/>
      <w:r>
        <w:rPr>
          <w:rFonts w:hint="eastAsia" w:ascii="宋体" w:hAnsi="Times New Roman" w:eastAsia="宋体" w:cs="Times New Roman"/>
          <w:kern w:val="0"/>
          <w:sz w:val="21"/>
          <w:szCs w:val="20"/>
          <w:lang w:val="en-US" w:eastAsia="zh-CN" w:bidi="ar-SA"/>
        </w:rPr>
        <w:t>、检测带宽试验、检测灵敏度试验、动态范围试验、放电信号定位精度试验、局部放电类型正确识别率试验、防护等级、电磁兼容、环境及可靠</w:t>
      </w:r>
      <w:r>
        <w:rPr>
          <w:rFonts w:hint="eastAsia" w:ascii="宋体" w:hAnsi="Times New Roman" w:eastAsia="宋体" w:cs="Times New Roman"/>
          <w:kern w:val="0"/>
          <w:sz w:val="21"/>
          <w:szCs w:val="18"/>
          <w:lang w:val="en-US" w:eastAsia="zh-CN" w:bidi="ar-SA"/>
        </w:rPr>
        <w:t>性</w:t>
      </w:r>
      <w:r>
        <w:rPr>
          <w:rFonts w:hint="default" w:ascii="宋体" w:hAnsi="Times New Roman" w:eastAsia="宋体" w:cs="Times New Roman"/>
          <w:kern w:val="0"/>
          <w:sz w:val="21"/>
          <w:szCs w:val="20"/>
          <w:lang w:val="en-US" w:eastAsia="zh-CN" w:bidi="ar-SA"/>
        </w:rPr>
        <w:t>试验。</w:t>
      </w:r>
    </w:p>
    <w:p>
      <w:pPr>
        <w:numPr>
          <w:ilvl w:val="0"/>
          <w:numId w:val="0"/>
        </w:numPr>
        <w:tabs>
          <w:tab w:val="center" w:pos="4201"/>
          <w:tab w:val="right" w:leader="dot" w:pos="9298"/>
        </w:tabs>
        <w:autoSpaceDE w:val="0"/>
        <w:autoSpaceDN w:val="0"/>
        <w:ind w:firstLine="420" w:firstLineChars="200"/>
        <w:jc w:val="both"/>
        <w:rPr>
          <w:rFonts w:hint="eastAsia" w:ascii="宋体" w:hAnsi="Times New Roman" w:eastAsia="宋体" w:cs="宋体"/>
          <w:kern w:val="0"/>
          <w:sz w:val="21"/>
          <w:szCs w:val="20"/>
          <w:lang w:val="en-US" w:eastAsia="zh-CN" w:bidi="ar-SA"/>
        </w:rPr>
      </w:pPr>
      <w:r>
        <w:rPr>
          <w:rFonts w:hint="eastAsia" w:ascii="宋体" w:hAnsi="Times New Roman" w:eastAsia="宋体" w:cs="宋体"/>
          <w:kern w:val="0"/>
          <w:sz w:val="21"/>
          <w:szCs w:val="20"/>
          <w:lang w:val="en-US" w:eastAsia="zh-CN" w:bidi="ar-SA"/>
        </w:rPr>
        <w:t>（8）</w:t>
      </w:r>
      <w:bookmarkStart w:id="43" w:name="_Toc150535565"/>
      <w:r>
        <w:rPr>
          <w:rFonts w:hint="eastAsia" w:ascii="宋体" w:hAnsi="Times New Roman" w:eastAsia="宋体" w:cs="宋体"/>
          <w:kern w:val="0"/>
          <w:sz w:val="21"/>
          <w:szCs w:val="20"/>
          <w:lang w:val="en-US" w:eastAsia="zh-CN" w:bidi="ar-SA"/>
        </w:rPr>
        <w:t>检测规则</w:t>
      </w:r>
      <w:bookmarkEnd w:id="43"/>
    </w:p>
    <w:p>
      <w:pPr>
        <w:tabs>
          <w:tab w:val="center" w:pos="4201"/>
          <w:tab w:val="right" w:leader="dot" w:pos="9298"/>
        </w:tabs>
        <w:autoSpaceDE w:val="0"/>
        <w:autoSpaceDN w:val="0"/>
        <w:ind w:firstLine="420" w:firstLineChars="200"/>
        <w:jc w:val="both"/>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该章主要分为</w:t>
      </w:r>
      <w:r>
        <w:rPr>
          <w:rFonts w:hint="eastAsia" w:ascii="宋体" w:hAnsi="Times New Roman" w:eastAsia="宋体" w:cs="Times New Roman"/>
          <w:kern w:val="0"/>
          <w:sz w:val="21"/>
          <w:szCs w:val="20"/>
          <w:lang w:val="en-US" w:eastAsia="zh-CN" w:bidi="ar-SA"/>
        </w:rPr>
        <w:t>型式试验、出厂试验、入网检测试验、到货抽检和定期试验五</w:t>
      </w:r>
      <w:r>
        <w:rPr>
          <w:rFonts w:hint="default" w:ascii="宋体" w:hAnsi="Times New Roman" w:eastAsia="宋体" w:cs="Times New Roman"/>
          <w:kern w:val="0"/>
          <w:sz w:val="21"/>
          <w:szCs w:val="20"/>
          <w:lang w:val="en-US" w:eastAsia="zh-CN" w:bidi="ar-SA"/>
        </w:rPr>
        <w:t>部分，检验项目、批和组数由供应商根据客户的需求确定。</w:t>
      </w:r>
    </w:p>
    <w:p>
      <w:pPr>
        <w:numPr>
          <w:ilvl w:val="0"/>
          <w:numId w:val="0"/>
        </w:numPr>
        <w:tabs>
          <w:tab w:val="center" w:pos="4201"/>
          <w:tab w:val="right" w:leader="dot" w:pos="9298"/>
        </w:tabs>
        <w:autoSpaceDE w:val="0"/>
        <w:autoSpaceDN w:val="0"/>
        <w:ind w:firstLine="420" w:firstLineChars="200"/>
        <w:jc w:val="both"/>
        <w:rPr>
          <w:rFonts w:hint="eastAsia" w:ascii="宋体" w:hAnsi="Times New Roman" w:eastAsia="宋体" w:cs="宋体"/>
          <w:kern w:val="0"/>
          <w:sz w:val="21"/>
          <w:szCs w:val="20"/>
          <w:lang w:val="en-US" w:eastAsia="zh-CN" w:bidi="ar-SA"/>
        </w:rPr>
      </w:pPr>
      <w:r>
        <w:rPr>
          <w:rFonts w:hint="eastAsia" w:ascii="宋体" w:hAnsi="Times New Roman" w:eastAsia="宋体" w:cs="宋体"/>
          <w:kern w:val="0"/>
          <w:sz w:val="21"/>
          <w:szCs w:val="20"/>
          <w:lang w:val="en-US" w:eastAsia="zh-CN" w:bidi="ar-SA"/>
        </w:rPr>
        <w:t>（9）</w:t>
      </w:r>
      <w:bookmarkStart w:id="44" w:name="_Toc150535571"/>
      <w:r>
        <w:rPr>
          <w:rFonts w:hint="eastAsia" w:ascii="宋体" w:hAnsi="Times New Roman" w:eastAsia="宋体" w:cs="宋体"/>
          <w:kern w:val="0"/>
          <w:sz w:val="21"/>
          <w:szCs w:val="20"/>
          <w:lang w:val="en-US" w:eastAsia="zh-CN" w:bidi="ar-SA"/>
        </w:rPr>
        <w:t>标志、包装、运输、贮存</w:t>
      </w:r>
      <w:bookmarkEnd w:id="44"/>
    </w:p>
    <w:p>
      <w:pPr>
        <w:tabs>
          <w:tab w:val="center" w:pos="4201"/>
          <w:tab w:val="right" w:leader="dot" w:pos="9298"/>
        </w:tabs>
        <w:autoSpaceDE w:val="0"/>
        <w:autoSpaceDN w:val="0"/>
        <w:ind w:firstLine="420" w:firstLineChars="200"/>
        <w:jc w:val="both"/>
        <w:rPr>
          <w:rFonts w:hint="default" w:ascii="宋体" w:hAnsi="Times New Roman" w:eastAsia="宋体" w:cs="宋体"/>
          <w:kern w:val="0"/>
          <w:sz w:val="21"/>
          <w:szCs w:val="20"/>
          <w:lang w:val="en-US" w:eastAsia="zh-CN" w:bidi="ar-SA"/>
        </w:rPr>
      </w:pPr>
      <w:r>
        <w:rPr>
          <w:rFonts w:hint="default" w:ascii="宋体" w:hAnsi="Times New Roman" w:eastAsia="宋体" w:cs="Times New Roman"/>
          <w:kern w:val="0"/>
          <w:sz w:val="21"/>
          <w:szCs w:val="20"/>
          <w:lang w:val="en-US" w:eastAsia="zh-CN" w:bidi="ar-SA"/>
        </w:rPr>
        <w:t>该章主要</w:t>
      </w:r>
      <w:r>
        <w:rPr>
          <w:rFonts w:hint="eastAsia" w:ascii="宋体" w:hAnsi="Times New Roman" w:eastAsia="宋体" w:cs="Times New Roman"/>
          <w:kern w:val="0"/>
          <w:sz w:val="21"/>
          <w:szCs w:val="20"/>
          <w:lang w:val="en-US" w:eastAsia="zh-CN" w:bidi="ar-SA"/>
        </w:rPr>
        <w:t>阐述技术装置在</w:t>
      </w:r>
      <w:r>
        <w:rPr>
          <w:rFonts w:hint="eastAsia" w:ascii="宋体" w:hAnsi="Times New Roman" w:eastAsia="宋体" w:cs="宋体"/>
          <w:kern w:val="0"/>
          <w:sz w:val="21"/>
          <w:szCs w:val="20"/>
          <w:lang w:val="en-US" w:eastAsia="zh-CN" w:bidi="ar-SA"/>
        </w:rPr>
        <w:t>标志、包装、运输、贮存方面的要求。</w:t>
      </w:r>
    </w:p>
    <w:p>
      <w:pPr>
        <w:tabs>
          <w:tab w:val="center" w:pos="4201"/>
          <w:tab w:val="right" w:leader="dot" w:pos="9298"/>
        </w:tabs>
        <w:autoSpaceDE w:val="0"/>
        <w:autoSpaceDN w:val="0"/>
        <w:ind w:firstLine="420" w:firstLineChars="200"/>
        <w:jc w:val="both"/>
        <w:rPr>
          <w:rFonts w:ascii="宋体" w:hAnsi="Times New Roman" w:eastAsia="宋体" w:cs="Times New Roman"/>
          <w:kern w:val="0"/>
          <w:sz w:val="21"/>
          <w:szCs w:val="20"/>
          <w:lang w:val="en-US" w:eastAsia="zh-CN" w:bidi="ar-SA"/>
        </w:rPr>
      </w:pPr>
    </w:p>
    <w:p>
      <w:pPr>
        <w:keepNext/>
        <w:keepLines/>
        <w:widowControl w:val="0"/>
        <w:spacing w:before="312" w:beforeLines="100" w:after="312" w:afterLines="100" w:line="240" w:lineRule="auto"/>
        <w:jc w:val="both"/>
        <w:outlineLvl w:val="0"/>
        <w:rPr>
          <w:rFonts w:ascii="Times New Roman" w:hAnsi="Times New Roman" w:eastAsia="黑体" w:cs="Times New Roman"/>
          <w:b w:val="0"/>
          <w:bCs w:val="0"/>
          <w:kern w:val="44"/>
          <w:sz w:val="21"/>
          <w:szCs w:val="44"/>
          <w:lang w:val="en-US" w:eastAsia="zh-CN" w:bidi="ar-SA"/>
        </w:rPr>
      </w:pPr>
      <w:bookmarkStart w:id="45" w:name="_Toc22881"/>
      <w:r>
        <w:rPr>
          <w:rFonts w:hint="eastAsia" w:ascii="宋体" w:hAnsi="宋体" w:eastAsia="黑体" w:cs="Times New Roman"/>
          <w:b w:val="0"/>
          <w:bCs w:val="0"/>
          <w:kern w:val="44"/>
          <w:sz w:val="21"/>
          <w:szCs w:val="21"/>
          <w:lang w:val="en-US" w:eastAsia="zh-CN" w:bidi="ar-SA"/>
        </w:rPr>
        <w:t>5相关</w:t>
      </w:r>
      <w:r>
        <w:rPr>
          <w:rFonts w:hint="eastAsia" w:ascii="Times New Roman" w:hAnsi="Times New Roman" w:eastAsia="黑体" w:cs="Times New Roman"/>
          <w:b w:val="0"/>
          <w:bCs w:val="0"/>
          <w:kern w:val="44"/>
          <w:sz w:val="21"/>
          <w:szCs w:val="44"/>
          <w:lang w:val="en-US" w:eastAsia="zh-CN" w:bidi="ar-SA"/>
        </w:rPr>
        <w:t>标准对比说明</w:t>
      </w:r>
      <w:bookmarkEnd w:id="45"/>
    </w:p>
    <w:p>
      <w:pPr>
        <w:widowControl w:val="0"/>
        <w:ind w:firstLine="420" w:firstLineChars="0"/>
        <w:jc w:val="both"/>
        <w:rPr>
          <w:rFonts w:hint="eastAsia" w:ascii="宋体" w:hAnsi="Times New Roman" w:eastAsia="宋体" w:cs="Times New Roman"/>
          <w:color w:val="auto"/>
          <w:kern w:val="0"/>
          <w:sz w:val="21"/>
          <w:szCs w:val="20"/>
          <w:lang w:val="en-US" w:eastAsia="zh-CN" w:bidi="ar-SA"/>
        </w:rPr>
      </w:pPr>
      <w:r>
        <w:rPr>
          <w:rFonts w:hint="eastAsia" w:ascii="Calibri" w:hAnsi="Calibri" w:eastAsia="宋体" w:cs="Times New Roman"/>
          <w:kern w:val="2"/>
          <w:sz w:val="21"/>
          <w:szCs w:val="22"/>
          <w:lang w:val="en-US" w:eastAsia="zh-CN" w:bidi="ar-SA"/>
        </w:rPr>
        <w:t>在国内，目前国家能源局、国家电网公司已发布一些关于局部放电检测方法的行业标准、企业标</w:t>
      </w:r>
      <w:r>
        <w:rPr>
          <w:rFonts w:hint="eastAsia" w:ascii="宋体" w:hAnsi="Times New Roman" w:eastAsia="宋体" w:cs="Times New Roman"/>
          <w:color w:val="auto"/>
          <w:kern w:val="0"/>
          <w:sz w:val="21"/>
          <w:szCs w:val="20"/>
          <w:lang w:val="en-US" w:eastAsia="zh-CN" w:bidi="ar-SA"/>
        </w:rPr>
        <w:t>准，包括DL/T 1534-2016《油浸式电力变压器局部放电的特高频检测方法》、Q/GDW1540.6-2015《变电设备在线监测装置检验规范 第6部分：变压器特高频局部放电在线监测装置》、Q/GDW11304.8-2019《电力设备带电检测仪器技术规范 第8部分：特高频法局部放电带电检测仪》等。但这些标准只是针对传统特高频局放检测技术制定的，没有覆盖空间宽带射频局部放电检测技术。在国网设备部印发的[2020]71号文件《变压器(高抗)状态综合监测装置技术规范(试行)》中初步提出了射频局放监测的相关性能指标要求，但描述还不够详细。</w:t>
      </w:r>
    </w:p>
    <w:p>
      <w:pPr>
        <w:widowControl w:val="0"/>
        <w:ind w:firstLine="420" w:firstLineChars="0"/>
        <w:jc w:val="both"/>
        <w:rPr>
          <w:rFonts w:hint="eastAsia" w:ascii="Calibri" w:hAnsi="Calibri" w:eastAsia="宋体" w:cs="Times New Roman"/>
          <w:kern w:val="2"/>
          <w:sz w:val="21"/>
          <w:szCs w:val="22"/>
          <w:lang w:val="en-US" w:eastAsia="zh-CN" w:bidi="ar-SA"/>
        </w:rPr>
      </w:pPr>
      <w:r>
        <w:rPr>
          <w:rFonts w:hint="eastAsia" w:ascii="宋体" w:hAnsi="Times New Roman" w:eastAsia="宋体" w:cs="Times New Roman"/>
          <w:color w:val="auto"/>
          <w:kern w:val="0"/>
          <w:sz w:val="21"/>
          <w:szCs w:val="20"/>
          <w:lang w:val="en-US" w:eastAsia="zh-CN" w:bidi="ar-SA"/>
        </w:rPr>
        <w:t>在国际上，局部放电测量除了根据IEC 60270 (30~100 kHz, 30~900kHz) 常规局放测量方法外，主要还有两种不同测量方法：特高频电磁波局放测量（UHF：300 MHz~3 GHz）和超声波局放测量（&lt;200 kHz）。针对特高频局放测量还没有相关IEC国际标准。主要有国际大电网联盟（CIGRE）不同工作组研究并提出面向变压器内置式特高频局放检测传感器标准方案建议。Cigré工作组A2-27提出了适合排油阀门安装的（CIGRE TB343）和检修窗安装的(CIGRE TB662) 特高局放传感器建议。CIGRE 联合工作组A2/D1.51提</w:t>
      </w:r>
      <w:r>
        <w:rPr>
          <w:rFonts w:hint="eastAsia" w:ascii="Calibri" w:hAnsi="Calibri" w:eastAsia="宋体" w:cs="Times New Roman"/>
          <w:kern w:val="2"/>
          <w:sz w:val="21"/>
          <w:szCs w:val="22"/>
          <w:lang w:val="en-US" w:eastAsia="zh-CN" w:bidi="ar-SA"/>
        </w:rPr>
        <w:t>出了变压器内置特高频传感器校准方案建议。</w:t>
      </w:r>
    </w:p>
    <w:p>
      <w:pPr>
        <w:widowControl w:val="0"/>
        <w:ind w:firstLine="42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综上所述，目前国内外在带电检测领域已发布的标准主要以传统的脉冲电流和特高频局放检测技术为主，尚无空间宽带射频局部放电检测技术相关标准规范，亟待推进该标准制定工作。</w:t>
      </w:r>
    </w:p>
    <w:p>
      <w:pPr>
        <w:tabs>
          <w:tab w:val="center" w:pos="4201"/>
          <w:tab w:val="right" w:leader="dot" w:pos="9298"/>
        </w:tabs>
        <w:autoSpaceDE w:val="0"/>
        <w:autoSpaceDN w:val="0"/>
        <w:ind w:firstLine="420" w:firstLineChars="200"/>
        <w:jc w:val="both"/>
        <w:rPr>
          <w:rFonts w:ascii="宋体" w:hAnsi="Times New Roman" w:eastAsia="宋体" w:cs="Times New Roman"/>
          <w:kern w:val="0"/>
          <w:sz w:val="21"/>
          <w:szCs w:val="20"/>
          <w:lang w:val="en-US" w:eastAsia="zh-CN" w:bidi="ar-SA"/>
        </w:rPr>
      </w:pPr>
    </w:p>
    <w:p>
      <w:pPr>
        <w:keepNext/>
        <w:keepLines/>
        <w:widowControl w:val="0"/>
        <w:spacing w:before="312" w:beforeLines="100" w:after="312" w:afterLines="100" w:line="240" w:lineRule="auto"/>
        <w:jc w:val="both"/>
        <w:outlineLvl w:val="0"/>
        <w:rPr>
          <w:rFonts w:hint="eastAsia" w:ascii="宋体" w:hAnsi="宋体" w:eastAsia="黑体" w:cs="Times New Roman"/>
          <w:b w:val="0"/>
          <w:bCs w:val="0"/>
          <w:kern w:val="44"/>
          <w:sz w:val="21"/>
          <w:szCs w:val="21"/>
          <w:lang w:val="en-US" w:eastAsia="zh-CN" w:bidi="ar-SA"/>
        </w:rPr>
      </w:pPr>
      <w:bookmarkStart w:id="46" w:name="_Toc29563"/>
      <w:r>
        <w:rPr>
          <w:rFonts w:hint="eastAsia" w:ascii="宋体" w:hAnsi="宋体" w:eastAsia="黑体" w:cs="Times New Roman"/>
          <w:b w:val="0"/>
          <w:bCs w:val="0"/>
          <w:kern w:val="44"/>
          <w:sz w:val="21"/>
          <w:szCs w:val="21"/>
          <w:lang w:val="en-US" w:eastAsia="zh-CN" w:bidi="ar-SA"/>
        </w:rPr>
        <w:t>6标准实施措施说明</w:t>
      </w:r>
      <w:bookmarkEnd w:id="46"/>
    </w:p>
    <w:p>
      <w:pPr>
        <w:widowControl w:val="0"/>
        <w:ind w:firstLine="420" w:firstLineChars="0"/>
        <w:jc w:val="both"/>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建议作为推荐性团体标准，并加强标准的宣传实施，以促进变电站局部放电空间宽带射频定位检测技术建立统一的技术要求与规范的测试方法，形成相应的性能评价标准，推进电力设备状态监测先进技术的应用，提高电力设备智能运维水平，为保障新型电力系统高效、安全运行提供技术支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right="198"/>
      <w:jc w:val="center"/>
      <w:rPr>
        <w:rFonts w:ascii="宋体" w:hAnsi="Times New Roman" w:eastAsia="宋体" w:cs="Times New Roman"/>
        <w:kern w:val="0"/>
        <w:sz w:val="18"/>
        <w:szCs w:val="18"/>
        <w:lang w:val="en-US" w:eastAsia="zh-CN" w:bidi="ar-SA"/>
      </w:rPr>
    </w:pPr>
    <w:r>
      <w:rPr>
        <w:rFonts w:ascii="宋体"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22"/>
        <w:lang w:val="en-US" w:eastAsia="zh-CN" w:bidi="ar-SA"/>
      </w:rPr>
      <w:instrText xml:space="preserve"> PAGE </w:instrText>
    </w:r>
    <w:r>
      <w:rPr>
        <w:rFonts w:ascii="宋体"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22"/>
        <w:lang w:val="en-US" w:eastAsia="zh-CN" w:bidi="ar-SA"/>
      </w:rPr>
      <w:t>26</w:t>
    </w:r>
    <w:r>
      <w:rPr>
        <w:rFonts w:ascii="宋体" w:hAnsi="Times New Roman" w:eastAsia="宋体" w:cs="Times New Roman"/>
        <w:kern w:val="2"/>
        <w:sz w:val="18"/>
        <w:szCs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28</w:t>
                          </w:r>
                          <w:r>
                            <w:rPr>
                              <w:rFonts w:ascii="Calibri" w:hAnsi="Calibri" w:eastAsia="宋体" w:cs="Times New Roman"/>
                              <w:kern w:val="0"/>
                              <w:sz w:val="18"/>
                              <w:szCs w:val="18"/>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28</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4"/>
        <w:tab w:val="right" w:pos="8306"/>
      </w:tabs>
      <w:wordWrap w:val="0"/>
      <w:spacing w:after="220"/>
      <w:jc w:val="right"/>
      <w:rPr>
        <w:rFonts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T</w:t>
    </w:r>
    <w:r>
      <w:rPr>
        <w:rFonts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CSEE</w:t>
    </w:r>
    <w:r>
      <w:rPr>
        <w:rFonts w:hint="eastAsia" w:ascii="黑体" w:hAnsi="黑体" w:eastAsia="黑体" w:cs="Times New Roman"/>
        <w:kern w:val="0"/>
        <w:sz w:val="21"/>
        <w:szCs w:val="21"/>
        <w:lang w:val="en-US" w:eastAsia="zh-CN" w:bidi="ar-SA"/>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4"/>
        <w:tab w:val="right" w:pos="8306"/>
      </w:tabs>
      <w:spacing w:before="120" w:after="120"/>
      <w:jc w:val="both"/>
      <w:rPr>
        <w:rFonts w:ascii="黑体" w:hAnsi="Times New Roman" w:eastAsia="黑体" w:cs="Times New Roman"/>
        <w:kern w:val="0"/>
        <w:sz w:val="21"/>
        <w:szCs w:val="21"/>
        <w:lang w:val="en-US" w:eastAsia="zh-CN" w:bidi="ar-SA"/>
      </w:rPr>
    </w:pPr>
    <w:r>
      <w:rPr>
        <w:rFonts w:ascii="黑体" w:hAnsi="Times New Roman" w:eastAsia="黑体" w:cs="Times New Roman"/>
        <w:kern w:val="0"/>
        <w:sz w:val="21"/>
        <w:szCs w:val="21"/>
        <w:lang w:val="en-US" w:eastAsia="zh-CN" w:bidi="ar-SA"/>
      </w:rPr>
      <w:t>Q/</w:t>
    </w:r>
    <w:r>
      <w:rPr>
        <w:rFonts w:hint="eastAsia" w:ascii="黑体" w:hAnsi="Times New Roman" w:eastAsia="黑体" w:cs="Times New Roman"/>
        <w:kern w:val="0"/>
        <w:sz w:val="21"/>
        <w:szCs w:val="21"/>
        <w:lang w:val="en-US" w:eastAsia="zh-CN" w:bidi="ar-SA"/>
      </w:rPr>
      <w:t>GDW</w:t>
    </w:r>
    <w:r>
      <w:rPr>
        <w:rFonts w:hint="eastAsia" w:ascii="黑体" w:hAnsi="宋体" w:eastAsia="黑体" w:cs="Times New Roman"/>
        <w:kern w:val="0"/>
        <w:sz w:val="21"/>
        <w:szCs w:val="21"/>
        <w:lang w:val="en-US" w:eastAsia="zh-CN" w:bidi="ar-SA"/>
      </w:rPr>
      <w:t xml:space="preserve"> </w:t>
    </w:r>
    <w:r>
      <w:rPr>
        <w:rFonts w:hint="eastAsia" w:ascii="黑体" w:hAnsi="黑体" w:eastAsia="黑体" w:cs="Times New Roman"/>
        <w:kern w:val="0"/>
        <w:sz w:val="21"/>
        <w:szCs w:val="21"/>
        <w:lang w:val="en-US" w:eastAsia="zh-CN" w:bidi="ar-SA"/>
      </w:rPr>
      <w:t>XX-XXX</w:t>
    </w:r>
    <w:r>
      <w:rPr>
        <w:rFonts w:ascii="黑体" w:hAnsi="黑体" w:eastAsia="黑体" w:cs="Times New Roman"/>
        <w:kern w:val="0"/>
        <w:sz w:val="21"/>
        <w:szCs w:val="21"/>
        <w:lang w:val="en-US" w:eastAsia="zh-CN" w:bidi="ar-SA"/>
      </w:rPr>
      <w:t>—</w:t>
    </w:r>
    <w:r>
      <w:rPr>
        <w:rFonts w:hint="eastAsia" w:ascii="黑体" w:hAnsi="黑体" w:eastAsia="黑体" w:cs="Times New Roman"/>
        <w:kern w:val="0"/>
        <w:sz w:val="21"/>
        <w:szCs w:val="21"/>
        <w:lang w:val="en-US" w:eastAsia="zh-CN" w:bidi="ar-SA"/>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4"/>
        <w:tab w:val="right" w:pos="8306"/>
      </w:tabs>
      <w:wordWrap w:val="0"/>
      <w:spacing w:before="120" w:after="120"/>
      <w:jc w:val="right"/>
      <w:rPr>
        <w:rFonts w:ascii="黑体" w:hAnsi="Times New Roman" w:eastAsia="黑体" w:cs="Times New Roman"/>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478BF"/>
    <w:multiLevelType w:val="singleLevel"/>
    <w:tmpl w:val="D58478BF"/>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WJmM2JkZDk2ZTM5ODJkOGU5NTM5YTIxYzc1ZDgifQ=="/>
  </w:docVars>
  <w:rsids>
    <w:rsidRoot w:val="00000000"/>
    <w:rsid w:val="09636121"/>
    <w:rsid w:val="32E26424"/>
    <w:rsid w:val="4B5622F4"/>
    <w:rsid w:val="50446212"/>
    <w:rsid w:val="644E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uiPriority w:val="0"/>
  </w:style>
  <w:style w:type="table" w:styleId="4">
    <w:name w:val="Table Grid"/>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2024-10-09T05:54:00Z</dcterms:created>
  <dc:creator>Administrator</dc:creator>
  <cp:lastModifiedBy>杨智豪</cp:lastModifiedBy>
  <dcterms:modified xsi:type="dcterms:W3CDTF">2024-10-18T01:42:42Z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DD399958C7DB4C768683C8543FD79858_12</vt:lpwstr>
  </property>
</Properties>
</file>