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5CB89">
      <w:pPr>
        <w:pStyle w:val="8"/>
        <w:jc w:val="left"/>
        <w:rPr>
          <w:rFonts w:hint="eastAsia" w:ascii="黑体" w:hAnsi="黑体" w:eastAsia="黑体"/>
          <w:b w:val="0"/>
        </w:rPr>
      </w:pPr>
      <w:bookmarkStart w:id="0" w:name="_Toc27541"/>
      <w:bookmarkStart w:id="1" w:name="_Toc25419"/>
      <w:r>
        <w:rPr>
          <w:rFonts w:ascii="黑体" w:hAnsi="黑体" w:eastAsia="黑体"/>
          <w:b w:val="0"/>
        </w:rPr>
        <w:t>附件</w:t>
      </w:r>
      <w:r>
        <w:rPr>
          <w:rFonts w:hint="eastAsia" w:ascii="黑体" w:hAnsi="黑体" w:eastAsia="黑体"/>
          <w:b w:val="0"/>
        </w:rPr>
        <w:t>8</w:t>
      </w:r>
      <w:bookmarkEnd w:id="0"/>
      <w:bookmarkEnd w:id="1"/>
    </w:p>
    <w:p w14:paraId="083E0EDB">
      <w:pPr>
        <w:jc w:val="center"/>
        <w:rPr>
          <w:rFonts w:hint="eastAsia" w:ascii="黑体" w:hAnsi="黑体" w:eastAsia="黑体"/>
          <w:bCs/>
          <w:sz w:val="32"/>
          <w:szCs w:val="32"/>
        </w:rPr>
      </w:pPr>
      <w:r>
        <w:rPr>
          <w:rFonts w:hint="eastAsia" w:ascii="黑体" w:hAnsi="黑体" w:eastAsia="黑体"/>
          <w:bCs/>
          <w:sz w:val="32"/>
          <w:szCs w:val="32"/>
        </w:rPr>
        <w:t>编制说明（格式）</w:t>
      </w:r>
    </w:p>
    <w:p w14:paraId="4FCC90FE">
      <w:pPr>
        <w:pStyle w:val="20"/>
        <w:ind w:firstLine="0" w:firstLineChars="0"/>
      </w:pPr>
    </w:p>
    <w:p w14:paraId="75E34B45">
      <w:pPr>
        <w:pStyle w:val="20"/>
        <w:ind w:firstLine="0" w:firstLineChars="0"/>
      </w:pPr>
    </w:p>
    <w:p w14:paraId="2BCB7E98">
      <w:pPr>
        <w:pStyle w:val="20"/>
        <w:ind w:firstLine="0" w:firstLineChars="0"/>
      </w:pPr>
    </w:p>
    <w:p w14:paraId="38C44FAE">
      <w:pPr>
        <w:pStyle w:val="20"/>
        <w:ind w:firstLine="0" w:firstLineChars="0"/>
      </w:pPr>
    </w:p>
    <w:p w14:paraId="5E31A478">
      <w:pPr>
        <w:pStyle w:val="20"/>
        <w:ind w:firstLine="0" w:firstLineChars="0"/>
      </w:pPr>
    </w:p>
    <w:p w14:paraId="317F7CC4">
      <w:pPr>
        <w:pStyle w:val="20"/>
        <w:ind w:firstLine="0" w:firstLineChars="0"/>
      </w:pPr>
    </w:p>
    <w:p w14:paraId="02E237A2">
      <w:pPr>
        <w:pStyle w:val="20"/>
        <w:ind w:firstLine="0" w:firstLineChars="0"/>
      </w:pPr>
    </w:p>
    <w:p w14:paraId="3B7CFFD1">
      <w:pPr>
        <w:pStyle w:val="20"/>
        <w:ind w:firstLine="0" w:firstLineChars="0"/>
      </w:pPr>
    </w:p>
    <w:p w14:paraId="456ED716">
      <w:pPr>
        <w:pStyle w:val="20"/>
        <w:ind w:firstLine="0" w:firstLineChars="0"/>
      </w:pPr>
    </w:p>
    <w:p w14:paraId="483E2F86">
      <w:pPr>
        <w:pStyle w:val="20"/>
        <w:ind w:firstLine="0" w:firstLineChars="0"/>
      </w:pPr>
    </w:p>
    <w:p w14:paraId="14B1FAEE">
      <w:pPr>
        <w:pStyle w:val="20"/>
        <w:ind w:firstLine="0" w:firstLineChars="0"/>
        <w:jc w:val="center"/>
        <w:rPr>
          <w:rFonts w:ascii="黑体" w:eastAsia="黑体"/>
          <w:sz w:val="44"/>
          <w:szCs w:val="44"/>
        </w:rPr>
      </w:pPr>
      <w:r>
        <w:rPr>
          <w:rFonts w:hint="eastAsia" w:ascii="黑体" w:eastAsia="黑体"/>
          <w:sz w:val="44"/>
          <w:szCs w:val="44"/>
        </w:rPr>
        <w:t>10kV 配网电力传感器工频磁场自取能技术规范</w:t>
      </w:r>
    </w:p>
    <w:p w14:paraId="0AF4285F">
      <w:pPr>
        <w:pStyle w:val="20"/>
      </w:pPr>
    </w:p>
    <w:p w14:paraId="53BD88EC">
      <w:pPr>
        <w:pStyle w:val="20"/>
      </w:pPr>
    </w:p>
    <w:p w14:paraId="293A995B">
      <w:pPr>
        <w:pStyle w:val="22"/>
        <w:numPr>
          <w:ilvl w:val="0"/>
          <w:numId w:val="0"/>
        </w:numPr>
        <w:jc w:val="center"/>
        <w:rPr>
          <w:sz w:val="28"/>
          <w:szCs w:val="28"/>
        </w:rPr>
      </w:pPr>
      <w:bookmarkStart w:id="2" w:name="_Toc298937333"/>
      <w:bookmarkStart w:id="3" w:name="_Toc298937368"/>
      <w:bookmarkStart w:id="4" w:name="_Toc310002657"/>
      <w:bookmarkStart w:id="5" w:name="_Toc309993200"/>
      <w:bookmarkStart w:id="6" w:name="_Toc304402675"/>
      <w:bookmarkStart w:id="7" w:name="_Toc320020914"/>
      <w:bookmarkStart w:id="8" w:name="_Toc309997060"/>
      <w:bookmarkStart w:id="9" w:name="_Toc298938646"/>
      <w:bookmarkStart w:id="10" w:name="_Toc309996019"/>
      <w:bookmarkStart w:id="11" w:name="_Toc298937620"/>
      <w:bookmarkStart w:id="12" w:name="_Toc304825020"/>
      <w:bookmarkStart w:id="13" w:name="_Toc309995598"/>
      <w:bookmarkStart w:id="14" w:name="_Toc298938794"/>
      <w:bookmarkStart w:id="15" w:name="_Toc309994571"/>
      <w:bookmarkStart w:id="16" w:name="_Toc298937430"/>
      <w:bookmarkStart w:id="17" w:name="_Toc304828086"/>
      <w:bookmarkStart w:id="18" w:name="_Toc304824981"/>
      <w:bookmarkStart w:id="19" w:name="_Toc309995410"/>
      <w:bookmarkStart w:id="20" w:name="_Toc298937560"/>
      <w:bookmarkStart w:id="21" w:name="_Toc304825093"/>
      <w:bookmarkStart w:id="22" w:name="_Toc318613715"/>
      <w:bookmarkStart w:id="23" w:name="_Toc298937473"/>
      <w:bookmarkStart w:id="24" w:name="_Toc309995492"/>
      <w:r>
        <w:rPr>
          <w:rFonts w:hint="eastAsia"/>
          <w:sz w:val="28"/>
          <w:szCs w:val="28"/>
        </w:rPr>
        <w:t>编 制 说</w:t>
      </w:r>
      <w:bookmarkEnd w:id="2"/>
      <w:bookmarkEnd w:id="3"/>
      <w:r>
        <w:rPr>
          <w:rFonts w:hint="eastAsia"/>
          <w:sz w:val="28"/>
          <w:szCs w:val="28"/>
        </w:rPr>
        <w:t> 明</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481A06CF">
      <w:pPr>
        <w:pStyle w:val="20"/>
        <w:ind w:firstLine="560"/>
        <w:jc w:val="center"/>
        <w:rPr>
          <w:rFonts w:ascii="黑体" w:eastAsia="黑体"/>
          <w:sz w:val="28"/>
          <w:szCs w:val="28"/>
        </w:rPr>
      </w:pPr>
    </w:p>
    <w:p w14:paraId="2984095E">
      <w:pPr>
        <w:pStyle w:val="20"/>
        <w:ind w:firstLine="560"/>
        <w:jc w:val="center"/>
        <w:rPr>
          <w:rFonts w:ascii="黑体" w:eastAsia="黑体"/>
          <w:sz w:val="28"/>
          <w:szCs w:val="28"/>
        </w:rPr>
      </w:pPr>
    </w:p>
    <w:p w14:paraId="6764CE2A">
      <w:pPr>
        <w:pStyle w:val="20"/>
        <w:sectPr>
          <w:headerReference r:id="rId3" w:type="default"/>
          <w:footerReference r:id="rId5" w:type="default"/>
          <w:headerReference r:id="rId4" w:type="even"/>
          <w:pgSz w:w="11906" w:h="16838"/>
          <w:pgMar w:top="567" w:right="1134" w:bottom="1134" w:left="1417" w:header="1418" w:footer="1134" w:gutter="0"/>
          <w:cols w:space="720" w:num="1"/>
          <w:formProt w:val="0"/>
          <w:docGrid w:type="lines" w:linePitch="312" w:charSpace="0"/>
        </w:sectPr>
      </w:pPr>
    </w:p>
    <w:p w14:paraId="3D1EE715">
      <w:pPr>
        <w:pStyle w:val="32"/>
      </w:pPr>
      <w:bookmarkStart w:id="25" w:name="_Toc513731109"/>
      <w:bookmarkStart w:id="26" w:name="_Toc309992160"/>
      <w:bookmarkStart w:id="27" w:name="_Toc513731021"/>
      <w:bookmarkStart w:id="28" w:name="_Toc8080"/>
      <w:r>
        <w:rPr>
          <w:rFonts w:hint="eastAsia"/>
        </w:rPr>
        <w:t>目次</w:t>
      </w:r>
      <w:bookmarkEnd w:id="25"/>
      <w:bookmarkEnd w:id="26"/>
      <w:bookmarkEnd w:id="27"/>
      <w:bookmarkEnd w:id="28"/>
    </w:p>
    <w:p w14:paraId="6C8A4F6A">
      <w:pPr>
        <w:pStyle w:val="6"/>
        <w:tabs>
          <w:tab w:val="right" w:leader="dot" w:pos="9355"/>
          <w:tab w:val="clear" w:pos="9241"/>
        </w:tabs>
      </w:pPr>
      <w:r>
        <w:rPr>
          <w:rFonts w:hint="eastAsia" w:ascii="宋体" w:hAnsi="宋体" w:eastAsia="宋体" w:cs="宋体"/>
        </w:rPr>
        <w:fldChar w:fldCharType="begin"/>
      </w:r>
      <w:r>
        <w:rPr>
          <w:rFonts w:hint="eastAsia" w:ascii="宋体" w:hAnsi="宋体" w:eastAsia="宋体" w:cs="宋体"/>
        </w:rPr>
        <w:instrText xml:space="preserve"> TOC \o "1-1" \h \z \u </w:instrText>
      </w:r>
      <w:r>
        <w:rPr>
          <w:rFonts w:hint="eastAsia" w:ascii="宋体" w:hAnsi="宋体" w:eastAsia="宋体" w:cs="宋体"/>
        </w:rPr>
        <w:fldChar w:fldCharType="separate"/>
      </w:r>
      <w:bookmarkStart w:id="35" w:name="_GoBack"/>
      <w:bookmarkEnd w:id="35"/>
      <w:r>
        <w:rPr>
          <w:rFonts w:hint="eastAsia" w:ascii="宋体" w:hAnsi="宋体" w:eastAsia="宋体" w:cs="宋体"/>
          <w:szCs w:val="21"/>
        </w:rPr>
        <w:fldChar w:fldCharType="begin"/>
      </w:r>
      <w:r>
        <w:rPr>
          <w:rFonts w:hint="eastAsia" w:ascii="宋体" w:hAnsi="宋体" w:eastAsia="宋体" w:cs="宋体"/>
          <w:szCs w:val="21"/>
        </w:rPr>
        <w:instrText xml:space="preserve"> HYPERLINK \l _Toc8080 </w:instrText>
      </w:r>
      <w:r>
        <w:rPr>
          <w:rFonts w:hint="eastAsia" w:ascii="宋体" w:hAnsi="宋体" w:eastAsia="宋体" w:cs="宋体"/>
          <w:szCs w:val="21"/>
        </w:rPr>
        <w:fldChar w:fldCharType="separate"/>
      </w:r>
      <w:r>
        <w:rPr>
          <w:rFonts w:hint="eastAsia"/>
        </w:rPr>
        <w:t>目次</w:t>
      </w:r>
      <w:r>
        <w:tab/>
      </w:r>
      <w:r>
        <w:fldChar w:fldCharType="begin"/>
      </w:r>
      <w:r>
        <w:instrText xml:space="preserve"> PAGEREF _Toc8080 \h </w:instrText>
      </w:r>
      <w:r>
        <w:fldChar w:fldCharType="separate"/>
      </w:r>
      <w:r>
        <w:t>2</w:t>
      </w:r>
      <w:r>
        <w:fldChar w:fldCharType="end"/>
      </w:r>
      <w:r>
        <w:rPr>
          <w:rFonts w:hint="eastAsia" w:ascii="宋体" w:hAnsi="宋体" w:eastAsia="宋体" w:cs="宋体"/>
          <w:szCs w:val="21"/>
        </w:rPr>
        <w:fldChar w:fldCharType="end"/>
      </w:r>
    </w:p>
    <w:p w14:paraId="3E525C13">
      <w:pPr>
        <w:pStyle w:val="6"/>
        <w:tabs>
          <w:tab w:val="right" w:leader="dot" w:pos="9355"/>
          <w:tab w:val="clear" w:pos="9241"/>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_Toc18500 </w:instrText>
      </w:r>
      <w:r>
        <w:rPr>
          <w:rFonts w:hint="eastAsia" w:ascii="宋体" w:hAnsi="宋体" w:eastAsia="宋体" w:cs="宋体"/>
          <w:szCs w:val="21"/>
        </w:rPr>
        <w:fldChar w:fldCharType="separate"/>
      </w:r>
      <w:r>
        <w:rPr>
          <w:rFonts w:hint="eastAsia" w:ascii="宋体" w:hAnsi="宋体"/>
          <w:szCs w:val="21"/>
        </w:rPr>
        <w:t>1 编制背景</w:t>
      </w:r>
      <w:r>
        <w:tab/>
      </w:r>
      <w:r>
        <w:fldChar w:fldCharType="begin"/>
      </w:r>
      <w:r>
        <w:instrText xml:space="preserve"> PAGEREF _Toc18500 \h </w:instrText>
      </w:r>
      <w:r>
        <w:fldChar w:fldCharType="separate"/>
      </w:r>
      <w:r>
        <w:t>3</w:t>
      </w:r>
      <w:r>
        <w:fldChar w:fldCharType="end"/>
      </w:r>
      <w:r>
        <w:rPr>
          <w:rFonts w:hint="eastAsia" w:ascii="宋体" w:hAnsi="宋体" w:eastAsia="宋体" w:cs="宋体"/>
          <w:szCs w:val="21"/>
        </w:rPr>
        <w:fldChar w:fldCharType="end"/>
      </w:r>
    </w:p>
    <w:p w14:paraId="6D4A0E8D">
      <w:pPr>
        <w:pStyle w:val="6"/>
        <w:tabs>
          <w:tab w:val="right" w:leader="dot" w:pos="9355"/>
          <w:tab w:val="clear" w:pos="9241"/>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_Toc3787 </w:instrText>
      </w:r>
      <w:r>
        <w:rPr>
          <w:rFonts w:hint="eastAsia" w:ascii="宋体" w:hAnsi="宋体" w:eastAsia="宋体" w:cs="宋体"/>
          <w:szCs w:val="21"/>
        </w:rPr>
        <w:fldChar w:fldCharType="separate"/>
      </w:r>
      <w:r>
        <w:rPr>
          <w:rFonts w:hint="eastAsia" w:ascii="宋体" w:hAnsi="宋体"/>
          <w:szCs w:val="21"/>
        </w:rPr>
        <w:t>2 编制主要原则</w:t>
      </w:r>
      <w:r>
        <w:tab/>
      </w:r>
      <w:r>
        <w:fldChar w:fldCharType="begin"/>
      </w:r>
      <w:r>
        <w:instrText xml:space="preserve"> PAGEREF _Toc3787 \h </w:instrText>
      </w:r>
      <w:r>
        <w:fldChar w:fldCharType="separate"/>
      </w:r>
      <w:r>
        <w:t>3</w:t>
      </w:r>
      <w:r>
        <w:fldChar w:fldCharType="end"/>
      </w:r>
      <w:r>
        <w:rPr>
          <w:rFonts w:hint="eastAsia" w:ascii="宋体" w:hAnsi="宋体" w:eastAsia="宋体" w:cs="宋体"/>
          <w:szCs w:val="21"/>
        </w:rPr>
        <w:fldChar w:fldCharType="end"/>
      </w:r>
    </w:p>
    <w:p w14:paraId="2B6B0C0D">
      <w:pPr>
        <w:pStyle w:val="6"/>
        <w:tabs>
          <w:tab w:val="right" w:leader="dot" w:pos="9355"/>
          <w:tab w:val="clear" w:pos="9241"/>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_Toc11710 </w:instrText>
      </w:r>
      <w:r>
        <w:rPr>
          <w:rFonts w:hint="eastAsia" w:ascii="宋体" w:hAnsi="宋体" w:eastAsia="宋体" w:cs="宋体"/>
          <w:szCs w:val="21"/>
        </w:rPr>
        <w:fldChar w:fldCharType="separate"/>
      </w:r>
      <w:r>
        <w:rPr>
          <w:rFonts w:hint="eastAsia" w:ascii="宋体" w:hAnsi="宋体"/>
          <w:szCs w:val="21"/>
        </w:rPr>
        <w:t>3 主要工作过程</w:t>
      </w:r>
      <w:r>
        <w:tab/>
      </w:r>
      <w:r>
        <w:fldChar w:fldCharType="begin"/>
      </w:r>
      <w:r>
        <w:instrText xml:space="preserve"> PAGEREF _Toc11710 \h </w:instrText>
      </w:r>
      <w:r>
        <w:fldChar w:fldCharType="separate"/>
      </w:r>
      <w:r>
        <w:t>3</w:t>
      </w:r>
      <w:r>
        <w:fldChar w:fldCharType="end"/>
      </w:r>
      <w:r>
        <w:rPr>
          <w:rFonts w:hint="eastAsia" w:ascii="宋体" w:hAnsi="宋体" w:eastAsia="宋体" w:cs="宋体"/>
          <w:szCs w:val="21"/>
        </w:rPr>
        <w:fldChar w:fldCharType="end"/>
      </w:r>
    </w:p>
    <w:p w14:paraId="524AFAFF">
      <w:pPr>
        <w:pStyle w:val="6"/>
        <w:tabs>
          <w:tab w:val="right" w:leader="dot" w:pos="9355"/>
          <w:tab w:val="clear" w:pos="9241"/>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_Toc7163 </w:instrText>
      </w:r>
      <w:r>
        <w:rPr>
          <w:rFonts w:hint="eastAsia" w:ascii="宋体" w:hAnsi="宋体" w:eastAsia="宋体" w:cs="宋体"/>
          <w:szCs w:val="21"/>
        </w:rPr>
        <w:fldChar w:fldCharType="separate"/>
      </w:r>
      <w:r>
        <w:rPr>
          <w:rFonts w:hint="eastAsia" w:ascii="宋体" w:hAnsi="宋体"/>
          <w:szCs w:val="21"/>
        </w:rPr>
        <w:t>4</w:t>
      </w:r>
      <w:r>
        <w:rPr>
          <w:rFonts w:hint="eastAsia"/>
        </w:rPr>
        <w:t xml:space="preserve"> 标准结构和内容说明</w:t>
      </w:r>
      <w:r>
        <w:tab/>
      </w:r>
      <w:r>
        <w:fldChar w:fldCharType="begin"/>
      </w:r>
      <w:r>
        <w:instrText xml:space="preserve"> PAGEREF _Toc7163 \h </w:instrText>
      </w:r>
      <w:r>
        <w:fldChar w:fldCharType="separate"/>
      </w:r>
      <w:r>
        <w:t>4</w:t>
      </w:r>
      <w:r>
        <w:fldChar w:fldCharType="end"/>
      </w:r>
      <w:r>
        <w:rPr>
          <w:rFonts w:hint="eastAsia" w:ascii="宋体" w:hAnsi="宋体" w:eastAsia="宋体" w:cs="宋体"/>
          <w:szCs w:val="21"/>
        </w:rPr>
        <w:fldChar w:fldCharType="end"/>
      </w:r>
    </w:p>
    <w:p w14:paraId="68F382CF">
      <w:pPr>
        <w:pStyle w:val="6"/>
        <w:tabs>
          <w:tab w:val="right" w:leader="dot" w:pos="9355"/>
          <w:tab w:val="clear" w:pos="9241"/>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_Toc18422 </w:instrText>
      </w:r>
      <w:r>
        <w:rPr>
          <w:rFonts w:hint="eastAsia" w:ascii="宋体" w:hAnsi="宋体" w:eastAsia="宋体" w:cs="宋体"/>
          <w:szCs w:val="21"/>
        </w:rPr>
        <w:fldChar w:fldCharType="separate"/>
      </w:r>
      <w:r>
        <w:rPr>
          <w:rFonts w:hint="eastAsia" w:ascii="宋体" w:hAnsi="宋体"/>
          <w:szCs w:val="21"/>
        </w:rPr>
        <w:t>5 相关</w:t>
      </w:r>
      <w:r>
        <w:rPr>
          <w:rFonts w:hint="eastAsia"/>
        </w:rPr>
        <w:t>标准对比说明</w:t>
      </w:r>
      <w:r>
        <w:tab/>
      </w:r>
      <w:r>
        <w:fldChar w:fldCharType="begin"/>
      </w:r>
      <w:r>
        <w:instrText xml:space="preserve"> PAGEREF _Toc18422 \h </w:instrText>
      </w:r>
      <w:r>
        <w:fldChar w:fldCharType="separate"/>
      </w:r>
      <w:r>
        <w:t>5</w:t>
      </w:r>
      <w:r>
        <w:fldChar w:fldCharType="end"/>
      </w:r>
      <w:r>
        <w:rPr>
          <w:rFonts w:hint="eastAsia" w:ascii="宋体" w:hAnsi="宋体" w:eastAsia="宋体" w:cs="宋体"/>
          <w:szCs w:val="21"/>
        </w:rPr>
        <w:fldChar w:fldCharType="end"/>
      </w:r>
    </w:p>
    <w:p w14:paraId="77AD9587">
      <w:pPr>
        <w:pStyle w:val="6"/>
        <w:tabs>
          <w:tab w:val="right" w:leader="dot" w:pos="9355"/>
          <w:tab w:val="clear" w:pos="9241"/>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_Toc6180 </w:instrText>
      </w:r>
      <w:r>
        <w:rPr>
          <w:rFonts w:hint="eastAsia" w:ascii="宋体" w:hAnsi="宋体" w:eastAsia="宋体" w:cs="宋体"/>
          <w:szCs w:val="21"/>
        </w:rPr>
        <w:fldChar w:fldCharType="separate"/>
      </w:r>
      <w:r>
        <w:rPr>
          <w:rFonts w:hint="eastAsia" w:ascii="宋体" w:hAnsi="宋体"/>
          <w:szCs w:val="21"/>
        </w:rPr>
        <w:t>6标准实施措施说明</w:t>
      </w:r>
      <w:r>
        <w:tab/>
      </w:r>
      <w:r>
        <w:fldChar w:fldCharType="begin"/>
      </w:r>
      <w:r>
        <w:instrText xml:space="preserve"> PAGEREF _Toc6180 \h </w:instrText>
      </w:r>
      <w:r>
        <w:fldChar w:fldCharType="separate"/>
      </w:r>
      <w:r>
        <w:t>6</w:t>
      </w:r>
      <w:r>
        <w:fldChar w:fldCharType="end"/>
      </w:r>
      <w:r>
        <w:rPr>
          <w:rFonts w:hint="eastAsia" w:ascii="宋体" w:hAnsi="宋体" w:eastAsia="宋体" w:cs="宋体"/>
          <w:szCs w:val="21"/>
        </w:rPr>
        <w:fldChar w:fldCharType="end"/>
      </w:r>
    </w:p>
    <w:p w14:paraId="25E9F028">
      <w:pPr>
        <w:pStyle w:val="20"/>
        <w:rPr>
          <w:rFonts w:hint="eastAsia" w:hAnsi="宋体"/>
          <w:szCs w:val="21"/>
        </w:rPr>
      </w:pPr>
      <w:r>
        <w:rPr>
          <w:rFonts w:hint="eastAsia" w:ascii="宋体" w:hAnsi="宋体" w:eastAsia="宋体" w:cs="宋体"/>
          <w:szCs w:val="21"/>
        </w:rPr>
        <w:fldChar w:fldCharType="end"/>
      </w:r>
    </w:p>
    <w:p w14:paraId="1AAF05E6">
      <w:pPr>
        <w:pStyle w:val="20"/>
        <w:rPr>
          <w:rFonts w:hint="eastAsia" w:hAnsi="宋体"/>
          <w:szCs w:val="21"/>
        </w:rPr>
      </w:pPr>
    </w:p>
    <w:p w14:paraId="47821A74">
      <w:pPr>
        <w:pStyle w:val="20"/>
        <w:rPr>
          <w:rFonts w:hint="eastAsia" w:hAnsi="宋体"/>
          <w:szCs w:val="21"/>
        </w:rPr>
      </w:pPr>
    </w:p>
    <w:p w14:paraId="653D9C12">
      <w:pPr>
        <w:pStyle w:val="20"/>
        <w:rPr>
          <w:rFonts w:hint="eastAsia" w:hAnsi="宋体"/>
          <w:szCs w:val="21"/>
        </w:rPr>
      </w:pPr>
    </w:p>
    <w:p w14:paraId="2CB4DEC0">
      <w:pPr>
        <w:pStyle w:val="20"/>
        <w:rPr>
          <w:rFonts w:hint="eastAsia" w:hAnsi="宋体"/>
          <w:szCs w:val="21"/>
        </w:rPr>
        <w:sectPr>
          <w:headerReference r:id="rId6" w:type="default"/>
          <w:footerReference r:id="rId7" w:type="default"/>
          <w:pgSz w:w="11906" w:h="16838"/>
          <w:pgMar w:top="567" w:right="1134" w:bottom="1134" w:left="1417" w:header="1418" w:footer="1134" w:gutter="0"/>
          <w:cols w:space="720" w:num="1"/>
          <w:formProt w:val="0"/>
          <w:docGrid w:type="lines" w:linePitch="312" w:charSpace="0"/>
        </w:sectPr>
      </w:pPr>
    </w:p>
    <w:p w14:paraId="1E3C9A15">
      <w:pPr>
        <w:pStyle w:val="31"/>
        <w:spacing w:before="312" w:after="312"/>
        <w:rPr>
          <w:rFonts w:hint="eastAsia" w:ascii="宋体" w:hAnsi="宋体"/>
          <w:szCs w:val="21"/>
        </w:rPr>
      </w:pPr>
      <w:bookmarkStart w:id="29" w:name="_Toc18500"/>
      <w:r>
        <w:rPr>
          <w:rFonts w:hint="eastAsia" w:ascii="宋体" w:hAnsi="宋体"/>
          <w:szCs w:val="21"/>
        </w:rPr>
        <w:t>1 编制背景</w:t>
      </w:r>
      <w:bookmarkEnd w:id="29"/>
    </w:p>
    <w:p w14:paraId="15EFD90B">
      <w:pPr>
        <w:pStyle w:val="20"/>
      </w:pPr>
      <w:r>
        <w:rPr>
          <w:rFonts w:hint="eastAsia"/>
        </w:rPr>
        <w:t>本标准是根据中国电机工程学会电机咨〔2023〕371 号文，</w:t>
      </w:r>
      <w:r>
        <w:t>“</w:t>
      </w:r>
      <w:r>
        <w:rPr>
          <w:rFonts w:hint="eastAsia"/>
        </w:rPr>
        <w:t>关于申报中国电机工程学会标准2023年第二批计划项目的通知</w:t>
      </w:r>
      <w:r>
        <w:t>”下达</w:t>
      </w:r>
      <w:r>
        <w:rPr>
          <w:rFonts w:hint="eastAsia"/>
        </w:rPr>
        <w:t>的制定</w:t>
      </w:r>
      <w:r>
        <w:t>任务</w:t>
      </w:r>
      <w:r>
        <w:rPr>
          <w:rFonts w:hint="eastAsia"/>
        </w:rPr>
        <w:t>，对“10kV 配网电力传感器工频磁场自取能技术规范”进行制定的</w:t>
      </w:r>
      <w:r>
        <w:t>。</w:t>
      </w:r>
      <w:r>
        <w:rPr>
          <w:rFonts w:hint="eastAsia"/>
        </w:rPr>
        <w:t>由中国电力科学院研究院有限公司</w:t>
      </w:r>
      <w:r>
        <w:t>负责起草。</w:t>
      </w:r>
    </w:p>
    <w:p w14:paraId="2D66446D">
      <w:pPr>
        <w:pStyle w:val="20"/>
      </w:pPr>
      <w:r>
        <w:rPr>
          <w:rFonts w:hint="eastAsia"/>
        </w:rPr>
        <w:t>配网设备规模巨大、改造频繁，随着新型电力系统的建设，分布式光伏、充电桩、柔性负荷等大量快速接入，配网运行状态多变，故障复杂度增加，迫切需要构建“可观、可测、可控”的配电网数字化全景感知体系。电流、温度、环境温湿度、水浸等作为配电网状态监测基本的物理量，其传感应用规模巨大，近年来为保障配电无线智能传感器的易部署、免维护能力，大量基于工频磁场取能的无线传感器得到应用，但是配网电力传感器工频磁场自取能技术缺少统一的技术要求与规范的测试方法，导致应用部门难以横向对比不同厂家供应的传感器性能，且无相应的性能评价标准，不利于产品选型。</w:t>
      </w:r>
    </w:p>
    <w:p w14:paraId="475BE3BC">
      <w:pPr>
        <w:pStyle w:val="20"/>
      </w:pPr>
      <w:r>
        <w:rPr>
          <w:rFonts w:hint="eastAsia"/>
        </w:rPr>
        <w:t>为此，有必要针对配电网场景，制定10kV 配网电力传感器工频磁场自取能技术规范，规范技术要求及试验方法，支撑配网数字化建设。</w:t>
      </w:r>
    </w:p>
    <w:p w14:paraId="2B3C90D8">
      <w:pPr>
        <w:pStyle w:val="31"/>
        <w:spacing w:before="312" w:after="312"/>
        <w:rPr>
          <w:rFonts w:hint="eastAsia" w:ascii="宋体" w:hAnsi="宋体"/>
          <w:szCs w:val="21"/>
        </w:rPr>
      </w:pPr>
      <w:bookmarkStart w:id="30" w:name="_Toc3787"/>
      <w:r>
        <w:rPr>
          <w:rFonts w:hint="eastAsia" w:ascii="宋体" w:hAnsi="宋体"/>
          <w:szCs w:val="21"/>
        </w:rPr>
        <w:t>2 编制主要原则</w:t>
      </w:r>
      <w:bookmarkEnd w:id="30"/>
    </w:p>
    <w:p w14:paraId="4D8D7760">
      <w:pPr>
        <w:pStyle w:val="20"/>
      </w:pPr>
      <w:r>
        <w:rPr>
          <w:rFonts w:hint="eastAsia"/>
        </w:rPr>
        <w:t>本标准的编写依据GB/T 1.1—2020《标准化工作导则  第1部分：标准化文件的结构和起草规则》的要求，在标准起草过程中参考了GB/T 8897.1-2013 原电池第1部分:总则、GB/T 8897.2-2013 原电池 第2部分:外形尺寸和电性能要求、GB/T 17626.2-2018 电磁兼容 试验和测量技术 静电放电抗扰度试验、GB/T 17626.3-2016 电磁兼容 试验和测量技术 射频电磁场辐射抗扰度试验、GB/T 17626.8-2006 电磁兼容 试验和测量技术 工频磁场抗扰度试验、GB/T 17626.9-2011 电磁兼容 试验和测量技术 脉冲磁场抗扰度试验、GB/T 16896.1-2005 高电压冲击测量仪器和软件第1部分:对仪器的要求、GB/T 4208-2017 外壳防护等级(IP代码)、GB 11463-1989 电子测量仪器可靠性试验、GB/T 2423.1-2008 电工电子产品环境试验 第2部分:试验方法 试验A：低温、GB/T 2423.2-2008 电工电子产品环境试验 第2部分:试验方法 试验B：高温、GB/T 2423.4-2008 电工电子产品环境试验 第2部分:试验方法 试验Db:交变湿热(12h+12h循环)、GB/T 11372-1989  防锈术语、GB/T 2361-1992 防锈油脂湿热试验法、SH/T 0081-1991 防锈油脂盐雾试验法、GB/T 24517-2009 金属和合金的腐蚀 户外周期喷淋暴露试验方法、SH/T 0025-1999 防锈油盐水浸渍试验法、GB/T 2423.24-2022 环境试验 第2部分:试验方法 试验S:模拟地面上的太阳辐射及太阳辐射试验和气候老化试验导则、GB/T 191-2008 包装储运图示标志、GB/T 13384-2008 机电产品包装通用技术条件、GB/T 6587.6-1986 电子测量仪器 运输试验、QJ/T 815.2-1994 产品公路运输加速模拟试验方法等标准。</w:t>
      </w:r>
    </w:p>
    <w:p w14:paraId="47296D99">
      <w:pPr>
        <w:pStyle w:val="20"/>
      </w:pPr>
      <w:r>
        <w:rPr>
          <w:rFonts w:hint="eastAsia"/>
        </w:rPr>
        <w:t>本标准规定了10kV配网电力传感器工频磁场自取能的术语、技术要求、试验项目及要求、检验规则、标志、包装、运输、储存要求等，可作为产品的研制、生产、检验和现场测试的依据。</w:t>
      </w:r>
    </w:p>
    <w:p w14:paraId="1B5E6A9D">
      <w:pPr>
        <w:pStyle w:val="31"/>
        <w:spacing w:before="312" w:after="312"/>
        <w:rPr>
          <w:rFonts w:hint="eastAsia" w:ascii="宋体" w:hAnsi="宋体"/>
          <w:szCs w:val="21"/>
        </w:rPr>
      </w:pPr>
      <w:bookmarkStart w:id="31" w:name="_Toc11710"/>
      <w:r>
        <w:rPr>
          <w:rFonts w:hint="eastAsia" w:ascii="宋体" w:hAnsi="宋体"/>
          <w:szCs w:val="21"/>
        </w:rPr>
        <w:t>3 主要工作过程</w:t>
      </w:r>
      <w:bookmarkEnd w:id="31"/>
    </w:p>
    <w:p w14:paraId="102CCF52">
      <w:pPr>
        <w:pStyle w:val="20"/>
      </w:pPr>
      <w:r>
        <w:rPr>
          <w:rFonts w:hint="eastAsia"/>
        </w:rPr>
        <w:t>本标准由中国电机工程学会智能感知专委会提出。</w:t>
      </w:r>
    </w:p>
    <w:p w14:paraId="221A3ECE">
      <w:pPr>
        <w:pStyle w:val="20"/>
      </w:pPr>
      <w:r>
        <w:rPr>
          <w:rFonts w:hint="eastAsia"/>
        </w:rPr>
        <w:t>本标准由中国电机工程学会智能感知专委会归口。</w:t>
      </w:r>
    </w:p>
    <w:p w14:paraId="63E81949">
      <w:pPr>
        <w:pStyle w:val="20"/>
      </w:pPr>
      <w:r>
        <w:rPr>
          <w:rFonts w:hint="eastAsia"/>
        </w:rPr>
        <w:t>本标准起草单位：中国电力科学院研究院有限公司，国网北京市电力公司、北京智芯微电子科技有限公司，西南交通大学。</w:t>
      </w:r>
    </w:p>
    <w:p w14:paraId="5A1EE50D">
      <w:pPr>
        <w:pStyle w:val="20"/>
      </w:pPr>
      <w:r>
        <w:rPr>
          <w:rFonts w:hint="eastAsia"/>
        </w:rPr>
        <w:t>本标准主要起草人：李春龙，高志东，黄辉，郭经红，鞠登峰，邓辉，黄莉，曾鹏飞，黄凤，孙晓艳，田文锋，杨智豪，王瑶，李勇，刘弘景，苏斓</w:t>
      </w:r>
    </w:p>
    <w:p w14:paraId="6E461443">
      <w:pPr>
        <w:pStyle w:val="20"/>
      </w:pPr>
      <w:r>
        <w:rPr>
          <w:rFonts w:hint="eastAsia"/>
        </w:rPr>
        <w:t>起草工作阶段：标准编制工作起草小组在2023年8月积极组织筹备和征集标准起草工作组的成员单位，成立了标准起草工作组。</w:t>
      </w:r>
    </w:p>
    <w:p w14:paraId="118447CD">
      <w:pPr>
        <w:pStyle w:val="20"/>
      </w:pPr>
      <w:r>
        <w:rPr>
          <w:rFonts w:hint="eastAsia"/>
        </w:rPr>
        <w:t>标准起草工作组制定了标准编制工作计划、编写大纲，明确任务分工及各阶段进度时间。同时，标准起草工作组成员认真学习了GB/T 1.1—2020《标准化工作导则  第1部分：标准化文件的结构和起草规则》，结合标准制定工作程序的各个环节，进行了探讨和研究。</w:t>
      </w:r>
    </w:p>
    <w:p w14:paraId="1AC347E3">
      <w:pPr>
        <w:pStyle w:val="20"/>
      </w:pPr>
      <w:r>
        <w:rPr>
          <w:rFonts w:hint="eastAsia"/>
        </w:rPr>
        <w:t>标准起草工作组经过技术调研、咨询，收集、消化有关资料，并结合工频磁场自供电电力传感器的研制、生产和应用经验，以及技术发展趋势，以生产及应用为主要参考依据，于2023年10月，标准起草工作组编写完成并提交了标准工作组讨论稿，经中国电机工程学会智能感知专委会评审后，标准起草工作组根据评审专家意见修改完善了标准工作组讨论稿，并于2023年11月提交至中国电机工程学会智能感知专委会归口。</w:t>
      </w:r>
    </w:p>
    <w:p w14:paraId="50A97CB9">
      <w:pPr>
        <w:pStyle w:val="20"/>
      </w:pPr>
      <w:r>
        <w:rPr>
          <w:rFonts w:hint="eastAsia"/>
        </w:rPr>
        <w:t>2023年12月，标准立项评审会成功召开，与会专家一致同意标准在中国电机工程学会智能感知专委会立项，并于当月发布标准立项通知。</w:t>
      </w:r>
    </w:p>
    <w:p w14:paraId="112293F6">
      <w:pPr>
        <w:pStyle w:val="20"/>
      </w:pPr>
      <w:r>
        <w:rPr>
          <w:rFonts w:hint="eastAsia"/>
        </w:rPr>
        <w:t>2024年3月，标准起草单位根据标准立项评审意见，迅速开展并完成了标准征询意见稿的编制工作。</w:t>
      </w:r>
    </w:p>
    <w:p w14:paraId="7692F42B">
      <w:pPr>
        <w:pStyle w:val="20"/>
      </w:pPr>
      <w:r>
        <w:rPr>
          <w:rFonts w:hint="eastAsia"/>
        </w:rPr>
        <w:t>征求意见阶段：2024年10月，通过以下方式进行了广泛征求意见：</w:t>
      </w:r>
    </w:p>
    <w:p w14:paraId="7EAE1179">
      <w:pPr>
        <w:pStyle w:val="20"/>
      </w:pPr>
      <w:r>
        <w:rPr>
          <w:rFonts w:hint="eastAsia"/>
        </w:rPr>
        <w:t>将标准征求意见稿上传至全国团体标准信息平台，向行业单位征求意见。</w:t>
      </w:r>
    </w:p>
    <w:p w14:paraId="76E158E6">
      <w:pPr>
        <w:pStyle w:val="20"/>
      </w:pPr>
      <w:r>
        <w:rPr>
          <w:rFonts w:hint="eastAsia"/>
        </w:rPr>
        <w:t>将标准征求意见稿向起草各单位或专家发出征求意见。</w:t>
      </w:r>
    </w:p>
    <w:p w14:paraId="3E1C58D4">
      <w:pPr>
        <w:pStyle w:val="31"/>
        <w:spacing w:before="312" w:after="312"/>
      </w:pPr>
      <w:bookmarkStart w:id="32" w:name="_Toc7163"/>
      <w:r>
        <w:rPr>
          <w:rFonts w:hint="eastAsia" w:ascii="宋体" w:hAnsi="宋体"/>
          <w:szCs w:val="21"/>
        </w:rPr>
        <w:t>4</w:t>
      </w:r>
      <w:r>
        <w:rPr>
          <w:rFonts w:hint="eastAsia"/>
        </w:rPr>
        <w:t xml:space="preserve"> 标准结构和内容说明</w:t>
      </w:r>
      <w:bookmarkEnd w:id="32"/>
    </w:p>
    <w:p w14:paraId="60889ECC">
      <w:pPr>
        <w:pStyle w:val="20"/>
      </w:pPr>
      <w:r>
        <w:rPr>
          <w:rFonts w:hint="eastAsia"/>
        </w:rPr>
        <w:t>本标准规定了10kV配网电力传感器工频磁场自取能的术语和定义、技术要求、试验项目及要求、检验规则、标志、包装、运输、储存要求等，可作为产品的研制、生产、检验和现场测试的依据。</w:t>
      </w:r>
    </w:p>
    <w:p w14:paraId="7440D385">
      <w:pPr>
        <w:pStyle w:val="20"/>
      </w:pPr>
      <w:r>
        <w:rPr>
          <w:rFonts w:hint="eastAsia"/>
        </w:rPr>
        <w:t>（1）术语和定义</w:t>
      </w:r>
    </w:p>
    <w:p w14:paraId="75FF863B">
      <w:pPr>
        <w:pStyle w:val="20"/>
      </w:pPr>
      <w:r>
        <w:rPr>
          <w:rFonts w:hint="eastAsia"/>
        </w:rPr>
        <w:t>该章的编制主要参考国标GB/T2362-2010中第3章的术语和定义，并在其基础上，通过试验过程中的验证和理解进行修改和整理。</w:t>
      </w:r>
    </w:p>
    <w:p w14:paraId="66CD7B72">
      <w:pPr>
        <w:pStyle w:val="20"/>
      </w:pPr>
      <w:r>
        <w:rPr>
          <w:rFonts w:hint="eastAsia"/>
        </w:rPr>
        <w:t>（2）技术要求</w:t>
      </w:r>
    </w:p>
    <w:p w14:paraId="7405A18C">
      <w:pPr>
        <w:pStyle w:val="20"/>
      </w:pPr>
      <w:r>
        <w:t>该章的技术要求主要在通常选用的</w:t>
      </w:r>
      <w:r>
        <w:rPr>
          <w:rFonts w:hint="eastAsia"/>
        </w:rPr>
        <w:t>原电池</w:t>
      </w:r>
      <w:r>
        <w:t>测试方法的基础上，提出的关键性能参数值的要求。编制了产品的技术性能参数、产品可靠性和耐久性的试验要求，其关键性的技术参数经过大量的试验认证并有相关的试验检测报告，见下表</w:t>
      </w:r>
      <w:r>
        <w:rPr>
          <w:rFonts w:hint="eastAsia"/>
        </w:rPr>
        <w:t>1</w:t>
      </w:r>
      <w:r>
        <w:t>所示。</w:t>
      </w:r>
    </w:p>
    <w:p w14:paraId="17136F99">
      <w:pPr>
        <w:pStyle w:val="20"/>
        <w:ind w:firstLine="0" w:firstLineChars="0"/>
        <w:jc w:val="center"/>
      </w:pPr>
      <w:r>
        <w:rPr>
          <w:rFonts w:hint="eastAsia"/>
        </w:rPr>
        <w:t>表1 技术参数要求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885"/>
        <w:gridCol w:w="2443"/>
      </w:tblGrid>
      <w:tr w14:paraId="7021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14:paraId="5FACFE3F">
            <w:pPr>
              <w:pStyle w:val="20"/>
              <w:ind w:firstLine="0" w:firstLineChars="0"/>
              <w:jc w:val="center"/>
              <w:rPr>
                <w:szCs w:val="18"/>
              </w:rPr>
            </w:pPr>
            <w:r>
              <w:rPr>
                <w:rFonts w:hint="eastAsia"/>
                <w:szCs w:val="18"/>
              </w:rPr>
              <w:t>序号</w:t>
            </w:r>
          </w:p>
        </w:tc>
        <w:tc>
          <w:tcPr>
            <w:tcW w:w="1885" w:type="dxa"/>
            <w:vAlign w:val="center"/>
          </w:tcPr>
          <w:p w14:paraId="0AA2A389">
            <w:pPr>
              <w:pStyle w:val="20"/>
              <w:ind w:firstLine="0" w:firstLineChars="0"/>
              <w:jc w:val="center"/>
              <w:rPr>
                <w:szCs w:val="18"/>
              </w:rPr>
            </w:pPr>
            <w:r>
              <w:rPr>
                <w:rFonts w:hint="eastAsia"/>
                <w:szCs w:val="18"/>
              </w:rPr>
              <w:t>性能参数</w:t>
            </w:r>
          </w:p>
        </w:tc>
        <w:tc>
          <w:tcPr>
            <w:tcW w:w="2443" w:type="dxa"/>
            <w:vAlign w:val="center"/>
          </w:tcPr>
          <w:p w14:paraId="1C6880C9">
            <w:pPr>
              <w:pStyle w:val="20"/>
              <w:ind w:firstLine="0" w:firstLineChars="0"/>
              <w:jc w:val="center"/>
              <w:rPr>
                <w:szCs w:val="18"/>
              </w:rPr>
            </w:pPr>
            <w:r>
              <w:rPr>
                <w:rFonts w:hint="eastAsia"/>
                <w:szCs w:val="18"/>
              </w:rPr>
              <w:t>项目</w:t>
            </w:r>
          </w:p>
        </w:tc>
      </w:tr>
      <w:tr w14:paraId="4F8B1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14:paraId="498C0221">
            <w:pPr>
              <w:pStyle w:val="20"/>
              <w:ind w:firstLine="0" w:firstLineChars="0"/>
              <w:jc w:val="center"/>
              <w:rPr>
                <w:szCs w:val="18"/>
              </w:rPr>
            </w:pPr>
            <w:r>
              <w:rPr>
                <w:rFonts w:hint="eastAsia"/>
                <w:szCs w:val="18"/>
              </w:rPr>
              <w:t>1</w:t>
            </w:r>
          </w:p>
        </w:tc>
        <w:tc>
          <w:tcPr>
            <w:tcW w:w="1885" w:type="dxa"/>
            <w:vAlign w:val="center"/>
          </w:tcPr>
          <w:p w14:paraId="1B3A763F">
            <w:pPr>
              <w:pStyle w:val="20"/>
              <w:ind w:firstLine="0" w:firstLineChars="0"/>
              <w:jc w:val="center"/>
              <w:rPr>
                <w:szCs w:val="18"/>
              </w:rPr>
            </w:pPr>
            <w:r>
              <w:rPr>
                <w:rFonts w:hint="eastAsia"/>
                <w:szCs w:val="18"/>
              </w:rPr>
              <w:t>结构和外观检查</w:t>
            </w:r>
          </w:p>
        </w:tc>
        <w:tc>
          <w:tcPr>
            <w:tcW w:w="2443" w:type="dxa"/>
            <w:vAlign w:val="center"/>
          </w:tcPr>
          <w:p w14:paraId="2CD70297">
            <w:pPr>
              <w:pStyle w:val="20"/>
              <w:ind w:firstLine="0" w:firstLineChars="0"/>
              <w:jc w:val="center"/>
              <w:rPr>
                <w:szCs w:val="18"/>
              </w:rPr>
            </w:pPr>
            <w:r>
              <w:rPr>
                <w:rFonts w:hint="eastAsia"/>
                <w:szCs w:val="18"/>
              </w:rPr>
              <w:t>结构和外观检查</w:t>
            </w:r>
          </w:p>
        </w:tc>
      </w:tr>
      <w:tr w14:paraId="578E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14:paraId="269A4E91">
            <w:pPr>
              <w:pStyle w:val="20"/>
              <w:ind w:firstLine="0" w:firstLineChars="0"/>
              <w:jc w:val="center"/>
              <w:rPr>
                <w:szCs w:val="18"/>
              </w:rPr>
            </w:pPr>
            <w:r>
              <w:rPr>
                <w:rFonts w:hint="eastAsia"/>
                <w:szCs w:val="18"/>
              </w:rPr>
              <w:t>2</w:t>
            </w:r>
          </w:p>
        </w:tc>
        <w:tc>
          <w:tcPr>
            <w:tcW w:w="1885" w:type="dxa"/>
            <w:vMerge w:val="restart"/>
            <w:vAlign w:val="center"/>
          </w:tcPr>
          <w:p w14:paraId="08C4E007">
            <w:pPr>
              <w:pStyle w:val="20"/>
              <w:ind w:firstLine="0" w:firstLineChars="0"/>
              <w:jc w:val="center"/>
              <w:rPr>
                <w:szCs w:val="18"/>
              </w:rPr>
            </w:pPr>
            <w:r>
              <w:rPr>
                <w:rFonts w:hint="eastAsia"/>
                <w:szCs w:val="18"/>
              </w:rPr>
              <w:t>基本功能检查</w:t>
            </w:r>
          </w:p>
        </w:tc>
        <w:tc>
          <w:tcPr>
            <w:tcW w:w="2443" w:type="dxa"/>
            <w:vAlign w:val="center"/>
          </w:tcPr>
          <w:p w14:paraId="03D32DBC">
            <w:pPr>
              <w:pStyle w:val="20"/>
              <w:ind w:firstLine="0" w:firstLineChars="0"/>
              <w:jc w:val="center"/>
              <w:rPr>
                <w:szCs w:val="18"/>
              </w:rPr>
            </w:pPr>
            <w:r>
              <w:rPr>
                <w:rFonts w:hint="eastAsia"/>
                <w:szCs w:val="18"/>
              </w:rPr>
              <w:t>闭合型工频磁场取能功能</w:t>
            </w:r>
          </w:p>
        </w:tc>
      </w:tr>
      <w:tr w14:paraId="3CD4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14:paraId="064D13CB">
            <w:pPr>
              <w:pStyle w:val="20"/>
              <w:ind w:firstLine="0" w:firstLineChars="0"/>
              <w:jc w:val="center"/>
              <w:rPr>
                <w:szCs w:val="18"/>
              </w:rPr>
            </w:pPr>
            <w:r>
              <w:rPr>
                <w:rFonts w:hint="eastAsia"/>
                <w:szCs w:val="18"/>
              </w:rPr>
              <w:t>3</w:t>
            </w:r>
          </w:p>
        </w:tc>
        <w:tc>
          <w:tcPr>
            <w:tcW w:w="1885" w:type="dxa"/>
            <w:vMerge w:val="continue"/>
            <w:vAlign w:val="center"/>
          </w:tcPr>
          <w:p w14:paraId="55FD18CE">
            <w:pPr>
              <w:pStyle w:val="20"/>
              <w:ind w:firstLine="0" w:firstLineChars="0"/>
              <w:jc w:val="center"/>
              <w:rPr>
                <w:szCs w:val="18"/>
              </w:rPr>
            </w:pPr>
          </w:p>
        </w:tc>
        <w:tc>
          <w:tcPr>
            <w:tcW w:w="2443" w:type="dxa"/>
            <w:vAlign w:val="center"/>
          </w:tcPr>
          <w:p w14:paraId="69AD6A4E">
            <w:pPr>
              <w:pStyle w:val="20"/>
              <w:ind w:firstLine="0" w:firstLineChars="0"/>
              <w:jc w:val="center"/>
              <w:rPr>
                <w:szCs w:val="18"/>
              </w:rPr>
            </w:pPr>
            <w:r>
              <w:rPr>
                <w:rFonts w:hint="eastAsia"/>
                <w:szCs w:val="18"/>
              </w:rPr>
              <w:t>空间工频磁场取能功能</w:t>
            </w:r>
          </w:p>
        </w:tc>
      </w:tr>
      <w:tr w14:paraId="0A4E1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14:paraId="2FE39500">
            <w:pPr>
              <w:pStyle w:val="20"/>
              <w:ind w:firstLine="0" w:firstLineChars="0"/>
              <w:jc w:val="center"/>
              <w:rPr>
                <w:szCs w:val="18"/>
              </w:rPr>
            </w:pPr>
            <w:r>
              <w:rPr>
                <w:rFonts w:hint="eastAsia"/>
                <w:szCs w:val="18"/>
              </w:rPr>
              <w:t>4</w:t>
            </w:r>
          </w:p>
        </w:tc>
        <w:tc>
          <w:tcPr>
            <w:tcW w:w="1885" w:type="dxa"/>
            <w:vMerge w:val="continue"/>
            <w:vAlign w:val="center"/>
          </w:tcPr>
          <w:p w14:paraId="48D7F5BE">
            <w:pPr>
              <w:pStyle w:val="20"/>
              <w:ind w:firstLine="0" w:firstLineChars="0"/>
              <w:jc w:val="center"/>
              <w:rPr>
                <w:szCs w:val="18"/>
              </w:rPr>
            </w:pPr>
          </w:p>
        </w:tc>
        <w:tc>
          <w:tcPr>
            <w:tcW w:w="2443" w:type="dxa"/>
            <w:vAlign w:val="center"/>
          </w:tcPr>
          <w:p w14:paraId="1FFB6493">
            <w:pPr>
              <w:pStyle w:val="20"/>
              <w:ind w:firstLine="0" w:firstLineChars="0"/>
              <w:jc w:val="center"/>
              <w:rPr>
                <w:szCs w:val="18"/>
              </w:rPr>
            </w:pPr>
            <w:r>
              <w:rPr>
                <w:rFonts w:hint="eastAsia"/>
                <w:szCs w:val="18"/>
              </w:rPr>
              <w:t>应急供电功能</w:t>
            </w:r>
          </w:p>
        </w:tc>
      </w:tr>
      <w:tr w14:paraId="38EC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14:paraId="714CCC02">
            <w:pPr>
              <w:pStyle w:val="20"/>
              <w:ind w:firstLine="0" w:firstLineChars="0"/>
              <w:jc w:val="center"/>
              <w:rPr>
                <w:szCs w:val="18"/>
              </w:rPr>
            </w:pPr>
            <w:r>
              <w:rPr>
                <w:rFonts w:hint="eastAsia"/>
                <w:szCs w:val="18"/>
              </w:rPr>
              <w:t>5</w:t>
            </w:r>
          </w:p>
        </w:tc>
        <w:tc>
          <w:tcPr>
            <w:tcW w:w="1885" w:type="dxa"/>
            <w:vMerge w:val="restart"/>
            <w:vAlign w:val="center"/>
          </w:tcPr>
          <w:p w14:paraId="2A3B6423">
            <w:pPr>
              <w:pStyle w:val="20"/>
              <w:ind w:firstLine="0" w:firstLineChars="0"/>
              <w:jc w:val="center"/>
              <w:rPr>
                <w:szCs w:val="18"/>
              </w:rPr>
            </w:pPr>
            <w:r>
              <w:rPr>
                <w:rFonts w:hint="eastAsia"/>
                <w:szCs w:val="18"/>
              </w:rPr>
              <w:t>闭合型工频磁场取能性能试验</w:t>
            </w:r>
          </w:p>
        </w:tc>
        <w:tc>
          <w:tcPr>
            <w:tcW w:w="2443" w:type="dxa"/>
            <w:vAlign w:val="center"/>
          </w:tcPr>
          <w:p w14:paraId="437D4C7C">
            <w:pPr>
              <w:pStyle w:val="20"/>
              <w:ind w:firstLine="0" w:firstLineChars="0"/>
              <w:jc w:val="center"/>
              <w:rPr>
                <w:szCs w:val="18"/>
              </w:rPr>
            </w:pPr>
            <w:r>
              <w:rPr>
                <w:rFonts w:hint="eastAsia"/>
                <w:szCs w:val="18"/>
              </w:rPr>
              <w:t>冷启动性能试验</w:t>
            </w:r>
          </w:p>
        </w:tc>
      </w:tr>
      <w:tr w14:paraId="3FBDE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14:paraId="52AC9529">
            <w:pPr>
              <w:pStyle w:val="20"/>
              <w:ind w:firstLine="0" w:firstLineChars="0"/>
              <w:jc w:val="center"/>
              <w:rPr>
                <w:szCs w:val="18"/>
              </w:rPr>
            </w:pPr>
            <w:r>
              <w:rPr>
                <w:rFonts w:hint="eastAsia"/>
                <w:szCs w:val="18"/>
              </w:rPr>
              <w:t>6</w:t>
            </w:r>
          </w:p>
        </w:tc>
        <w:tc>
          <w:tcPr>
            <w:tcW w:w="1885" w:type="dxa"/>
            <w:vMerge w:val="continue"/>
            <w:vAlign w:val="center"/>
          </w:tcPr>
          <w:p w14:paraId="41E33397">
            <w:pPr>
              <w:pStyle w:val="20"/>
              <w:ind w:firstLine="0" w:firstLineChars="0"/>
              <w:jc w:val="center"/>
              <w:rPr>
                <w:szCs w:val="18"/>
              </w:rPr>
            </w:pPr>
          </w:p>
        </w:tc>
        <w:tc>
          <w:tcPr>
            <w:tcW w:w="2443" w:type="dxa"/>
            <w:vAlign w:val="center"/>
          </w:tcPr>
          <w:p w14:paraId="443EFEB3">
            <w:pPr>
              <w:pStyle w:val="20"/>
              <w:ind w:firstLine="0" w:firstLineChars="0"/>
              <w:jc w:val="center"/>
              <w:rPr>
                <w:szCs w:val="18"/>
              </w:rPr>
            </w:pPr>
            <w:r>
              <w:rPr>
                <w:rFonts w:hint="eastAsia"/>
                <w:szCs w:val="18"/>
              </w:rPr>
              <w:t>持续工作能力试验</w:t>
            </w:r>
          </w:p>
        </w:tc>
      </w:tr>
      <w:tr w14:paraId="59F0C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14:paraId="725AC001">
            <w:pPr>
              <w:pStyle w:val="20"/>
              <w:ind w:firstLine="0" w:firstLineChars="0"/>
              <w:jc w:val="center"/>
              <w:rPr>
                <w:szCs w:val="18"/>
              </w:rPr>
            </w:pPr>
            <w:r>
              <w:rPr>
                <w:rFonts w:hint="eastAsia"/>
                <w:szCs w:val="18"/>
              </w:rPr>
              <w:t>7</w:t>
            </w:r>
          </w:p>
        </w:tc>
        <w:tc>
          <w:tcPr>
            <w:tcW w:w="1885" w:type="dxa"/>
            <w:vMerge w:val="continue"/>
            <w:vAlign w:val="center"/>
          </w:tcPr>
          <w:p w14:paraId="1E84CBF8">
            <w:pPr>
              <w:pStyle w:val="20"/>
              <w:ind w:firstLine="0" w:firstLineChars="0"/>
              <w:jc w:val="center"/>
              <w:rPr>
                <w:szCs w:val="18"/>
              </w:rPr>
            </w:pPr>
          </w:p>
        </w:tc>
        <w:tc>
          <w:tcPr>
            <w:tcW w:w="2443" w:type="dxa"/>
            <w:vAlign w:val="center"/>
          </w:tcPr>
          <w:p w14:paraId="6791A842">
            <w:pPr>
              <w:pStyle w:val="20"/>
              <w:ind w:firstLine="0" w:firstLineChars="0"/>
              <w:jc w:val="center"/>
              <w:rPr>
                <w:szCs w:val="18"/>
              </w:rPr>
            </w:pPr>
            <w:r>
              <w:rPr>
                <w:rFonts w:hint="eastAsia"/>
                <w:szCs w:val="18"/>
              </w:rPr>
              <w:t>传感器工作性能试验</w:t>
            </w:r>
          </w:p>
        </w:tc>
      </w:tr>
      <w:tr w14:paraId="49B1E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14:paraId="0596CC74">
            <w:pPr>
              <w:pStyle w:val="20"/>
              <w:ind w:firstLine="0" w:firstLineChars="0"/>
              <w:jc w:val="center"/>
              <w:rPr>
                <w:szCs w:val="18"/>
              </w:rPr>
            </w:pPr>
            <w:r>
              <w:rPr>
                <w:rFonts w:hint="eastAsia"/>
                <w:szCs w:val="18"/>
              </w:rPr>
              <w:t>8</w:t>
            </w:r>
          </w:p>
        </w:tc>
        <w:tc>
          <w:tcPr>
            <w:tcW w:w="1885" w:type="dxa"/>
            <w:vMerge w:val="continue"/>
            <w:vAlign w:val="center"/>
          </w:tcPr>
          <w:p w14:paraId="052E3A16">
            <w:pPr>
              <w:pStyle w:val="20"/>
              <w:ind w:firstLine="0" w:firstLineChars="0"/>
              <w:jc w:val="center"/>
              <w:rPr>
                <w:szCs w:val="18"/>
              </w:rPr>
            </w:pPr>
          </w:p>
        </w:tc>
        <w:tc>
          <w:tcPr>
            <w:tcW w:w="2443" w:type="dxa"/>
            <w:vAlign w:val="center"/>
          </w:tcPr>
          <w:p w14:paraId="59771D75">
            <w:pPr>
              <w:pStyle w:val="20"/>
              <w:ind w:firstLine="0" w:firstLineChars="0"/>
              <w:jc w:val="center"/>
              <w:rPr>
                <w:szCs w:val="18"/>
              </w:rPr>
            </w:pPr>
            <w:r>
              <w:rPr>
                <w:rFonts w:hint="eastAsia"/>
                <w:szCs w:val="18"/>
              </w:rPr>
              <w:t>电流冲击试验</w:t>
            </w:r>
          </w:p>
        </w:tc>
      </w:tr>
      <w:tr w14:paraId="38E5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14:paraId="48C10A99">
            <w:pPr>
              <w:pStyle w:val="20"/>
              <w:ind w:firstLine="0" w:firstLineChars="0"/>
              <w:jc w:val="center"/>
              <w:rPr>
                <w:szCs w:val="18"/>
              </w:rPr>
            </w:pPr>
            <w:r>
              <w:rPr>
                <w:rFonts w:hint="eastAsia"/>
                <w:szCs w:val="18"/>
              </w:rPr>
              <w:t>9</w:t>
            </w:r>
          </w:p>
        </w:tc>
        <w:tc>
          <w:tcPr>
            <w:tcW w:w="1885" w:type="dxa"/>
            <w:vMerge w:val="restart"/>
            <w:vAlign w:val="center"/>
          </w:tcPr>
          <w:p w14:paraId="30C07363">
            <w:pPr>
              <w:pStyle w:val="20"/>
              <w:ind w:firstLine="0" w:firstLineChars="0"/>
              <w:jc w:val="center"/>
              <w:rPr>
                <w:szCs w:val="18"/>
              </w:rPr>
            </w:pPr>
            <w:r>
              <w:rPr>
                <w:rFonts w:hint="eastAsia"/>
                <w:szCs w:val="18"/>
              </w:rPr>
              <w:t>空间工频磁场取能性能试验</w:t>
            </w:r>
          </w:p>
        </w:tc>
        <w:tc>
          <w:tcPr>
            <w:tcW w:w="2443" w:type="dxa"/>
            <w:vAlign w:val="center"/>
          </w:tcPr>
          <w:p w14:paraId="621774B4">
            <w:pPr>
              <w:pStyle w:val="20"/>
              <w:ind w:firstLine="0" w:firstLineChars="0"/>
              <w:jc w:val="center"/>
              <w:rPr>
                <w:szCs w:val="18"/>
              </w:rPr>
            </w:pPr>
            <w:r>
              <w:rPr>
                <w:rFonts w:hint="eastAsia"/>
                <w:szCs w:val="18"/>
              </w:rPr>
              <w:t>冷启动性能试验</w:t>
            </w:r>
          </w:p>
        </w:tc>
      </w:tr>
      <w:tr w14:paraId="0B28E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14:paraId="46F555AD">
            <w:pPr>
              <w:pStyle w:val="20"/>
              <w:ind w:firstLine="0" w:firstLineChars="0"/>
              <w:jc w:val="center"/>
              <w:rPr>
                <w:szCs w:val="18"/>
              </w:rPr>
            </w:pPr>
            <w:r>
              <w:rPr>
                <w:rFonts w:hint="eastAsia"/>
                <w:szCs w:val="18"/>
              </w:rPr>
              <w:t>10</w:t>
            </w:r>
          </w:p>
        </w:tc>
        <w:tc>
          <w:tcPr>
            <w:tcW w:w="1885" w:type="dxa"/>
            <w:vMerge w:val="continue"/>
            <w:vAlign w:val="center"/>
          </w:tcPr>
          <w:p w14:paraId="4CE4B7F2">
            <w:pPr>
              <w:pStyle w:val="20"/>
              <w:ind w:firstLine="0" w:firstLineChars="0"/>
              <w:jc w:val="center"/>
              <w:rPr>
                <w:szCs w:val="18"/>
              </w:rPr>
            </w:pPr>
          </w:p>
        </w:tc>
        <w:tc>
          <w:tcPr>
            <w:tcW w:w="2443" w:type="dxa"/>
            <w:vAlign w:val="center"/>
          </w:tcPr>
          <w:p w14:paraId="7D71A08B">
            <w:pPr>
              <w:pStyle w:val="20"/>
              <w:ind w:firstLine="0" w:firstLineChars="0"/>
              <w:jc w:val="center"/>
              <w:rPr>
                <w:szCs w:val="18"/>
              </w:rPr>
            </w:pPr>
            <w:r>
              <w:rPr>
                <w:rFonts w:hint="eastAsia"/>
                <w:szCs w:val="18"/>
              </w:rPr>
              <w:t>持续工作能力试验</w:t>
            </w:r>
          </w:p>
        </w:tc>
      </w:tr>
      <w:tr w14:paraId="3005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14:paraId="3B65FE30">
            <w:pPr>
              <w:pStyle w:val="20"/>
              <w:ind w:firstLine="0" w:firstLineChars="0"/>
              <w:jc w:val="center"/>
              <w:rPr>
                <w:szCs w:val="18"/>
              </w:rPr>
            </w:pPr>
            <w:r>
              <w:rPr>
                <w:rFonts w:hint="eastAsia"/>
                <w:szCs w:val="18"/>
              </w:rPr>
              <w:t>11</w:t>
            </w:r>
          </w:p>
        </w:tc>
        <w:tc>
          <w:tcPr>
            <w:tcW w:w="1885" w:type="dxa"/>
            <w:vMerge w:val="continue"/>
            <w:vAlign w:val="center"/>
          </w:tcPr>
          <w:p w14:paraId="52D55433">
            <w:pPr>
              <w:pStyle w:val="20"/>
              <w:ind w:firstLine="0" w:firstLineChars="0"/>
              <w:jc w:val="center"/>
              <w:rPr>
                <w:szCs w:val="18"/>
              </w:rPr>
            </w:pPr>
          </w:p>
        </w:tc>
        <w:tc>
          <w:tcPr>
            <w:tcW w:w="2443" w:type="dxa"/>
            <w:vAlign w:val="center"/>
          </w:tcPr>
          <w:p w14:paraId="5D0BFD6B">
            <w:pPr>
              <w:pStyle w:val="20"/>
              <w:ind w:firstLine="0" w:firstLineChars="0"/>
              <w:jc w:val="center"/>
              <w:rPr>
                <w:szCs w:val="18"/>
              </w:rPr>
            </w:pPr>
            <w:r>
              <w:rPr>
                <w:rFonts w:hint="eastAsia"/>
                <w:szCs w:val="18"/>
              </w:rPr>
              <w:t>传感器工作性能试验</w:t>
            </w:r>
          </w:p>
        </w:tc>
      </w:tr>
      <w:tr w14:paraId="22C3A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14:paraId="6DFC81E4">
            <w:pPr>
              <w:pStyle w:val="20"/>
              <w:ind w:firstLine="0" w:firstLineChars="0"/>
              <w:jc w:val="center"/>
              <w:rPr>
                <w:szCs w:val="18"/>
              </w:rPr>
            </w:pPr>
            <w:r>
              <w:rPr>
                <w:rFonts w:hint="eastAsia"/>
                <w:szCs w:val="18"/>
              </w:rPr>
              <w:t>12</w:t>
            </w:r>
          </w:p>
        </w:tc>
        <w:tc>
          <w:tcPr>
            <w:tcW w:w="1885" w:type="dxa"/>
            <w:vMerge w:val="continue"/>
            <w:vAlign w:val="center"/>
          </w:tcPr>
          <w:p w14:paraId="0B100A0F">
            <w:pPr>
              <w:pStyle w:val="20"/>
              <w:ind w:firstLine="0" w:firstLineChars="0"/>
              <w:jc w:val="center"/>
              <w:rPr>
                <w:szCs w:val="18"/>
              </w:rPr>
            </w:pPr>
          </w:p>
        </w:tc>
        <w:tc>
          <w:tcPr>
            <w:tcW w:w="2443" w:type="dxa"/>
            <w:vAlign w:val="center"/>
          </w:tcPr>
          <w:p w14:paraId="015E893E">
            <w:pPr>
              <w:pStyle w:val="20"/>
              <w:ind w:firstLine="0" w:firstLineChars="0"/>
              <w:jc w:val="center"/>
              <w:rPr>
                <w:szCs w:val="18"/>
              </w:rPr>
            </w:pPr>
            <w:r>
              <w:rPr>
                <w:rFonts w:hint="eastAsia"/>
                <w:szCs w:val="18"/>
              </w:rPr>
              <w:t>磁场冲击试验</w:t>
            </w:r>
          </w:p>
        </w:tc>
      </w:tr>
      <w:tr w14:paraId="7E462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14:paraId="47F4ED03">
            <w:pPr>
              <w:pStyle w:val="20"/>
              <w:ind w:firstLine="0" w:firstLineChars="0"/>
              <w:jc w:val="center"/>
              <w:rPr>
                <w:szCs w:val="18"/>
              </w:rPr>
            </w:pPr>
            <w:r>
              <w:rPr>
                <w:rFonts w:hint="eastAsia"/>
                <w:szCs w:val="18"/>
              </w:rPr>
              <w:t>13</w:t>
            </w:r>
          </w:p>
        </w:tc>
        <w:tc>
          <w:tcPr>
            <w:tcW w:w="1885" w:type="dxa"/>
            <w:vAlign w:val="center"/>
          </w:tcPr>
          <w:p w14:paraId="1A35781A">
            <w:pPr>
              <w:pStyle w:val="20"/>
              <w:ind w:firstLine="0" w:firstLineChars="0"/>
              <w:jc w:val="center"/>
              <w:rPr>
                <w:szCs w:val="18"/>
              </w:rPr>
            </w:pPr>
            <w:r>
              <w:rPr>
                <w:rFonts w:hint="eastAsia"/>
                <w:szCs w:val="18"/>
              </w:rPr>
              <w:t>应急供电能力试验</w:t>
            </w:r>
          </w:p>
        </w:tc>
        <w:tc>
          <w:tcPr>
            <w:tcW w:w="2443" w:type="dxa"/>
            <w:vAlign w:val="center"/>
          </w:tcPr>
          <w:p w14:paraId="104D3DBD">
            <w:pPr>
              <w:pStyle w:val="20"/>
              <w:ind w:firstLine="0" w:firstLineChars="0"/>
              <w:jc w:val="center"/>
              <w:rPr>
                <w:szCs w:val="18"/>
              </w:rPr>
            </w:pPr>
            <w:r>
              <w:rPr>
                <w:rFonts w:hint="eastAsia"/>
                <w:szCs w:val="18"/>
              </w:rPr>
              <w:t>持续供电能力试验</w:t>
            </w:r>
          </w:p>
        </w:tc>
      </w:tr>
      <w:tr w14:paraId="2D76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14:paraId="64AAED79">
            <w:pPr>
              <w:pStyle w:val="20"/>
              <w:ind w:firstLine="0" w:firstLineChars="0"/>
              <w:jc w:val="center"/>
              <w:rPr>
                <w:szCs w:val="18"/>
              </w:rPr>
            </w:pPr>
            <w:r>
              <w:rPr>
                <w:rFonts w:hint="eastAsia"/>
                <w:szCs w:val="18"/>
              </w:rPr>
              <w:t>14</w:t>
            </w:r>
          </w:p>
        </w:tc>
        <w:tc>
          <w:tcPr>
            <w:tcW w:w="1885" w:type="dxa"/>
            <w:vAlign w:val="center"/>
          </w:tcPr>
          <w:p w14:paraId="0C6522E3">
            <w:pPr>
              <w:pStyle w:val="20"/>
              <w:ind w:firstLine="0" w:firstLineChars="0"/>
              <w:jc w:val="center"/>
              <w:rPr>
                <w:szCs w:val="18"/>
              </w:rPr>
            </w:pPr>
            <w:r>
              <w:rPr>
                <w:rFonts w:hint="eastAsia"/>
                <w:szCs w:val="18"/>
              </w:rPr>
              <w:t>防护等级试验</w:t>
            </w:r>
          </w:p>
        </w:tc>
        <w:tc>
          <w:tcPr>
            <w:tcW w:w="2443" w:type="dxa"/>
            <w:vAlign w:val="center"/>
          </w:tcPr>
          <w:p w14:paraId="1EF80F78">
            <w:pPr>
              <w:pStyle w:val="20"/>
              <w:ind w:firstLine="0" w:firstLineChars="0"/>
              <w:jc w:val="center"/>
              <w:rPr>
                <w:szCs w:val="18"/>
              </w:rPr>
            </w:pPr>
            <w:r>
              <w:rPr>
                <w:rFonts w:hint="eastAsia"/>
                <w:szCs w:val="18"/>
              </w:rPr>
              <w:t>防护等级试验</w:t>
            </w:r>
          </w:p>
        </w:tc>
      </w:tr>
      <w:tr w14:paraId="43D0E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14:paraId="2C94E9B5">
            <w:pPr>
              <w:pStyle w:val="20"/>
              <w:ind w:firstLine="0" w:firstLineChars="0"/>
              <w:jc w:val="center"/>
              <w:rPr>
                <w:szCs w:val="18"/>
              </w:rPr>
            </w:pPr>
            <w:r>
              <w:rPr>
                <w:rFonts w:hint="eastAsia"/>
                <w:szCs w:val="18"/>
              </w:rPr>
              <w:t>15</w:t>
            </w:r>
          </w:p>
        </w:tc>
        <w:tc>
          <w:tcPr>
            <w:tcW w:w="1885" w:type="dxa"/>
            <w:vMerge w:val="restart"/>
            <w:vAlign w:val="center"/>
          </w:tcPr>
          <w:p w14:paraId="67D6869D">
            <w:pPr>
              <w:pStyle w:val="20"/>
              <w:ind w:firstLine="0" w:firstLineChars="0"/>
              <w:jc w:val="center"/>
              <w:rPr>
                <w:szCs w:val="18"/>
              </w:rPr>
            </w:pPr>
            <w:r>
              <w:rPr>
                <w:rFonts w:hint="eastAsia"/>
                <w:szCs w:val="18"/>
              </w:rPr>
              <w:t>电磁兼容试验</w:t>
            </w:r>
          </w:p>
        </w:tc>
        <w:tc>
          <w:tcPr>
            <w:tcW w:w="2443" w:type="dxa"/>
            <w:vAlign w:val="center"/>
          </w:tcPr>
          <w:p w14:paraId="2BF72847">
            <w:pPr>
              <w:pStyle w:val="20"/>
              <w:ind w:firstLine="0" w:firstLineChars="0"/>
              <w:jc w:val="center"/>
              <w:rPr>
                <w:szCs w:val="18"/>
              </w:rPr>
            </w:pPr>
            <w:r>
              <w:rPr>
                <w:rFonts w:hint="eastAsia"/>
                <w:szCs w:val="18"/>
              </w:rPr>
              <w:t>静电放电抗扰度</w:t>
            </w:r>
          </w:p>
        </w:tc>
      </w:tr>
      <w:tr w14:paraId="5BAB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14:paraId="4128D3AF">
            <w:pPr>
              <w:pStyle w:val="20"/>
              <w:ind w:firstLine="0" w:firstLineChars="0"/>
              <w:jc w:val="center"/>
              <w:rPr>
                <w:szCs w:val="18"/>
              </w:rPr>
            </w:pPr>
            <w:r>
              <w:rPr>
                <w:rFonts w:hint="eastAsia"/>
                <w:szCs w:val="18"/>
              </w:rPr>
              <w:t>16</w:t>
            </w:r>
          </w:p>
        </w:tc>
        <w:tc>
          <w:tcPr>
            <w:tcW w:w="1885" w:type="dxa"/>
            <w:vMerge w:val="continue"/>
            <w:vAlign w:val="center"/>
          </w:tcPr>
          <w:p w14:paraId="564DBAB6">
            <w:pPr>
              <w:pStyle w:val="20"/>
              <w:ind w:firstLine="0" w:firstLineChars="0"/>
              <w:jc w:val="center"/>
              <w:rPr>
                <w:szCs w:val="18"/>
              </w:rPr>
            </w:pPr>
          </w:p>
        </w:tc>
        <w:tc>
          <w:tcPr>
            <w:tcW w:w="2443" w:type="dxa"/>
            <w:vAlign w:val="center"/>
          </w:tcPr>
          <w:p w14:paraId="7F00C5A9">
            <w:pPr>
              <w:pStyle w:val="20"/>
              <w:ind w:firstLine="0" w:firstLineChars="0"/>
              <w:jc w:val="center"/>
              <w:rPr>
                <w:szCs w:val="18"/>
              </w:rPr>
            </w:pPr>
            <w:r>
              <w:rPr>
                <w:rFonts w:hint="eastAsia"/>
                <w:szCs w:val="18"/>
              </w:rPr>
              <w:t>射频电磁场辐射抗扰度</w:t>
            </w:r>
          </w:p>
        </w:tc>
      </w:tr>
      <w:tr w14:paraId="0191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14:paraId="69E3F08E">
            <w:pPr>
              <w:pStyle w:val="20"/>
              <w:ind w:firstLine="0" w:firstLineChars="0"/>
              <w:jc w:val="center"/>
              <w:rPr>
                <w:szCs w:val="18"/>
              </w:rPr>
            </w:pPr>
            <w:r>
              <w:rPr>
                <w:rFonts w:hint="eastAsia"/>
                <w:szCs w:val="18"/>
              </w:rPr>
              <w:t>17</w:t>
            </w:r>
          </w:p>
        </w:tc>
        <w:tc>
          <w:tcPr>
            <w:tcW w:w="1885" w:type="dxa"/>
            <w:vMerge w:val="continue"/>
            <w:vAlign w:val="center"/>
          </w:tcPr>
          <w:p w14:paraId="68906295">
            <w:pPr>
              <w:pStyle w:val="20"/>
              <w:ind w:firstLine="0" w:firstLineChars="0"/>
              <w:jc w:val="center"/>
              <w:rPr>
                <w:szCs w:val="18"/>
              </w:rPr>
            </w:pPr>
          </w:p>
        </w:tc>
        <w:tc>
          <w:tcPr>
            <w:tcW w:w="2443" w:type="dxa"/>
            <w:vAlign w:val="center"/>
          </w:tcPr>
          <w:p w14:paraId="0622D6A8">
            <w:pPr>
              <w:pStyle w:val="20"/>
              <w:ind w:firstLine="0" w:firstLineChars="0"/>
              <w:jc w:val="center"/>
              <w:rPr>
                <w:szCs w:val="18"/>
              </w:rPr>
            </w:pPr>
            <w:r>
              <w:rPr>
                <w:rFonts w:hint="eastAsia"/>
                <w:szCs w:val="18"/>
              </w:rPr>
              <w:t>脉冲磁场抗扰度</w:t>
            </w:r>
          </w:p>
        </w:tc>
      </w:tr>
      <w:tr w14:paraId="68FC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14:paraId="4CB6B929">
            <w:pPr>
              <w:pStyle w:val="20"/>
              <w:ind w:firstLine="0" w:firstLineChars="0"/>
              <w:jc w:val="center"/>
              <w:rPr>
                <w:szCs w:val="18"/>
              </w:rPr>
            </w:pPr>
            <w:r>
              <w:rPr>
                <w:rFonts w:hint="eastAsia"/>
                <w:szCs w:val="18"/>
              </w:rPr>
              <w:t>18</w:t>
            </w:r>
          </w:p>
        </w:tc>
        <w:tc>
          <w:tcPr>
            <w:tcW w:w="1885" w:type="dxa"/>
            <w:vMerge w:val="continue"/>
            <w:vAlign w:val="center"/>
          </w:tcPr>
          <w:p w14:paraId="18EA4B31">
            <w:pPr>
              <w:pStyle w:val="20"/>
              <w:ind w:firstLine="0" w:firstLineChars="0"/>
              <w:jc w:val="center"/>
              <w:rPr>
                <w:szCs w:val="18"/>
              </w:rPr>
            </w:pPr>
          </w:p>
        </w:tc>
        <w:tc>
          <w:tcPr>
            <w:tcW w:w="2443" w:type="dxa"/>
            <w:vAlign w:val="center"/>
          </w:tcPr>
          <w:p w14:paraId="6F5347F4">
            <w:pPr>
              <w:pStyle w:val="20"/>
              <w:ind w:firstLine="0" w:firstLineChars="0"/>
              <w:jc w:val="center"/>
              <w:rPr>
                <w:szCs w:val="18"/>
              </w:rPr>
            </w:pPr>
            <w:r>
              <w:rPr>
                <w:rFonts w:hint="eastAsia"/>
                <w:szCs w:val="18"/>
              </w:rPr>
              <w:t>工频磁场抗扰度</w:t>
            </w:r>
          </w:p>
        </w:tc>
      </w:tr>
      <w:tr w14:paraId="5A30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14:paraId="2F827716">
            <w:pPr>
              <w:pStyle w:val="20"/>
              <w:ind w:firstLine="0" w:firstLineChars="0"/>
              <w:jc w:val="center"/>
              <w:rPr>
                <w:szCs w:val="18"/>
              </w:rPr>
            </w:pPr>
            <w:r>
              <w:rPr>
                <w:rFonts w:hint="eastAsia"/>
                <w:szCs w:val="18"/>
              </w:rPr>
              <w:t>19</w:t>
            </w:r>
          </w:p>
        </w:tc>
        <w:tc>
          <w:tcPr>
            <w:tcW w:w="1885" w:type="dxa"/>
            <w:vMerge w:val="restart"/>
            <w:vAlign w:val="center"/>
          </w:tcPr>
          <w:p w14:paraId="3B1F5093">
            <w:pPr>
              <w:pStyle w:val="20"/>
              <w:ind w:firstLine="0" w:firstLineChars="0"/>
              <w:jc w:val="center"/>
              <w:rPr>
                <w:szCs w:val="18"/>
              </w:rPr>
            </w:pPr>
            <w:r>
              <w:rPr>
                <w:rFonts w:hint="eastAsia"/>
                <w:szCs w:val="18"/>
              </w:rPr>
              <w:t>环境试验</w:t>
            </w:r>
          </w:p>
        </w:tc>
        <w:tc>
          <w:tcPr>
            <w:tcW w:w="2443" w:type="dxa"/>
            <w:vAlign w:val="center"/>
          </w:tcPr>
          <w:p w14:paraId="3B62D91D">
            <w:pPr>
              <w:pStyle w:val="20"/>
              <w:ind w:firstLine="0" w:firstLineChars="0"/>
              <w:jc w:val="center"/>
              <w:rPr>
                <w:szCs w:val="18"/>
              </w:rPr>
            </w:pPr>
            <w:r>
              <w:rPr>
                <w:rFonts w:hint="eastAsia"/>
                <w:szCs w:val="18"/>
              </w:rPr>
              <w:t>高温试验</w:t>
            </w:r>
          </w:p>
        </w:tc>
      </w:tr>
      <w:tr w14:paraId="26A2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14:paraId="014F8BC4">
            <w:pPr>
              <w:pStyle w:val="20"/>
              <w:ind w:firstLine="0" w:firstLineChars="0"/>
              <w:jc w:val="center"/>
              <w:rPr>
                <w:szCs w:val="18"/>
              </w:rPr>
            </w:pPr>
            <w:r>
              <w:rPr>
                <w:rFonts w:hint="eastAsia"/>
                <w:szCs w:val="18"/>
              </w:rPr>
              <w:t>20</w:t>
            </w:r>
          </w:p>
        </w:tc>
        <w:tc>
          <w:tcPr>
            <w:tcW w:w="1885" w:type="dxa"/>
            <w:vMerge w:val="continue"/>
            <w:vAlign w:val="center"/>
          </w:tcPr>
          <w:p w14:paraId="63B18085">
            <w:pPr>
              <w:pStyle w:val="20"/>
              <w:ind w:firstLine="0" w:firstLineChars="0"/>
              <w:jc w:val="center"/>
              <w:rPr>
                <w:szCs w:val="18"/>
              </w:rPr>
            </w:pPr>
          </w:p>
        </w:tc>
        <w:tc>
          <w:tcPr>
            <w:tcW w:w="2443" w:type="dxa"/>
            <w:vAlign w:val="center"/>
          </w:tcPr>
          <w:p w14:paraId="2B9C4F80">
            <w:pPr>
              <w:pStyle w:val="20"/>
              <w:ind w:firstLine="0" w:firstLineChars="0"/>
              <w:jc w:val="center"/>
              <w:rPr>
                <w:szCs w:val="18"/>
              </w:rPr>
            </w:pPr>
            <w:r>
              <w:rPr>
                <w:rFonts w:hint="eastAsia"/>
                <w:szCs w:val="18"/>
              </w:rPr>
              <w:t>低温试验</w:t>
            </w:r>
          </w:p>
        </w:tc>
      </w:tr>
      <w:tr w14:paraId="627E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14:paraId="4B5311C7">
            <w:pPr>
              <w:pStyle w:val="20"/>
              <w:ind w:firstLine="0" w:firstLineChars="0"/>
              <w:jc w:val="center"/>
              <w:rPr>
                <w:szCs w:val="18"/>
              </w:rPr>
            </w:pPr>
            <w:r>
              <w:rPr>
                <w:rFonts w:hint="eastAsia"/>
                <w:szCs w:val="18"/>
              </w:rPr>
              <w:t>21</w:t>
            </w:r>
          </w:p>
        </w:tc>
        <w:tc>
          <w:tcPr>
            <w:tcW w:w="1885" w:type="dxa"/>
            <w:vMerge w:val="continue"/>
            <w:vAlign w:val="center"/>
          </w:tcPr>
          <w:p w14:paraId="4CDDE186">
            <w:pPr>
              <w:pStyle w:val="20"/>
              <w:ind w:firstLine="0" w:firstLineChars="0"/>
              <w:jc w:val="center"/>
              <w:rPr>
                <w:szCs w:val="18"/>
              </w:rPr>
            </w:pPr>
          </w:p>
        </w:tc>
        <w:tc>
          <w:tcPr>
            <w:tcW w:w="2443" w:type="dxa"/>
            <w:vAlign w:val="center"/>
          </w:tcPr>
          <w:p w14:paraId="7721B089">
            <w:pPr>
              <w:pStyle w:val="20"/>
              <w:ind w:firstLine="0" w:firstLineChars="0"/>
              <w:jc w:val="center"/>
              <w:rPr>
                <w:szCs w:val="18"/>
              </w:rPr>
            </w:pPr>
            <w:r>
              <w:rPr>
                <w:rFonts w:hint="eastAsia"/>
                <w:szCs w:val="18"/>
              </w:rPr>
              <w:t>交变湿热性能试验</w:t>
            </w:r>
          </w:p>
        </w:tc>
      </w:tr>
      <w:tr w14:paraId="30F3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14:paraId="288E200D">
            <w:pPr>
              <w:pStyle w:val="20"/>
              <w:ind w:firstLine="0" w:firstLineChars="0"/>
              <w:jc w:val="center"/>
              <w:rPr>
                <w:szCs w:val="18"/>
              </w:rPr>
            </w:pPr>
            <w:r>
              <w:rPr>
                <w:rFonts w:hint="eastAsia"/>
                <w:szCs w:val="18"/>
              </w:rPr>
              <w:t>22</w:t>
            </w:r>
          </w:p>
        </w:tc>
        <w:tc>
          <w:tcPr>
            <w:tcW w:w="1885" w:type="dxa"/>
            <w:vMerge w:val="continue"/>
            <w:vAlign w:val="center"/>
          </w:tcPr>
          <w:p w14:paraId="6F705AA7">
            <w:pPr>
              <w:pStyle w:val="20"/>
              <w:ind w:firstLine="0" w:firstLineChars="0"/>
              <w:jc w:val="center"/>
              <w:rPr>
                <w:szCs w:val="18"/>
              </w:rPr>
            </w:pPr>
          </w:p>
        </w:tc>
        <w:tc>
          <w:tcPr>
            <w:tcW w:w="2443" w:type="dxa"/>
            <w:vAlign w:val="center"/>
          </w:tcPr>
          <w:p w14:paraId="4452A0E5">
            <w:pPr>
              <w:pStyle w:val="20"/>
              <w:ind w:firstLine="0" w:firstLineChars="0"/>
              <w:jc w:val="center"/>
              <w:rPr>
                <w:szCs w:val="18"/>
              </w:rPr>
            </w:pPr>
            <w:r>
              <w:rPr>
                <w:rFonts w:hint="eastAsia"/>
                <w:szCs w:val="18"/>
              </w:rPr>
              <w:t>防锈试验</w:t>
            </w:r>
          </w:p>
        </w:tc>
      </w:tr>
      <w:tr w14:paraId="2B16F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14:paraId="7EA3D9D2">
            <w:pPr>
              <w:pStyle w:val="20"/>
              <w:ind w:firstLine="0" w:firstLineChars="0"/>
              <w:jc w:val="center"/>
              <w:rPr>
                <w:szCs w:val="18"/>
              </w:rPr>
            </w:pPr>
            <w:r>
              <w:rPr>
                <w:rFonts w:hint="eastAsia"/>
                <w:szCs w:val="18"/>
              </w:rPr>
              <w:t>23</w:t>
            </w:r>
          </w:p>
        </w:tc>
        <w:tc>
          <w:tcPr>
            <w:tcW w:w="1885" w:type="dxa"/>
            <w:vAlign w:val="center"/>
          </w:tcPr>
          <w:p w14:paraId="6EE838F5">
            <w:pPr>
              <w:pStyle w:val="20"/>
              <w:ind w:firstLine="0" w:firstLineChars="0"/>
              <w:jc w:val="center"/>
              <w:rPr>
                <w:szCs w:val="18"/>
              </w:rPr>
            </w:pPr>
            <w:r>
              <w:rPr>
                <w:rFonts w:hint="eastAsia"/>
                <w:szCs w:val="18"/>
              </w:rPr>
              <w:t>可靠性试验</w:t>
            </w:r>
          </w:p>
        </w:tc>
        <w:tc>
          <w:tcPr>
            <w:tcW w:w="2443" w:type="dxa"/>
            <w:vAlign w:val="center"/>
          </w:tcPr>
          <w:p w14:paraId="5DDE0FF4">
            <w:pPr>
              <w:pStyle w:val="20"/>
              <w:ind w:firstLine="0" w:firstLineChars="0"/>
              <w:jc w:val="center"/>
              <w:rPr>
                <w:szCs w:val="18"/>
              </w:rPr>
            </w:pPr>
            <w:r>
              <w:rPr>
                <w:rFonts w:hint="eastAsia"/>
                <w:szCs w:val="18"/>
              </w:rPr>
              <w:t>可靠性试验</w:t>
            </w:r>
          </w:p>
        </w:tc>
      </w:tr>
    </w:tbl>
    <w:p w14:paraId="2AB6A144">
      <w:pPr>
        <w:pStyle w:val="20"/>
      </w:pPr>
    </w:p>
    <w:p w14:paraId="3B557B8E">
      <w:pPr>
        <w:pStyle w:val="20"/>
      </w:pPr>
      <w:r>
        <w:rPr>
          <w:rFonts w:hint="eastAsia"/>
        </w:rPr>
        <w:t>（3）试验项目及要求</w:t>
      </w:r>
    </w:p>
    <w:p w14:paraId="5971C5DC">
      <w:pPr>
        <w:pStyle w:val="20"/>
      </w:pPr>
      <w:r>
        <w:t>该章的试验方法主要根据目前大部分</w:t>
      </w:r>
      <w:r>
        <w:rPr>
          <w:rFonts w:hint="eastAsia"/>
        </w:rPr>
        <w:t>原电池及电工电子产品</w:t>
      </w:r>
      <w:r>
        <w:t>制造商所选用的通用技术方案，以及来自</w:t>
      </w:r>
      <w:r>
        <w:rPr>
          <w:rFonts w:hint="eastAsia"/>
        </w:rPr>
        <w:t>电网公司、产业单位与相关企业等的</w:t>
      </w:r>
      <w:r>
        <w:t>客户技术资料为依据而制定。包括有结构和外观</w:t>
      </w:r>
      <w:r>
        <w:rPr>
          <w:rFonts w:hint="eastAsia"/>
        </w:rPr>
        <w:t>、基本功能、闭合型工频磁场取能性能、空间工频磁场取能性能、应急供电能力、防护等级、电磁兼容、环境及可靠性</w:t>
      </w:r>
      <w:r>
        <w:t>试验。</w:t>
      </w:r>
    </w:p>
    <w:p w14:paraId="7CC06980">
      <w:pPr>
        <w:pStyle w:val="20"/>
      </w:pPr>
      <w:r>
        <w:rPr>
          <w:rFonts w:hint="eastAsia"/>
        </w:rPr>
        <w:t>（4）检验规则</w:t>
      </w:r>
    </w:p>
    <w:p w14:paraId="7C9C58DE">
      <w:pPr>
        <w:pStyle w:val="20"/>
      </w:pPr>
      <w:r>
        <w:t>该章主要分为出厂检验</w:t>
      </w:r>
      <w:r>
        <w:rPr>
          <w:rFonts w:hint="eastAsia"/>
        </w:rPr>
        <w:t>、</w:t>
      </w:r>
      <w:r>
        <w:t>型式检验</w:t>
      </w:r>
      <w:r>
        <w:rPr>
          <w:rFonts w:hint="eastAsia"/>
        </w:rPr>
        <w:t>、抽样检测、入网检测、现场检测、特殊检验六</w:t>
      </w:r>
      <w:r>
        <w:t>部分。主要参照以下标准制定，检验项目、批和组数由供应商根据客户的需求确定。</w:t>
      </w:r>
    </w:p>
    <w:p w14:paraId="150A4924">
      <w:pPr>
        <w:pStyle w:val="20"/>
      </w:pPr>
      <w:r>
        <w:rPr>
          <w:rFonts w:hint="eastAsia"/>
        </w:rPr>
        <w:t>GB/T 2828.1-2003计数抽样检验程序第1部分：按接收质量限(AQL)检索的逐批检验抽样计划</w:t>
      </w:r>
    </w:p>
    <w:p w14:paraId="46A4B3BC">
      <w:pPr>
        <w:pStyle w:val="20"/>
      </w:pPr>
      <w:r>
        <w:rPr>
          <w:rFonts w:hint="eastAsia"/>
        </w:rPr>
        <w:t>GB/T 2829-2002周期检验计数抽样程序及表(适用于对过程稳定性的检验)</w:t>
      </w:r>
    </w:p>
    <w:p w14:paraId="378FFBFA">
      <w:pPr>
        <w:pStyle w:val="20"/>
      </w:pPr>
      <w:r>
        <w:rPr>
          <w:rFonts w:hint="eastAsia"/>
        </w:rPr>
        <w:t>（5）标志、包装、运输、储存要求</w:t>
      </w:r>
    </w:p>
    <w:p w14:paraId="29C28701">
      <w:pPr>
        <w:pStyle w:val="20"/>
      </w:pPr>
      <w:r>
        <w:t>该章主要分为</w:t>
      </w:r>
      <w:r>
        <w:rPr>
          <w:rFonts w:hint="eastAsia"/>
        </w:rPr>
        <w:t>标志、包装、运输、储存四</w:t>
      </w:r>
      <w:r>
        <w:t>部分</w:t>
      </w:r>
      <w:r>
        <w:rPr>
          <w:rFonts w:hint="eastAsia"/>
        </w:rPr>
        <w:t>，主要参照以下标准制定。</w:t>
      </w:r>
    </w:p>
    <w:p w14:paraId="26C1FB65">
      <w:pPr>
        <w:pStyle w:val="20"/>
      </w:pPr>
      <w:r>
        <w:rPr>
          <w:rFonts w:hint="eastAsia"/>
        </w:rPr>
        <w:t>GB/T 191-2008  包装储运图示标志</w:t>
      </w:r>
    </w:p>
    <w:p w14:paraId="7AD616D9">
      <w:pPr>
        <w:pStyle w:val="20"/>
      </w:pPr>
      <w:r>
        <w:rPr>
          <w:rFonts w:hint="eastAsia"/>
        </w:rPr>
        <w:t xml:space="preserve">GB/T 13384  </w:t>
      </w:r>
      <w:r>
        <w:t>机电产品包装通用技术条件</w:t>
      </w:r>
    </w:p>
    <w:p w14:paraId="023775C7">
      <w:pPr>
        <w:pStyle w:val="20"/>
      </w:pPr>
      <w:r>
        <w:rPr>
          <w:rFonts w:hint="eastAsia"/>
        </w:rPr>
        <w:t>GB/T 6587.6—1986 电子测量仪器 运输试验</w:t>
      </w:r>
    </w:p>
    <w:p w14:paraId="24ADF8FC">
      <w:pPr>
        <w:pStyle w:val="20"/>
      </w:pPr>
      <w:r>
        <w:rPr>
          <w:rFonts w:hint="eastAsia"/>
        </w:rPr>
        <w:t>QJ/T 815.2－1994 产品公路运输加速模拟试验方法</w:t>
      </w:r>
    </w:p>
    <w:p w14:paraId="41359D09">
      <w:pPr>
        <w:pStyle w:val="31"/>
        <w:spacing w:before="312" w:after="312"/>
      </w:pPr>
      <w:bookmarkStart w:id="33" w:name="_Toc18422"/>
      <w:r>
        <w:rPr>
          <w:rFonts w:hint="eastAsia" w:ascii="宋体" w:hAnsi="宋体"/>
          <w:szCs w:val="21"/>
        </w:rPr>
        <w:t>5 相关</w:t>
      </w:r>
      <w:r>
        <w:rPr>
          <w:rFonts w:hint="eastAsia"/>
        </w:rPr>
        <w:t>标准对比说明</w:t>
      </w:r>
      <w:bookmarkEnd w:id="33"/>
    </w:p>
    <w:p w14:paraId="40D649AC">
      <w:pPr>
        <w:pStyle w:val="20"/>
      </w:pPr>
      <w:r>
        <w:rPr>
          <w:rFonts w:hint="eastAsia"/>
        </w:rPr>
        <w:t>在智能传感器方面，国际上美国国家标准与技术研究院(NIST)和美国电气与电子工程师协会(IEEE)仪器与测量协会的传感技术委员会联合组织了智能传感器通用接口问题和相关标准的制定，国内发布了国家标准《智能传感器》(GB/T 33905),上述标准规定了传统智能传感器通用接口的技术要求，但未考虑到自供电传感器因供电方式改变，而导致其在通信接口规范、可靠性设计方法、试验一般准则与要求、通用试验程序和注意事项等方面，相对于传统智能传感器具有更多、更高的要求。</w:t>
      </w:r>
    </w:p>
    <w:p w14:paraId="77D5186F">
      <w:pPr>
        <w:pStyle w:val="20"/>
      </w:pPr>
      <w:r>
        <w:rPr>
          <w:rFonts w:hint="eastAsia"/>
        </w:rPr>
        <w:t>在能量收集方面，国际电工委员会(IEC)发布了关于振动能量收集、温差能量收集和微能量管理相关标准，规定了能量收集和能量管理性能的输入、输出电气性能测试方法，但未考虑到工频磁场能量收集、以及能量收集与传感器一体化的自供电传感器功能及运行性能测试相关内容。</w:t>
      </w:r>
    </w:p>
    <w:p w14:paraId="45174911">
      <w:pPr>
        <w:pStyle w:val="31"/>
        <w:spacing w:before="312" w:after="312"/>
        <w:rPr>
          <w:rFonts w:hint="eastAsia" w:ascii="宋体" w:hAnsi="宋体"/>
          <w:szCs w:val="21"/>
        </w:rPr>
      </w:pPr>
      <w:bookmarkStart w:id="34" w:name="_Toc6180"/>
      <w:r>
        <w:rPr>
          <w:rFonts w:hint="eastAsia" w:ascii="宋体" w:hAnsi="宋体"/>
          <w:szCs w:val="21"/>
        </w:rPr>
        <w:t>6标准实施措施说明</w:t>
      </w:r>
      <w:bookmarkEnd w:id="34"/>
    </w:p>
    <w:p w14:paraId="051D7695">
      <w:pPr>
        <w:pStyle w:val="20"/>
        <w:rPr>
          <w:rFonts w:hint="eastAsia"/>
          <w:lang w:val="en-US" w:eastAsia="zh-CN"/>
        </w:rPr>
      </w:pPr>
      <w:r>
        <w:rPr>
          <w:rFonts w:hint="eastAsia"/>
        </w:rPr>
        <w:t>建议作为推荐性团体标准，并加强标准的宣传实施，以促进配网电力传感器工频磁场自取能技术建立统一的技术要求与规范的测试方法，形成相应的性能评价标准，支撑配网数字化</w:t>
      </w:r>
      <w:r>
        <w:rPr>
          <w:rFonts w:hint="eastAsia"/>
          <w:lang w:val="en-US" w:eastAsia="zh-CN"/>
        </w:rPr>
        <w:t>建设。</w:t>
      </w: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公文小标宋简">
    <w:altName w:val="微软雅黑"/>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A5CAF">
    <w:pPr>
      <w:pStyle w:val="37"/>
      <w:jc w:val="center"/>
    </w:pPr>
    <w:r>
      <w:rPr>
        <w:kern w:val="2"/>
      </w:rPr>
      <w:fldChar w:fldCharType="begin"/>
    </w:r>
    <w:r>
      <w:rPr>
        <w:rStyle w:val="12"/>
      </w:rPr>
      <w:instrText xml:space="preserve"> PAGE </w:instrText>
    </w:r>
    <w:r>
      <w:rPr>
        <w:kern w:val="2"/>
      </w:rPr>
      <w:fldChar w:fldCharType="separate"/>
    </w:r>
    <w:r>
      <w:rPr>
        <w:rStyle w:val="12"/>
      </w:rPr>
      <w:t>26</w:t>
    </w:r>
    <w:r>
      <w:rPr>
        <w:kern w:val="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70977">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6C375E76">
                          <w:pPr>
                            <w:pStyle w:val="4"/>
                          </w:pPr>
                          <w:r>
                            <w:fldChar w:fldCharType="begin"/>
                          </w:r>
                          <w:r>
                            <w:instrText xml:space="preserve"> PAGE  \* MERGEFORMAT </w:instrText>
                          </w:r>
                          <w:r>
                            <w:fldChar w:fldCharType="separate"/>
                          </w:r>
                          <w:r>
                            <w:t>28</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Atlo8yCgIAAAIEAAAOAAAAAAAAAAEAIAAAAB8BAABk&#10;cnMvZTJvRG9jLnhtbFBLBQYAAAAABgAGAFkBAACbBQAAAAA=&#10;">
              <v:fill on="f" focussize="0,0"/>
              <v:stroke on="f"/>
              <v:imagedata o:title=""/>
              <o:lock v:ext="edit" aspectratio="f"/>
              <v:textbox inset="0mm,0mm,0mm,0mm" style="mso-fit-shape-to-text:t;">
                <w:txbxContent>
                  <w:p w14:paraId="6C375E76">
                    <w:pPr>
                      <w:pStyle w:val="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A0A13">
    <w:pPr>
      <w:pStyle w:val="37"/>
      <w:ind w:right="360" w:firstLine="360"/>
      <w:rPr>
        <w:rStyle w:val="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5F4F1DA8">
                          <w:pPr>
                            <w:pStyle w:val="4"/>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LyKrAAEAgAABQQAAA4AAAAAAAAAAQAgAAAAHgEAAGRycy9lMm9E&#10;b2MueG1sUEsFBgAAAAAGAAYAWQEAAJQFAAAAAA==&#10;">
              <v:fill on="f" focussize="0,0"/>
              <v:stroke on="f"/>
              <v:imagedata o:title=""/>
              <o:lock v:ext="edit" aspectratio="f"/>
              <v:textbox inset="0mm,0mm,0mm,0mm" style="mso-fit-shape-to-text:t;">
                <w:txbxContent>
                  <w:p w14:paraId="5F4F1DA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A50DA">
    <w:pPr>
      <w:pStyle w:val="21"/>
      <w:wordWrap w:val="0"/>
    </w:pPr>
    <w:r>
      <w:rPr>
        <w:rFonts w:hint="eastAsia"/>
      </w:rPr>
      <w:t>T</w:t>
    </w:r>
    <w:r>
      <w:t>/</w:t>
    </w:r>
    <w:r>
      <w:rPr>
        <w:rFonts w:hint="eastAsia"/>
      </w:rPr>
      <w:t>CSEE</w:t>
    </w:r>
    <w:r>
      <w:rPr>
        <w:rFonts w:hint="eastAsia" w:hAnsi="黑体"/>
      </w:rPr>
      <w:t xml:space="preserve"> XXXX-YYYY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2FECB">
    <w:pPr>
      <w:pStyle w:val="21"/>
      <w:spacing w:before="120" w:after="120"/>
      <w:jc w:val="both"/>
    </w:pPr>
    <w:r>
      <w:t>Q/</w:t>
    </w:r>
    <w:r>
      <w:rPr>
        <w:rFonts w:hint="eastAsia"/>
      </w:rPr>
      <w:t>GDW</w:t>
    </w:r>
    <w:r>
      <w:rPr>
        <w:rFonts w:hint="eastAsia" w:hAnsi="宋体"/>
      </w:rPr>
      <w:t xml:space="preserve"> </w:t>
    </w:r>
    <w:r>
      <w:rPr>
        <w:rFonts w:hint="eastAsia" w:hAnsi="黑体"/>
      </w:rPr>
      <w:t>XX-XXX</w:t>
    </w:r>
    <w:r>
      <w:rPr>
        <w:rFonts w:hAnsi="黑体"/>
      </w:rPr>
      <w:t>—</w:t>
    </w:r>
    <w:r>
      <w:rPr>
        <w:rFonts w:hint="eastAsia" w:hAnsi="黑体"/>
      </w:rPr>
      <w:t>2012-1XXXX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740E1">
    <w:pPr>
      <w:pStyle w:val="21"/>
      <w:wordWrap w:val="0"/>
      <w:spacing w:before="120"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EADDF">
    <w:pPr>
      <w:pStyle w:val="21"/>
    </w:pPr>
    <w:r>
      <w:t>T/CSEE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2"/>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19"/>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44"/>
      <w:suff w:val="nothing"/>
      <w:lvlText w:val="%1.%2.%3　"/>
      <w:lvlJc w:val="left"/>
      <w:pPr>
        <w:ind w:left="568" w:firstLine="0"/>
      </w:pPr>
      <w:rPr>
        <w:rFonts w:hint="eastAsia" w:ascii="黑体" w:hAnsi="Times New Roman" w:eastAsia="黑体"/>
        <w:b w:val="0"/>
        <w:i w:val="0"/>
        <w:sz w:val="21"/>
      </w:rPr>
    </w:lvl>
    <w:lvl w:ilvl="3" w:tentative="0">
      <w:start w:val="1"/>
      <w:numFmt w:val="decimal"/>
      <w:pStyle w:val="45"/>
      <w:suff w:val="nothing"/>
      <w:lvlText w:val="%1.%2.%3.%4　"/>
      <w:lvlJc w:val="left"/>
      <w:pPr>
        <w:ind w:left="0" w:firstLine="0"/>
      </w:pPr>
      <w:rPr>
        <w:rFonts w:hint="eastAsia" w:ascii="黑体" w:hAnsi="Times New Roman" w:eastAsia="黑体"/>
        <w:b w:val="0"/>
        <w:i w:val="0"/>
        <w:sz w:val="21"/>
      </w:rPr>
    </w:lvl>
    <w:lvl w:ilvl="4" w:tentative="0">
      <w:start w:val="1"/>
      <w:numFmt w:val="decimal"/>
      <w:pStyle w:val="46"/>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20F62E9"/>
    <w:multiLevelType w:val="multilevel"/>
    <w:tmpl w:val="520F62E9"/>
    <w:lvl w:ilvl="0" w:tentative="0">
      <w:start w:val="1"/>
      <w:numFmt w:val="decimal"/>
      <w:pStyle w:val="47"/>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3AF7EBF"/>
    <w:multiLevelType w:val="multilevel"/>
    <w:tmpl w:val="63AF7EBF"/>
    <w:lvl w:ilvl="0" w:tentative="0">
      <w:start w:val="1"/>
      <w:numFmt w:val="decimal"/>
      <w:pStyle w:val="48"/>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657D3FBC"/>
    <w:multiLevelType w:val="multilevel"/>
    <w:tmpl w:val="657D3FBC"/>
    <w:lvl w:ilvl="0" w:tentative="0">
      <w:start w:val="1"/>
      <w:numFmt w:val="upperLetter"/>
      <w:pStyle w:val="2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3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1YzdmZGMyNDVjMzk3YjM0OWU2ZGI1MmNhYWFjNWEifQ=="/>
  </w:docVars>
  <w:rsids>
    <w:rsidRoot w:val="00B04C11"/>
    <w:rsid w:val="00121587"/>
    <w:rsid w:val="001B6929"/>
    <w:rsid w:val="00232DD7"/>
    <w:rsid w:val="0023314E"/>
    <w:rsid w:val="002739AF"/>
    <w:rsid w:val="002A44C3"/>
    <w:rsid w:val="002D6D29"/>
    <w:rsid w:val="00444CAF"/>
    <w:rsid w:val="008706A2"/>
    <w:rsid w:val="00905399"/>
    <w:rsid w:val="009F4BFB"/>
    <w:rsid w:val="00A36F15"/>
    <w:rsid w:val="00A4128A"/>
    <w:rsid w:val="00AA7553"/>
    <w:rsid w:val="00B04C11"/>
    <w:rsid w:val="00F9702B"/>
    <w:rsid w:val="07AD5B25"/>
    <w:rsid w:val="0B2B4CE0"/>
    <w:rsid w:val="0E611BB8"/>
    <w:rsid w:val="20E93F65"/>
    <w:rsid w:val="2DAF6D80"/>
    <w:rsid w:val="2E7C2DA0"/>
    <w:rsid w:val="313540FB"/>
    <w:rsid w:val="31AC7601"/>
    <w:rsid w:val="361433DA"/>
    <w:rsid w:val="3B7178DA"/>
    <w:rsid w:val="3B926F4C"/>
    <w:rsid w:val="4B016A6B"/>
    <w:rsid w:val="55AE2AAB"/>
    <w:rsid w:val="67CE0D8B"/>
    <w:rsid w:val="6CE36BED"/>
    <w:rsid w:val="742E508B"/>
    <w:rsid w:val="783F4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qFormat/>
    <w:uiPriority w:val="39"/>
    <w:pPr>
      <w:tabs>
        <w:tab w:val="right" w:leader="dot" w:pos="9241"/>
      </w:tabs>
      <w:ind w:firstLine="102" w:firstLineChars="100"/>
      <w:jc w:val="left"/>
    </w:pPr>
    <w:rPr>
      <w:rFonts w:ascii="宋体"/>
      <w:szCs w:val="21"/>
    </w:rPr>
  </w:style>
  <w:style w:type="paragraph" w:styleId="4">
    <w:name w:val="footer"/>
    <w:basedOn w:val="1"/>
    <w:link w:val="15"/>
    <w:qFormat/>
    <w:uiPriority w:val="99"/>
    <w:pPr>
      <w:tabs>
        <w:tab w:val="center" w:pos="4153"/>
        <w:tab w:val="right" w:pos="8306"/>
      </w:tabs>
      <w:snapToGrid w:val="0"/>
      <w:jc w:val="left"/>
    </w:pPr>
    <w:rPr>
      <w:rFonts w:ascii="Calibri" w:hAnsi="Calibri" w:eastAsia="宋体" w:cs="Times New Roman"/>
      <w:kern w:val="0"/>
      <w:sz w:val="18"/>
      <w:szCs w:val="18"/>
    </w:rPr>
  </w:style>
  <w:style w:type="paragraph" w:styleId="5">
    <w:name w:val="header"/>
    <w:basedOn w:val="1"/>
    <w:qFormat/>
    <w:uiPriority w:val="0"/>
    <w:pPr>
      <w:snapToGrid w:val="0"/>
      <w:jc w:val="left"/>
    </w:pPr>
    <w:rPr>
      <w:sz w:val="18"/>
      <w:szCs w:val="18"/>
    </w:rPr>
  </w:style>
  <w:style w:type="paragraph" w:styleId="6">
    <w:name w:val="toc 1"/>
    <w:basedOn w:val="1"/>
    <w:next w:val="1"/>
    <w:qFormat/>
    <w:uiPriority w:val="39"/>
    <w:pPr>
      <w:tabs>
        <w:tab w:val="right" w:leader="dot" w:pos="9241"/>
      </w:tabs>
      <w:spacing w:before="25" w:beforeLines="25" w:after="25" w:afterLines="25"/>
      <w:jc w:val="left"/>
    </w:pPr>
    <w:rPr>
      <w:rFonts w:ascii="宋体" w:hAnsi="Times New Roman" w:eastAsia="宋体" w:cs="Times New Roman"/>
      <w:szCs w:val="21"/>
    </w:rPr>
  </w:style>
  <w:style w:type="paragraph" w:styleId="7">
    <w:name w:val="toc 2"/>
    <w:basedOn w:val="1"/>
    <w:next w:val="1"/>
    <w:qFormat/>
    <w:uiPriority w:val="39"/>
    <w:pPr>
      <w:tabs>
        <w:tab w:val="right" w:leader="dot" w:pos="9241"/>
      </w:tabs>
    </w:pPr>
    <w:rPr>
      <w:rFonts w:ascii="宋体"/>
      <w:szCs w:val="21"/>
    </w:rPr>
  </w:style>
  <w:style w:type="paragraph" w:styleId="8">
    <w:name w:val="Title"/>
    <w:basedOn w:val="1"/>
    <w:next w:val="1"/>
    <w:link w:val="16"/>
    <w:qFormat/>
    <w:uiPriority w:val="0"/>
    <w:pPr>
      <w:spacing w:before="240" w:after="60"/>
      <w:jc w:val="center"/>
      <w:outlineLvl w:val="0"/>
    </w:pPr>
    <w:rPr>
      <w:rFonts w:ascii="Cambria" w:hAnsi="Cambria" w:eastAsia="宋体" w:cs="Times New Roman"/>
      <w:b/>
      <w:bCs/>
      <w:sz w:val="32"/>
      <w:szCs w:val="32"/>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rPr>
      <w:rFonts w:ascii="Times New Roman" w:hAnsi="Times New Roman" w:eastAsia="宋体"/>
      <w:sz w:val="18"/>
    </w:rPr>
  </w:style>
  <w:style w:type="character" w:styleId="13">
    <w:name w:val="Emphasis"/>
    <w:basedOn w:val="11"/>
    <w:qFormat/>
    <w:uiPriority w:val="20"/>
    <w:rPr>
      <w:i/>
    </w:rPr>
  </w:style>
  <w:style w:type="character" w:styleId="14">
    <w:name w:val="Hyperlink"/>
    <w:qFormat/>
    <w:uiPriority w:val="99"/>
    <w:rPr>
      <w:rFonts w:cs="Times New Roman"/>
      <w:color w:val="0563C1"/>
      <w:u w:val="single"/>
    </w:rPr>
  </w:style>
  <w:style w:type="character" w:customStyle="1" w:styleId="15">
    <w:name w:val="页脚 字符"/>
    <w:basedOn w:val="11"/>
    <w:link w:val="4"/>
    <w:qFormat/>
    <w:uiPriority w:val="99"/>
    <w:rPr>
      <w:rFonts w:ascii="Calibri" w:hAnsi="Calibri" w:eastAsia="宋体" w:cs="Times New Roman"/>
      <w:kern w:val="0"/>
      <w:sz w:val="18"/>
      <w:szCs w:val="18"/>
    </w:rPr>
  </w:style>
  <w:style w:type="character" w:customStyle="1" w:styleId="16">
    <w:name w:val="标题 字符"/>
    <w:basedOn w:val="11"/>
    <w:link w:val="8"/>
    <w:qFormat/>
    <w:uiPriority w:val="0"/>
    <w:rPr>
      <w:rFonts w:ascii="Cambria" w:hAnsi="Cambria" w:eastAsia="宋体" w:cs="Times New Roman"/>
      <w:b/>
      <w:bCs/>
      <w:sz w:val="32"/>
      <w:szCs w:val="32"/>
    </w:rPr>
  </w:style>
  <w:style w:type="paragraph" w:customStyle="1" w:styleId="17">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1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9">
    <w:name w:val="一级条标题"/>
    <w:next w:val="20"/>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2">
    <w:name w:val="章标题"/>
    <w:next w:val="20"/>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
    <w:name w:val="标准书眉一"/>
    <w:qFormat/>
    <w:uiPriority w:val="0"/>
    <w:pPr>
      <w:jc w:val="both"/>
    </w:pPr>
    <w:rPr>
      <w:rFonts w:ascii="Times New Roman" w:hAnsi="Times New Roman" w:eastAsia="宋体" w:cs="Times New Roman"/>
      <w:lang w:val="en-US" w:eastAsia="zh-CN" w:bidi="ar-SA"/>
    </w:rPr>
  </w:style>
  <w:style w:type="paragraph" w:customStyle="1" w:styleId="24">
    <w:name w:val="封面标准代替信息"/>
    <w:basedOn w:val="1"/>
    <w:qFormat/>
    <w:uiPriority w:val="0"/>
    <w:pPr>
      <w:kinsoku w:val="0"/>
      <w:overflowPunct w:val="0"/>
      <w:autoSpaceDE w:val="0"/>
      <w:autoSpaceDN w:val="0"/>
      <w:adjustRightInd w:val="0"/>
      <w:spacing w:line="360" w:lineRule="exact"/>
      <w:jc w:val="right"/>
      <w:textAlignment w:val="center"/>
    </w:pPr>
    <w:rPr>
      <w:rFonts w:ascii="黑体" w:hAnsi="黑体" w:eastAsia="黑体" w:cs="Times New Roman"/>
      <w:kern w:val="0"/>
      <w:szCs w:val="20"/>
    </w:rPr>
  </w:style>
  <w:style w:type="paragraph" w:customStyle="1" w:styleId="2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
    <w:name w:val="附录标识"/>
    <w:basedOn w:val="1"/>
    <w:next w:val="1"/>
    <w:qFormat/>
    <w:uiPriority w:val="0"/>
    <w:pPr>
      <w:keepNext/>
      <w:widowControl/>
      <w:numPr>
        <w:ilvl w:val="0"/>
        <w:numId w:val="2"/>
      </w:numPr>
      <w:shd w:val="clear" w:color="FFFFFF" w:fill="FFFFFF"/>
      <w:tabs>
        <w:tab w:val="left" w:pos="6405"/>
      </w:tabs>
      <w:spacing w:before="640" w:after="280"/>
      <w:jc w:val="center"/>
      <w:outlineLvl w:val="0"/>
    </w:pPr>
    <w:rPr>
      <w:rFonts w:ascii="黑体" w:hAnsi="Times New Roman" w:eastAsia="黑体" w:cs="Times New Roman"/>
      <w:kern w:val="0"/>
      <w:szCs w:val="20"/>
    </w:rPr>
  </w:style>
  <w:style w:type="paragraph" w:customStyle="1" w:styleId="27">
    <w:name w:val="标准书眉_偶数页"/>
    <w:basedOn w:val="21"/>
    <w:next w:val="1"/>
    <w:qFormat/>
    <w:uiPriority w:val="0"/>
    <w:pPr>
      <w:jc w:val="left"/>
    </w:pPr>
  </w:style>
  <w:style w:type="paragraph" w:customStyle="1" w:styleId="28">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9">
    <w:name w:val="实施日期"/>
    <w:basedOn w:val="30"/>
    <w:qFormat/>
    <w:uiPriority w:val="0"/>
    <w:pPr>
      <w:jc w:val="right"/>
    </w:pPr>
  </w:style>
  <w:style w:type="paragraph" w:customStyle="1" w:styleId="30">
    <w:name w:val="发布日期"/>
    <w:qFormat/>
    <w:uiPriority w:val="0"/>
    <w:rPr>
      <w:rFonts w:ascii="黑体" w:hAnsi="黑体" w:eastAsia="黑体" w:cs="Times New Roman"/>
      <w:sz w:val="28"/>
      <w:lang w:val="en-US" w:eastAsia="zh-CN" w:bidi="ar-SA"/>
    </w:rPr>
  </w:style>
  <w:style w:type="paragraph" w:customStyle="1" w:styleId="31">
    <w:name w:val="样式 标题 1 + 非加粗"/>
    <w:basedOn w:val="2"/>
    <w:qFormat/>
    <w:uiPriority w:val="0"/>
    <w:pPr>
      <w:spacing w:before="100" w:beforeLines="100" w:after="100" w:afterLines="100" w:line="240" w:lineRule="auto"/>
    </w:pPr>
    <w:rPr>
      <w:rFonts w:ascii="Times New Roman" w:hAnsi="Times New Roman" w:eastAsia="黑体" w:cs="Times New Roman"/>
      <w:b w:val="0"/>
      <w:bCs w:val="0"/>
      <w:sz w:val="21"/>
    </w:rPr>
  </w:style>
  <w:style w:type="paragraph" w:customStyle="1" w:styleId="32">
    <w:name w:val="目次、标准名称标题"/>
    <w:basedOn w:val="1"/>
    <w:next w:val="20"/>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33">
    <w:name w:val="发布TB"/>
    <w:basedOn w:val="1"/>
    <w:qFormat/>
    <w:uiPriority w:val="0"/>
    <w:pPr>
      <w:spacing w:line="280" w:lineRule="exact"/>
      <w:ind w:left="567"/>
    </w:pPr>
    <w:rPr>
      <w:rFonts w:ascii="黑体" w:hAnsi="Times New Roman" w:eastAsia="黑体" w:cs="Times New Roman"/>
      <w:kern w:val="3"/>
      <w:sz w:val="28"/>
      <w:szCs w:val="20"/>
    </w:rPr>
  </w:style>
  <w:style w:type="paragraph" w:styleId="34">
    <w:name w:val="List Paragraph"/>
    <w:basedOn w:val="1"/>
    <w:qFormat/>
    <w:uiPriority w:val="34"/>
    <w:pPr>
      <w:ind w:firstLine="420" w:firstLineChars="200"/>
    </w:pPr>
    <w:rPr>
      <w:rFonts w:ascii="Calibri" w:hAnsi="Calibri" w:eastAsia="宋体" w:cs="Times New Roman"/>
    </w:rPr>
  </w:style>
  <w:style w:type="paragraph" w:customStyle="1" w:styleId="35">
    <w:name w:val="附录章标题"/>
    <w:next w:val="20"/>
    <w:qFormat/>
    <w:uiPriority w:val="0"/>
    <w:pPr>
      <w:numPr>
        <w:ilvl w:val="1"/>
        <w:numId w:val="2"/>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36">
    <w:name w:val="发布部门TB"/>
    <w:basedOn w:val="1"/>
    <w:qFormat/>
    <w:uiPriority w:val="0"/>
    <w:pPr>
      <w:widowControl/>
      <w:spacing w:line="360" w:lineRule="exact"/>
      <w:jc w:val="center"/>
    </w:pPr>
    <w:rPr>
      <w:rFonts w:ascii="黑体" w:hAnsi="黑体" w:eastAsia="黑体" w:cs="Times New Roman"/>
      <w:spacing w:val="20"/>
      <w:w w:val="135"/>
      <w:kern w:val="0"/>
      <w:sz w:val="36"/>
      <w:szCs w:val="20"/>
    </w:rPr>
  </w:style>
  <w:style w:type="paragraph" w:customStyle="1" w:styleId="3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39">
    <w:name w:val="ICS"/>
    <w:basedOn w:val="1"/>
    <w:qFormat/>
    <w:uiPriority w:val="0"/>
    <w:pPr>
      <w:widowControl/>
      <w:jc w:val="left"/>
    </w:pPr>
    <w:rPr>
      <w:rFonts w:ascii="黑体" w:hAnsi="Times New Roman" w:eastAsia="黑体" w:cs="Times New Roman"/>
      <w:kern w:val="0"/>
      <w:szCs w:val="20"/>
    </w:rPr>
  </w:style>
  <w:style w:type="character" w:customStyle="1" w:styleId="40">
    <w:name w:val="标题 1 字符"/>
    <w:basedOn w:val="11"/>
    <w:link w:val="2"/>
    <w:qFormat/>
    <w:uiPriority w:val="9"/>
    <w:rPr>
      <w:b/>
      <w:bCs/>
      <w:kern w:val="44"/>
      <w:sz w:val="44"/>
      <w:szCs w:val="44"/>
    </w:rPr>
  </w:style>
  <w:style w:type="paragraph" w:customStyle="1" w:styleId="41">
    <w:name w:val="BodyText1I2"/>
    <w:basedOn w:val="1"/>
    <w:qFormat/>
    <w:uiPriority w:val="0"/>
    <w:pPr>
      <w:spacing w:after="120"/>
      <w:ind w:left="420" w:leftChars="200" w:firstLine="420"/>
    </w:pPr>
  </w:style>
  <w:style w:type="paragraph" w:customStyle="1" w:styleId="42">
    <w:name w:val="前言、引言标题"/>
    <w:next w:val="20"/>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3">
    <w:name w:val="标准文件_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4">
    <w:name w:val="二级条标题"/>
    <w:basedOn w:val="19"/>
    <w:next w:val="20"/>
    <w:uiPriority w:val="0"/>
    <w:pPr>
      <w:numPr>
        <w:ilvl w:val="2"/>
      </w:numPr>
      <w:spacing w:before="50" w:after="50"/>
      <w:outlineLvl w:val="3"/>
    </w:pPr>
  </w:style>
  <w:style w:type="paragraph" w:customStyle="1" w:styleId="45">
    <w:name w:val="三级条标题"/>
    <w:basedOn w:val="44"/>
    <w:next w:val="20"/>
    <w:qFormat/>
    <w:uiPriority w:val="0"/>
    <w:pPr>
      <w:numPr>
        <w:ilvl w:val="3"/>
      </w:numPr>
      <w:outlineLvl w:val="4"/>
    </w:pPr>
  </w:style>
  <w:style w:type="paragraph" w:customStyle="1" w:styleId="46">
    <w:name w:val="四级条标题"/>
    <w:basedOn w:val="45"/>
    <w:next w:val="20"/>
    <w:qFormat/>
    <w:uiPriority w:val="0"/>
    <w:pPr>
      <w:numPr>
        <w:ilvl w:val="4"/>
      </w:numPr>
      <w:outlineLvl w:val="5"/>
    </w:pPr>
  </w:style>
  <w:style w:type="paragraph" w:customStyle="1" w:styleId="47">
    <w:name w:val="正文图标题"/>
    <w:next w:val="20"/>
    <w:qFormat/>
    <w:uiPriority w:val="0"/>
    <w:pPr>
      <w:numPr>
        <w:ilvl w:val="0"/>
        <w:numId w:val="3"/>
      </w:numPr>
      <w:spacing w:beforeLines="50" w:afterLines="50"/>
      <w:jc w:val="center"/>
    </w:pPr>
    <w:rPr>
      <w:rFonts w:ascii="黑体" w:hAnsi="Times New Roman" w:eastAsia="黑体" w:cs="Times New Roman"/>
      <w:sz w:val="21"/>
      <w:lang w:val="en-US" w:eastAsia="zh-CN" w:bidi="ar-SA"/>
    </w:rPr>
  </w:style>
  <w:style w:type="paragraph" w:customStyle="1" w:styleId="48">
    <w:name w:val="正文表标题"/>
    <w:next w:val="20"/>
    <w:uiPriority w:val="0"/>
    <w:pPr>
      <w:numPr>
        <w:ilvl w:val="0"/>
        <w:numId w:val="4"/>
      </w:numPr>
      <w:spacing w:beforeLines="50" w:afterLines="5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15436</Words>
  <Characters>17579</Characters>
  <Lines>154</Lines>
  <Paragraphs>43</Paragraphs>
  <TotalTime>2</TotalTime>
  <ScaleCrop>false</ScaleCrop>
  <LinksUpToDate>false</LinksUpToDate>
  <CharactersWithSpaces>18252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2024-09-30T02:44:00Z</dcterms:created>
  <dc:creator>luna</dc:creator>
  <cp:lastModifiedBy>dong</cp:lastModifiedBy>
  <dcterms:modified xsi:type="dcterms:W3CDTF">2024-09-30T02:51:14Z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EE95A78589354388AFBA01EAE4DD077A_13</vt:lpwstr>
  </property>
</Properties>
</file>