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</w:p>
    <w:p>
      <w:pPr>
        <w:adjustRightInd w:val="0"/>
        <w:snapToGrid w:val="0"/>
        <w:spacing w:after="156" w:afterLines="50" w:line="580" w:lineRule="exact"/>
        <w:jc w:val="center"/>
        <w:rPr>
          <w:rFonts w:hint="eastAsia" w:ascii="方正小标宋简体" w:hAnsi="华文中宋" w:eastAsia="方正小标宋简体"/>
          <w:b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sz w:val="36"/>
          <w:szCs w:val="36"/>
        </w:rPr>
        <w:t>中国电机工程学会标准（202</w:t>
      </w:r>
      <w:r>
        <w:rPr>
          <w:rFonts w:hint="eastAsia" w:ascii="方正小标宋简体" w:hAnsi="华文中宋" w:eastAsia="方正小标宋简体"/>
          <w:b/>
          <w:sz w:val="36"/>
          <w:szCs w:val="36"/>
          <w:lang w:val="en-US" w:eastAsia="zh-CN"/>
        </w:rPr>
        <w:t>4</w:t>
      </w:r>
      <w:r>
        <w:rPr>
          <w:rFonts w:hint="eastAsia" w:ascii="方正小标宋简体" w:hAnsi="华文中宋" w:eastAsia="方正小标宋简体"/>
          <w:b/>
          <w:sz w:val="36"/>
          <w:szCs w:val="36"/>
        </w:rPr>
        <w:t>年</w:t>
      </w:r>
      <w:r>
        <w:rPr>
          <w:rFonts w:hint="eastAsia" w:ascii="方正小标宋简体" w:hAnsi="华文中宋" w:eastAsia="方正小标宋简体"/>
          <w:b/>
          <w:sz w:val="36"/>
          <w:szCs w:val="36"/>
          <w:lang w:val="en-US" w:eastAsia="zh-CN"/>
        </w:rPr>
        <w:t>8</w:t>
      </w:r>
      <w:r>
        <w:rPr>
          <w:rFonts w:hint="eastAsia" w:ascii="方正小标宋简体" w:hAnsi="华文中宋" w:eastAsia="方正小标宋简体"/>
          <w:b/>
          <w:sz w:val="36"/>
          <w:szCs w:val="36"/>
        </w:rPr>
        <w:t>月发布）一览表</w:t>
      </w:r>
    </w:p>
    <w:tbl>
      <w:tblPr>
        <w:tblStyle w:val="4"/>
        <w:tblW w:w="147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2286"/>
        <w:gridCol w:w="1701"/>
        <w:gridCol w:w="6804"/>
        <w:gridCol w:w="3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tblHeader/>
          <w:jc w:val="center"/>
        </w:trPr>
        <w:tc>
          <w:tcPr>
            <w:tcW w:w="66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项目编号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类别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标准名称</w:t>
            </w:r>
          </w:p>
        </w:tc>
        <w:tc>
          <w:tcPr>
            <w:tcW w:w="33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归口标准专业委员会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28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T/CSEE 0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20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—202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技术标准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气体绝缘金属封闭开关设备内窥镜检测诊断应用规范</w:t>
            </w:r>
          </w:p>
        </w:tc>
        <w:tc>
          <w:tcPr>
            <w:tcW w:w="33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测试技术及仪表专业委员会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28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T/CSEE 0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21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—202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技术标准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变压器油阀内置式特高频局部放电传感器安装技术导则</w:t>
            </w:r>
          </w:p>
        </w:tc>
        <w:tc>
          <w:tcPr>
            <w:tcW w:w="33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测试技术及仪表专业委员会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28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T/CSEE 0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22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—202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技术标准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电力变压器绕组变形频率响应法在线监测装置技术规范</w:t>
            </w:r>
          </w:p>
        </w:tc>
        <w:tc>
          <w:tcPr>
            <w:tcW w:w="33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测试技术及仪表专业委员会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28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T/CSEE 0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23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—202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技术标准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七氟异丁腈/二氧化碳（C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vertAlign w:val="subscript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F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vertAlign w:val="subscript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N/CO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）混合气体混合比检测仪技术规范</w:t>
            </w:r>
          </w:p>
        </w:tc>
        <w:tc>
          <w:tcPr>
            <w:tcW w:w="33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测试技术及仪表专业委员会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28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T/CSEE 0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24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—202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技术标准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七氟异丁腈/二氧化碳（C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vertAlign w:val="subscript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F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vertAlign w:val="subscript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N/CO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）混合气体充补气及回收处理规程</w:t>
            </w:r>
          </w:p>
        </w:tc>
        <w:tc>
          <w:tcPr>
            <w:tcW w:w="33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测试技术及仪表专业委员会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28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T/CSEE 0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25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—202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highlight w:val="none"/>
                <w:lang w:bidi="ar"/>
              </w:rPr>
              <w:t>技术标准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highlight w:val="none"/>
                <w:lang w:bidi="ar"/>
              </w:rPr>
              <w:t>氨水中无机阴阳离子含量的测定 离子色谱法</w:t>
            </w:r>
          </w:p>
        </w:tc>
        <w:tc>
          <w:tcPr>
            <w:tcW w:w="33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highlight w:val="none"/>
                <w:lang w:bidi="ar"/>
              </w:rPr>
              <w:t>电力化学专业委员会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T/CSEE 0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26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—202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技术标准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电力用油密度的测定 U型振荡管法</w:t>
            </w:r>
          </w:p>
        </w:tc>
        <w:tc>
          <w:tcPr>
            <w:tcW w:w="33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电力化学专业委员会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T/CSEE 0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27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—202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技术标准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发电厂水汽品质在线监测系统维护导则</w:t>
            </w:r>
          </w:p>
        </w:tc>
        <w:tc>
          <w:tcPr>
            <w:tcW w:w="33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电力化学专业委员会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28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T</w:t>
            </w:r>
            <w:r>
              <w:rPr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hint="eastAsia"/>
                <w:kern w:val="0"/>
                <w:sz w:val="20"/>
                <w:szCs w:val="20"/>
                <w:lang w:bidi="ar"/>
              </w:rPr>
              <w:t>CSEE</w:t>
            </w:r>
            <w:r>
              <w:rPr>
                <w:kern w:val="0"/>
                <w:sz w:val="20"/>
                <w:szCs w:val="20"/>
                <w:lang w:bidi="ar"/>
              </w:rPr>
              <w:t xml:space="preserve"> /Z</w:t>
            </w:r>
            <w:r>
              <w:rPr>
                <w:rFonts w:hint="eastAsia"/>
                <w:kern w:val="0"/>
                <w:sz w:val="20"/>
                <w:szCs w:val="20"/>
                <w:lang w:bidi="ar"/>
              </w:rPr>
              <w:t xml:space="preserve"> 0</w:t>
            </w: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428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—</w:t>
            </w:r>
            <w:r>
              <w:rPr>
                <w:rFonts w:hint="eastAsia"/>
                <w:kern w:val="0"/>
                <w:sz w:val="20"/>
                <w:szCs w:val="20"/>
                <w:lang w:bidi="ar"/>
              </w:rPr>
              <w:t>20</w:t>
            </w:r>
            <w:r>
              <w:rPr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指导性技术文件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固定式燃气轮机烟气脱硝系统技术规范 选择性催化还原法</w:t>
            </w:r>
          </w:p>
        </w:tc>
        <w:tc>
          <w:tcPr>
            <w:tcW w:w="33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电力环境保护专业委员会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28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T/CSEE 0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29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—202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技术标准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变电站厂界噪声贡献度测试方法 声成像法</w:t>
            </w:r>
          </w:p>
        </w:tc>
        <w:tc>
          <w:tcPr>
            <w:tcW w:w="33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电力环境保护专业委员会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28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T/CSEE 0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30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—202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技术标准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介质阻挡放电降解六氟化硫废气方法</w:t>
            </w:r>
          </w:p>
        </w:tc>
        <w:tc>
          <w:tcPr>
            <w:tcW w:w="33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电力环境保护专业委员会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28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T/CSEE 0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31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—202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技术标准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变电站室内巡检操作机器人检验技术规范</w:t>
            </w:r>
          </w:p>
        </w:tc>
        <w:tc>
          <w:tcPr>
            <w:tcW w:w="33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电力机器人专业委员会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28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T/CSEE 0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32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—202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highlight w:val="none"/>
                <w:lang w:bidi="ar"/>
              </w:rPr>
              <w:t>技术标准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highlight w:val="none"/>
                <w:lang w:bidi="ar"/>
              </w:rPr>
              <w:t>电力光传送网（OTN）技术要求</w:t>
            </w:r>
          </w:p>
        </w:tc>
        <w:tc>
          <w:tcPr>
            <w:tcW w:w="33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highlight w:val="none"/>
                <w:lang w:bidi="ar"/>
              </w:rPr>
              <w:t>电力通信专业委员会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28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T/CSEE 0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33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—202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highlight w:val="none"/>
                <w:lang w:bidi="ar"/>
              </w:rPr>
              <w:t>技术标准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highlight w:val="none"/>
                <w:lang w:bidi="ar"/>
              </w:rPr>
              <w:t>兼容固定熔接及活动跳接OPGW接线盒技术规范</w:t>
            </w:r>
          </w:p>
        </w:tc>
        <w:tc>
          <w:tcPr>
            <w:tcW w:w="33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highlight w:val="none"/>
                <w:lang w:bidi="ar"/>
              </w:rPr>
              <w:t>电力通信专业委员会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28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T/CSEE 0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34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—202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highlight w:val="none"/>
                <w:lang w:bidi="ar"/>
              </w:rPr>
              <w:t>技术标准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highlight w:val="none"/>
                <w:lang w:bidi="ar"/>
              </w:rPr>
              <w:t>电力通信机房设计规范</w:t>
            </w:r>
          </w:p>
        </w:tc>
        <w:tc>
          <w:tcPr>
            <w:tcW w:w="33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highlight w:val="none"/>
                <w:lang w:bidi="ar"/>
              </w:rPr>
              <w:t>电力通信专业委员会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T/CSEE 0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35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—202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highlight w:val="none"/>
                <w:lang w:bidi="ar"/>
              </w:rPr>
              <w:t>技术标准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highlight w:val="none"/>
                <w:lang w:bidi="ar"/>
              </w:rPr>
              <w:t>电力综合数据网网管系统接口技术要求</w:t>
            </w:r>
          </w:p>
        </w:tc>
        <w:tc>
          <w:tcPr>
            <w:tcW w:w="33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highlight w:val="none"/>
                <w:lang w:bidi="ar"/>
              </w:rPr>
              <w:t>电力通信专业委员会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T/CSEE 0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36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—202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highlight w:val="none"/>
                <w:lang w:bidi="ar"/>
              </w:rPr>
              <w:t>技术标准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highlight w:val="none"/>
                <w:lang w:bidi="ar"/>
              </w:rPr>
              <w:t>风电场及光伏发电站接入电力系统通信技术规范</w:t>
            </w:r>
          </w:p>
        </w:tc>
        <w:tc>
          <w:tcPr>
            <w:tcW w:w="33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highlight w:val="none"/>
                <w:lang w:bidi="ar"/>
              </w:rPr>
              <w:t>电力通信专业委员会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T/CSEE 0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37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—202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技术标准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配电自动化终端检测平台技术规范</w:t>
            </w:r>
          </w:p>
        </w:tc>
        <w:tc>
          <w:tcPr>
            <w:tcW w:w="33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电力系统自动化专业委员会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28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T/CSEE 0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38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—202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技术标准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低压智能断路器</w:t>
            </w:r>
          </w:p>
        </w:tc>
        <w:tc>
          <w:tcPr>
            <w:tcW w:w="33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电力系统自动化专业委员会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28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T</w:t>
            </w:r>
            <w:r>
              <w:rPr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hint="eastAsia"/>
                <w:kern w:val="0"/>
                <w:sz w:val="20"/>
                <w:szCs w:val="20"/>
                <w:lang w:bidi="ar"/>
              </w:rPr>
              <w:t>CSEE</w:t>
            </w:r>
            <w:r>
              <w:rPr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439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—</w:t>
            </w:r>
            <w:r>
              <w:rPr>
                <w:rFonts w:hint="eastAsia"/>
                <w:kern w:val="0"/>
                <w:sz w:val="20"/>
                <w:szCs w:val="20"/>
                <w:lang w:bidi="ar"/>
              </w:rPr>
              <w:t>20</w:t>
            </w:r>
            <w:r>
              <w:rPr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技术标准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同步发电机进相试验进相能力计算导则</w:t>
            </w:r>
          </w:p>
        </w:tc>
        <w:tc>
          <w:tcPr>
            <w:tcW w:w="33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电力系统自动化专业委员会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28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T/CSEE 0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40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—202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技术标准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电力数据共享隐私计算互联互通规范</w:t>
            </w:r>
          </w:p>
        </w:tc>
        <w:tc>
          <w:tcPr>
            <w:tcW w:w="33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电力信息化专业委员会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28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T/CSEE 0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41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—202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highlight w:val="none"/>
                <w:lang w:bidi="ar"/>
              </w:rPr>
              <w:t>技术标准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highlight w:val="none"/>
                <w:lang w:bidi="ar"/>
              </w:rPr>
              <w:t>焊接接头全矩阵数据采集/全聚焦（FMC/TFM）超声检测方法</w:t>
            </w:r>
          </w:p>
        </w:tc>
        <w:tc>
          <w:tcPr>
            <w:tcW w:w="33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highlight w:val="none"/>
                <w:lang w:bidi="ar"/>
              </w:rPr>
              <w:t>电站焊接专业委员会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28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T/CSEE 0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42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—202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技术标准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架空输电线路角钢塔焊接加固技术规范</w:t>
            </w:r>
          </w:p>
        </w:tc>
        <w:tc>
          <w:tcPr>
            <w:tcW w:w="33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电站焊接专业委员会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28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T/CSEE 0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43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—202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技术标准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海上风电机组支撑结构一体化设计技术规范</w:t>
            </w:r>
          </w:p>
        </w:tc>
        <w:tc>
          <w:tcPr>
            <w:tcW w:w="33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风力与潮汐发电专业委员会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T/CSEE 0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44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—202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技术标准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漂浮式激光雷达系统测风规范</w:t>
            </w:r>
          </w:p>
        </w:tc>
        <w:tc>
          <w:tcPr>
            <w:tcW w:w="33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风力与潮汐发电专业委员会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28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T/CSEE 0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45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—202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技术标准</w:t>
            </w:r>
          </w:p>
        </w:tc>
        <w:tc>
          <w:tcPr>
            <w:tcW w:w="68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配电网低励磁阻抗变压器接地保护装置</w:t>
            </w:r>
          </w:p>
        </w:tc>
        <w:tc>
          <w:tcPr>
            <w:tcW w:w="33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高电压专业委员会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28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T/CSEE 0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46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—202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技术标准</w:t>
            </w:r>
          </w:p>
        </w:tc>
        <w:tc>
          <w:tcPr>
            <w:tcW w:w="68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额定电压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10kV~35kV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耐高温低介损接枝聚丙烯绝缘电力电缆</w:t>
            </w:r>
          </w:p>
        </w:tc>
        <w:tc>
          <w:tcPr>
            <w:tcW w:w="33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高电压专业委员会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28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T/CSEE 0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47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—202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技术标准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远方备用电源自动投入系统技术规范</w:t>
            </w:r>
          </w:p>
        </w:tc>
        <w:tc>
          <w:tcPr>
            <w:tcW w:w="33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继电保护专业委员会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28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T</w:t>
            </w:r>
            <w:r>
              <w:rPr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hint="eastAsia"/>
                <w:kern w:val="0"/>
                <w:sz w:val="20"/>
                <w:szCs w:val="20"/>
                <w:lang w:bidi="ar"/>
              </w:rPr>
              <w:t>CSEE</w:t>
            </w:r>
            <w:r>
              <w:rPr>
                <w:kern w:val="0"/>
                <w:sz w:val="20"/>
                <w:szCs w:val="20"/>
                <w:lang w:bidi="ar"/>
              </w:rPr>
              <w:t xml:space="preserve"> /Z</w:t>
            </w:r>
            <w:r>
              <w:rPr>
                <w:rFonts w:hint="eastAsia"/>
                <w:kern w:val="0"/>
                <w:sz w:val="20"/>
                <w:szCs w:val="20"/>
                <w:lang w:bidi="ar"/>
              </w:rPr>
              <w:t xml:space="preserve"> 0</w:t>
            </w: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448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—</w:t>
            </w:r>
            <w:r>
              <w:rPr>
                <w:rFonts w:hint="eastAsia"/>
                <w:kern w:val="0"/>
                <w:sz w:val="20"/>
                <w:szCs w:val="20"/>
                <w:lang w:bidi="ar"/>
              </w:rPr>
              <w:t>20</w:t>
            </w:r>
            <w:r>
              <w:rPr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指导性技术文件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电站锅炉风机运行状态实时评估技术导则</w:t>
            </w:r>
          </w:p>
        </w:tc>
        <w:tc>
          <w:tcPr>
            <w:tcW w:w="33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热工自动化专业委员会</w:t>
            </w:r>
          </w:p>
        </w:tc>
      </w:tr>
    </w:tbl>
    <w:p>
      <w:pPr>
        <w:adjustRightInd w:val="0"/>
        <w:snapToGrid w:val="0"/>
        <w:spacing w:before="156" w:beforeLines="50" w:line="360" w:lineRule="auto"/>
        <w:jc w:val="left"/>
        <w:rPr>
          <w:rStyle w:val="7"/>
          <w:rFonts w:hint="eastAsia"/>
        </w:rPr>
      </w:pPr>
      <w:r>
        <w:t xml:space="preserve"> </w:t>
      </w:r>
    </w:p>
    <w:p>
      <w:bookmarkStart w:id="0" w:name="_GoBack"/>
      <w:bookmarkEnd w:id="0"/>
    </w:p>
    <w:sectPr>
      <w:pgSz w:w="16838" w:h="11906" w:orient="landscape"/>
      <w:pgMar w:top="1474" w:right="1440" w:bottom="1474" w:left="1440" w:header="851" w:footer="85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华文中宋">
    <w:altName w:val="汉仪书宋二KW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DE5787"/>
    <w:multiLevelType w:val="multilevel"/>
    <w:tmpl w:val="08DE5787"/>
    <w:lvl w:ilvl="0" w:tentative="0">
      <w:start w:val="1"/>
      <w:numFmt w:val="decimal"/>
      <w:lvlText w:val="%1."/>
      <w:lvlJc w:val="left"/>
      <w:pPr>
        <w:ind w:left="596" w:hanging="420"/>
      </w:pPr>
    </w:lvl>
    <w:lvl w:ilvl="1" w:tentative="0">
      <w:start w:val="1"/>
      <w:numFmt w:val="lowerLetter"/>
      <w:lvlText w:val="%2)"/>
      <w:lvlJc w:val="left"/>
      <w:pPr>
        <w:ind w:left="1016" w:hanging="420"/>
      </w:pPr>
    </w:lvl>
    <w:lvl w:ilvl="2" w:tentative="0">
      <w:start w:val="1"/>
      <w:numFmt w:val="lowerRoman"/>
      <w:lvlText w:val="%3."/>
      <w:lvlJc w:val="right"/>
      <w:pPr>
        <w:ind w:left="1436" w:hanging="420"/>
      </w:pPr>
    </w:lvl>
    <w:lvl w:ilvl="3" w:tentative="0">
      <w:start w:val="1"/>
      <w:numFmt w:val="decimal"/>
      <w:lvlText w:val="%4."/>
      <w:lvlJc w:val="left"/>
      <w:pPr>
        <w:ind w:left="1856" w:hanging="420"/>
      </w:pPr>
    </w:lvl>
    <w:lvl w:ilvl="4" w:tentative="0">
      <w:start w:val="1"/>
      <w:numFmt w:val="lowerLetter"/>
      <w:lvlText w:val="%5)"/>
      <w:lvlJc w:val="left"/>
      <w:pPr>
        <w:ind w:left="2276" w:hanging="420"/>
      </w:pPr>
    </w:lvl>
    <w:lvl w:ilvl="5" w:tentative="0">
      <w:start w:val="1"/>
      <w:numFmt w:val="lowerRoman"/>
      <w:lvlText w:val="%6."/>
      <w:lvlJc w:val="right"/>
      <w:pPr>
        <w:ind w:left="2696" w:hanging="420"/>
      </w:pPr>
    </w:lvl>
    <w:lvl w:ilvl="6" w:tentative="0">
      <w:start w:val="1"/>
      <w:numFmt w:val="decimal"/>
      <w:lvlText w:val="%7."/>
      <w:lvlJc w:val="left"/>
      <w:pPr>
        <w:ind w:left="3116" w:hanging="420"/>
      </w:pPr>
    </w:lvl>
    <w:lvl w:ilvl="7" w:tentative="0">
      <w:start w:val="1"/>
      <w:numFmt w:val="lowerLetter"/>
      <w:lvlText w:val="%8)"/>
      <w:lvlJc w:val="left"/>
      <w:pPr>
        <w:ind w:left="3536" w:hanging="420"/>
      </w:pPr>
    </w:lvl>
    <w:lvl w:ilvl="8" w:tentative="0">
      <w:start w:val="1"/>
      <w:numFmt w:val="lowerRoman"/>
      <w:lvlText w:val="%9."/>
      <w:lvlJc w:val="right"/>
      <w:pPr>
        <w:ind w:left="395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DFF170"/>
    <w:rsid w:val="5BDFF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  <w:style w:type="character" w:styleId="7">
    <w:name w:val="Emphasis"/>
    <w:qFormat/>
    <w:uiPriority w:val="0"/>
    <w:rPr>
      <w:i/>
      <w:i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2024-08-09T14:13:00Z</dcterms:created>
  <dc:creator>xy</dc:creator>
  <cp:lastModifiedBy>xy</cp:lastModifiedBy>
  <dcterms:modified xsi:type="dcterms:W3CDTF">2024-08-09T14:17:05Z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179F81BDBF3138357CB3B56602E2145B_41</vt:lpwstr>
  </property>
</Properties>
</file>