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4EE8" w14:textId="77777777" w:rsidR="00DA0465" w:rsidRDefault="00DA0465">
      <w:pPr>
        <w:pStyle w:val="af6"/>
        <w:jc w:val="left"/>
        <w:rPr>
          <w:rFonts w:ascii="黑体" w:eastAsia="黑体" w:hAnsi="黑体"/>
          <w:b w:val="0"/>
        </w:rPr>
      </w:pPr>
    </w:p>
    <w:p w14:paraId="465BE3A3" w14:textId="77777777" w:rsidR="00DA0465" w:rsidRDefault="00DA0465">
      <w:pPr>
        <w:jc w:val="center"/>
        <w:rPr>
          <w:rFonts w:ascii="黑体" w:eastAsia="黑体" w:hAnsi="黑体"/>
          <w:bCs/>
          <w:sz w:val="32"/>
          <w:szCs w:val="32"/>
        </w:rPr>
      </w:pPr>
    </w:p>
    <w:p w14:paraId="4E38B762" w14:textId="77777777" w:rsidR="00DA0465" w:rsidRDefault="00DA0465">
      <w:pPr>
        <w:pStyle w:val="aff1"/>
        <w:ind w:firstLineChars="0" w:firstLine="0"/>
      </w:pPr>
    </w:p>
    <w:p w14:paraId="70E01C44" w14:textId="77777777" w:rsidR="00DA0465" w:rsidRDefault="00DA0465">
      <w:pPr>
        <w:pStyle w:val="aff1"/>
        <w:ind w:firstLineChars="0" w:firstLine="0"/>
      </w:pPr>
    </w:p>
    <w:p w14:paraId="60A94B98" w14:textId="77777777" w:rsidR="00DA0465" w:rsidRDefault="00DA0465">
      <w:pPr>
        <w:pStyle w:val="aff1"/>
        <w:ind w:firstLineChars="0" w:firstLine="0"/>
      </w:pPr>
    </w:p>
    <w:p w14:paraId="59C5FFD3" w14:textId="77777777" w:rsidR="00DA0465" w:rsidRDefault="00DA0465">
      <w:pPr>
        <w:pStyle w:val="aff1"/>
        <w:ind w:firstLineChars="0" w:firstLine="0"/>
      </w:pPr>
    </w:p>
    <w:p w14:paraId="1BF43A4A" w14:textId="77777777" w:rsidR="00DA0465" w:rsidRDefault="00DA0465">
      <w:pPr>
        <w:pStyle w:val="aff1"/>
        <w:ind w:firstLineChars="0" w:firstLine="0"/>
      </w:pPr>
    </w:p>
    <w:p w14:paraId="036CED4C" w14:textId="77777777" w:rsidR="00DA0465" w:rsidRDefault="00DA0465">
      <w:pPr>
        <w:pStyle w:val="aff1"/>
        <w:ind w:firstLineChars="0" w:firstLine="0"/>
      </w:pPr>
    </w:p>
    <w:p w14:paraId="04D829DF" w14:textId="77777777" w:rsidR="00DA0465" w:rsidRDefault="00DA0465">
      <w:pPr>
        <w:pStyle w:val="aff1"/>
        <w:ind w:firstLineChars="0" w:firstLine="0"/>
      </w:pPr>
    </w:p>
    <w:p w14:paraId="73CAF865" w14:textId="77777777" w:rsidR="00DA0465" w:rsidRDefault="00DA0465">
      <w:pPr>
        <w:pStyle w:val="aff1"/>
        <w:ind w:firstLineChars="0" w:firstLine="0"/>
      </w:pPr>
    </w:p>
    <w:p w14:paraId="4CA83739" w14:textId="77777777" w:rsidR="00DA0465" w:rsidRDefault="00DA0465">
      <w:pPr>
        <w:pStyle w:val="aff1"/>
        <w:ind w:firstLineChars="0" w:firstLine="0"/>
      </w:pPr>
    </w:p>
    <w:p w14:paraId="6C5B5B59" w14:textId="77777777" w:rsidR="00DA0465" w:rsidRDefault="00DA0465">
      <w:pPr>
        <w:pStyle w:val="aff1"/>
        <w:ind w:firstLineChars="0" w:firstLine="0"/>
      </w:pPr>
    </w:p>
    <w:p w14:paraId="07CC56C7" w14:textId="7A5C7A18" w:rsidR="00DA0465" w:rsidRDefault="009F38A0">
      <w:pPr>
        <w:pStyle w:val="aff1"/>
        <w:ind w:firstLineChars="0" w:firstLine="0"/>
        <w:jc w:val="center"/>
        <w:rPr>
          <w:rFonts w:ascii="黑体" w:eastAsia="黑体"/>
          <w:sz w:val="44"/>
          <w:szCs w:val="44"/>
        </w:rPr>
      </w:pPr>
      <w:r w:rsidRPr="009F38A0">
        <w:rPr>
          <w:rFonts w:ascii="黑体" w:eastAsia="黑体" w:hint="eastAsia"/>
          <w:sz w:val="44"/>
          <w:szCs w:val="44"/>
        </w:rPr>
        <w:t>电力物联网感知层总体技术要求</w:t>
      </w:r>
    </w:p>
    <w:p w14:paraId="4529C412" w14:textId="77777777" w:rsidR="00DA0465" w:rsidRDefault="00DA0465">
      <w:pPr>
        <w:pStyle w:val="aff1"/>
      </w:pPr>
    </w:p>
    <w:p w14:paraId="6E53ADB8" w14:textId="77777777" w:rsidR="00DA0465" w:rsidRDefault="00DA0465">
      <w:pPr>
        <w:pStyle w:val="aff1"/>
      </w:pPr>
    </w:p>
    <w:p w14:paraId="1B3C5B1D" w14:textId="77777777" w:rsidR="00DA0465" w:rsidRDefault="004564D0">
      <w:pPr>
        <w:pStyle w:val="a5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Toc298937368"/>
      <w:bookmarkStart w:id="1" w:name="_Toc298937333"/>
      <w:bookmarkStart w:id="2" w:name="_Toc298938794"/>
      <w:bookmarkStart w:id="3" w:name="_Toc298937560"/>
      <w:bookmarkStart w:id="4" w:name="_Toc304828086"/>
      <w:bookmarkStart w:id="5" w:name="_Toc298937473"/>
      <w:bookmarkStart w:id="6" w:name="_Toc309994571"/>
      <w:bookmarkStart w:id="7" w:name="_Toc318613715"/>
      <w:bookmarkStart w:id="8" w:name="_Toc309996019"/>
      <w:bookmarkStart w:id="9" w:name="_Toc309993200"/>
      <w:bookmarkStart w:id="10" w:name="_Toc320020914"/>
      <w:bookmarkStart w:id="11" w:name="_Toc304825020"/>
      <w:bookmarkStart w:id="12" w:name="_Toc298938646"/>
      <w:bookmarkStart w:id="13" w:name="_Toc310002657"/>
      <w:bookmarkStart w:id="14" w:name="_Toc309995598"/>
      <w:bookmarkStart w:id="15" w:name="_Toc304824981"/>
      <w:bookmarkStart w:id="16" w:name="_Toc304402675"/>
      <w:bookmarkStart w:id="17" w:name="_Toc309997060"/>
      <w:bookmarkStart w:id="18" w:name="_Toc309995410"/>
      <w:bookmarkStart w:id="19" w:name="_Toc309995492"/>
      <w:bookmarkStart w:id="20" w:name="_Toc298937430"/>
      <w:bookmarkStart w:id="21" w:name="_Toc298937620"/>
      <w:bookmarkStart w:id="22" w:name="_Toc304825093"/>
      <w:r>
        <w:rPr>
          <w:rFonts w:hint="eastAsia"/>
          <w:sz w:val="28"/>
          <w:szCs w:val="28"/>
        </w:rPr>
        <w:t>编 制 说</w:t>
      </w:r>
      <w:bookmarkEnd w:id="0"/>
      <w:bookmarkEnd w:id="1"/>
      <w:r>
        <w:rPr>
          <w:rFonts w:hint="eastAsia"/>
          <w:sz w:val="28"/>
          <w:szCs w:val="28"/>
        </w:rPr>
        <w:t> 明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5803755" w14:textId="77777777" w:rsidR="00DA0465" w:rsidRDefault="00DA0465">
      <w:pPr>
        <w:pStyle w:val="aff1"/>
        <w:ind w:firstLine="560"/>
        <w:jc w:val="center"/>
        <w:rPr>
          <w:rFonts w:ascii="黑体" w:eastAsia="黑体"/>
          <w:sz w:val="28"/>
          <w:szCs w:val="28"/>
        </w:rPr>
      </w:pPr>
    </w:p>
    <w:p w14:paraId="52D7A2E0" w14:textId="77777777" w:rsidR="00DA0465" w:rsidRDefault="00DA0465">
      <w:pPr>
        <w:pStyle w:val="aff1"/>
        <w:ind w:firstLine="560"/>
        <w:jc w:val="center"/>
        <w:rPr>
          <w:rFonts w:ascii="黑体" w:eastAsia="黑体"/>
          <w:sz w:val="28"/>
          <w:szCs w:val="28"/>
        </w:rPr>
      </w:pPr>
    </w:p>
    <w:p w14:paraId="359053E7" w14:textId="77777777" w:rsidR="00DA0465" w:rsidRDefault="00DA0465">
      <w:pPr>
        <w:pStyle w:val="aff1"/>
        <w:sectPr w:rsidR="00DA0465">
          <w:headerReference w:type="even" r:id="rId8"/>
          <w:headerReference w:type="default" r:id="rId9"/>
          <w:pgSz w:w="11906" w:h="16838"/>
          <w:pgMar w:top="567" w:right="1134" w:bottom="1134" w:left="1417" w:header="1418" w:footer="1134" w:gutter="0"/>
          <w:cols w:space="720"/>
          <w:docGrid w:type="lines" w:linePitch="312"/>
        </w:sectPr>
      </w:pPr>
    </w:p>
    <w:p w14:paraId="7CEF874D" w14:textId="77777777" w:rsidR="00DA0465" w:rsidRDefault="004564D0">
      <w:pPr>
        <w:pStyle w:val="affc"/>
      </w:pPr>
      <w:bookmarkStart w:id="23" w:name="_Toc513731109"/>
      <w:bookmarkStart w:id="24" w:name="_Toc309992160"/>
      <w:bookmarkStart w:id="25" w:name="_Toc513731021"/>
      <w:bookmarkStart w:id="26" w:name="_Toc148371656"/>
      <w:r>
        <w:rPr>
          <w:rFonts w:hint="eastAsia"/>
        </w:rPr>
        <w:lastRenderedPageBreak/>
        <w:t>目次</w:t>
      </w:r>
      <w:bookmarkEnd w:id="23"/>
      <w:bookmarkEnd w:id="24"/>
      <w:bookmarkEnd w:id="25"/>
      <w:bookmarkEnd w:id="26"/>
    </w:p>
    <w:p w14:paraId="3F2A7597" w14:textId="07C09689" w:rsidR="003366CA" w:rsidRDefault="004564D0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TOC \o "1-1" \h \z \u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hyperlink w:anchor="_Toc148371656" w:history="1">
        <w:r w:rsidR="003366CA" w:rsidRPr="00D6616D">
          <w:rPr>
            <w:rStyle w:val="afb"/>
            <w:noProof/>
          </w:rPr>
          <w:t>目次</w:t>
        </w:r>
        <w:r w:rsidR="003366CA">
          <w:rPr>
            <w:noProof/>
            <w:webHidden/>
          </w:rPr>
          <w:tab/>
        </w:r>
        <w:r w:rsidR="003366CA">
          <w:rPr>
            <w:noProof/>
            <w:webHidden/>
          </w:rPr>
          <w:fldChar w:fldCharType="begin"/>
        </w:r>
        <w:r w:rsidR="003366CA">
          <w:rPr>
            <w:noProof/>
            <w:webHidden/>
          </w:rPr>
          <w:instrText xml:space="preserve"> PAGEREF _Toc148371656 \h </w:instrText>
        </w:r>
        <w:r w:rsidR="003366CA">
          <w:rPr>
            <w:noProof/>
            <w:webHidden/>
          </w:rPr>
        </w:r>
        <w:r w:rsidR="003366CA">
          <w:rPr>
            <w:noProof/>
            <w:webHidden/>
          </w:rPr>
          <w:fldChar w:fldCharType="separate"/>
        </w:r>
        <w:r w:rsidR="003366CA">
          <w:rPr>
            <w:noProof/>
            <w:webHidden/>
          </w:rPr>
          <w:t>1</w:t>
        </w:r>
        <w:r w:rsidR="003366CA">
          <w:rPr>
            <w:noProof/>
            <w:webHidden/>
          </w:rPr>
          <w:fldChar w:fldCharType="end"/>
        </w:r>
      </w:hyperlink>
    </w:p>
    <w:p w14:paraId="5AEDE72A" w14:textId="29A1606B" w:rsidR="003366CA" w:rsidRDefault="00E132C8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48371657" w:history="1">
        <w:r w:rsidR="003366CA" w:rsidRPr="00D6616D">
          <w:rPr>
            <w:rStyle w:val="afb"/>
            <w:rFonts w:hAnsi="宋体"/>
            <w:noProof/>
          </w:rPr>
          <w:t>1 编制背景</w:t>
        </w:r>
        <w:r w:rsidR="003366CA">
          <w:rPr>
            <w:noProof/>
            <w:webHidden/>
          </w:rPr>
          <w:tab/>
        </w:r>
        <w:r w:rsidR="003366CA">
          <w:rPr>
            <w:noProof/>
            <w:webHidden/>
          </w:rPr>
          <w:fldChar w:fldCharType="begin"/>
        </w:r>
        <w:r w:rsidR="003366CA">
          <w:rPr>
            <w:noProof/>
            <w:webHidden/>
          </w:rPr>
          <w:instrText xml:space="preserve"> PAGEREF _Toc148371657 \h </w:instrText>
        </w:r>
        <w:r w:rsidR="003366CA">
          <w:rPr>
            <w:noProof/>
            <w:webHidden/>
          </w:rPr>
        </w:r>
        <w:r w:rsidR="003366CA">
          <w:rPr>
            <w:noProof/>
            <w:webHidden/>
          </w:rPr>
          <w:fldChar w:fldCharType="separate"/>
        </w:r>
        <w:r w:rsidR="003366CA">
          <w:rPr>
            <w:noProof/>
            <w:webHidden/>
          </w:rPr>
          <w:t>1</w:t>
        </w:r>
        <w:r w:rsidR="003366CA">
          <w:rPr>
            <w:noProof/>
            <w:webHidden/>
          </w:rPr>
          <w:fldChar w:fldCharType="end"/>
        </w:r>
      </w:hyperlink>
    </w:p>
    <w:p w14:paraId="73CA10C5" w14:textId="2E0D4A32" w:rsidR="003366CA" w:rsidRDefault="00E132C8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48371658" w:history="1">
        <w:r w:rsidR="003366CA" w:rsidRPr="00D6616D">
          <w:rPr>
            <w:rStyle w:val="afb"/>
            <w:rFonts w:hAnsi="宋体"/>
            <w:noProof/>
          </w:rPr>
          <w:t>2 编制主要原则</w:t>
        </w:r>
        <w:r w:rsidR="003366CA">
          <w:rPr>
            <w:noProof/>
            <w:webHidden/>
          </w:rPr>
          <w:tab/>
        </w:r>
        <w:r w:rsidR="003366CA">
          <w:rPr>
            <w:noProof/>
            <w:webHidden/>
          </w:rPr>
          <w:fldChar w:fldCharType="begin"/>
        </w:r>
        <w:r w:rsidR="003366CA">
          <w:rPr>
            <w:noProof/>
            <w:webHidden/>
          </w:rPr>
          <w:instrText xml:space="preserve"> PAGEREF _Toc148371658 \h </w:instrText>
        </w:r>
        <w:r w:rsidR="003366CA">
          <w:rPr>
            <w:noProof/>
            <w:webHidden/>
          </w:rPr>
        </w:r>
        <w:r w:rsidR="003366CA">
          <w:rPr>
            <w:noProof/>
            <w:webHidden/>
          </w:rPr>
          <w:fldChar w:fldCharType="separate"/>
        </w:r>
        <w:r w:rsidR="003366CA">
          <w:rPr>
            <w:noProof/>
            <w:webHidden/>
          </w:rPr>
          <w:t>1</w:t>
        </w:r>
        <w:r w:rsidR="003366CA">
          <w:rPr>
            <w:noProof/>
            <w:webHidden/>
          </w:rPr>
          <w:fldChar w:fldCharType="end"/>
        </w:r>
      </w:hyperlink>
    </w:p>
    <w:p w14:paraId="29F23F97" w14:textId="19152738" w:rsidR="003366CA" w:rsidRDefault="00E132C8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48371659" w:history="1">
        <w:r w:rsidR="003366CA" w:rsidRPr="00D6616D">
          <w:rPr>
            <w:rStyle w:val="afb"/>
            <w:rFonts w:hAnsi="宋体"/>
            <w:noProof/>
          </w:rPr>
          <w:t>3 主要工作过程</w:t>
        </w:r>
        <w:r w:rsidR="003366CA">
          <w:rPr>
            <w:noProof/>
            <w:webHidden/>
          </w:rPr>
          <w:tab/>
        </w:r>
        <w:r w:rsidR="003366CA">
          <w:rPr>
            <w:noProof/>
            <w:webHidden/>
          </w:rPr>
          <w:fldChar w:fldCharType="begin"/>
        </w:r>
        <w:r w:rsidR="003366CA">
          <w:rPr>
            <w:noProof/>
            <w:webHidden/>
          </w:rPr>
          <w:instrText xml:space="preserve"> PAGEREF _Toc148371659 \h </w:instrText>
        </w:r>
        <w:r w:rsidR="003366CA">
          <w:rPr>
            <w:noProof/>
            <w:webHidden/>
          </w:rPr>
        </w:r>
        <w:r w:rsidR="003366CA">
          <w:rPr>
            <w:noProof/>
            <w:webHidden/>
          </w:rPr>
          <w:fldChar w:fldCharType="separate"/>
        </w:r>
        <w:r w:rsidR="003366CA">
          <w:rPr>
            <w:noProof/>
            <w:webHidden/>
          </w:rPr>
          <w:t>2</w:t>
        </w:r>
        <w:r w:rsidR="003366CA">
          <w:rPr>
            <w:noProof/>
            <w:webHidden/>
          </w:rPr>
          <w:fldChar w:fldCharType="end"/>
        </w:r>
      </w:hyperlink>
    </w:p>
    <w:p w14:paraId="4D7E5E98" w14:textId="4AFE8534" w:rsidR="003366CA" w:rsidRDefault="00E132C8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48371660" w:history="1">
        <w:r w:rsidR="003366CA" w:rsidRPr="00D6616D">
          <w:rPr>
            <w:rStyle w:val="afb"/>
            <w:rFonts w:hAnsi="宋体"/>
            <w:noProof/>
          </w:rPr>
          <w:t>4</w:t>
        </w:r>
        <w:r w:rsidR="003366CA" w:rsidRPr="00D6616D">
          <w:rPr>
            <w:rStyle w:val="afb"/>
            <w:noProof/>
          </w:rPr>
          <w:t xml:space="preserve"> 标准结构和内容说明</w:t>
        </w:r>
        <w:r w:rsidR="003366CA">
          <w:rPr>
            <w:noProof/>
            <w:webHidden/>
          </w:rPr>
          <w:tab/>
        </w:r>
        <w:r w:rsidR="003366CA">
          <w:rPr>
            <w:noProof/>
            <w:webHidden/>
          </w:rPr>
          <w:fldChar w:fldCharType="begin"/>
        </w:r>
        <w:r w:rsidR="003366CA">
          <w:rPr>
            <w:noProof/>
            <w:webHidden/>
          </w:rPr>
          <w:instrText xml:space="preserve"> PAGEREF _Toc148371660 \h </w:instrText>
        </w:r>
        <w:r w:rsidR="003366CA">
          <w:rPr>
            <w:noProof/>
            <w:webHidden/>
          </w:rPr>
        </w:r>
        <w:r w:rsidR="003366CA">
          <w:rPr>
            <w:noProof/>
            <w:webHidden/>
          </w:rPr>
          <w:fldChar w:fldCharType="separate"/>
        </w:r>
        <w:r w:rsidR="003366CA">
          <w:rPr>
            <w:noProof/>
            <w:webHidden/>
          </w:rPr>
          <w:t>2</w:t>
        </w:r>
        <w:r w:rsidR="003366CA">
          <w:rPr>
            <w:noProof/>
            <w:webHidden/>
          </w:rPr>
          <w:fldChar w:fldCharType="end"/>
        </w:r>
      </w:hyperlink>
    </w:p>
    <w:p w14:paraId="03FFC5CA" w14:textId="7A1AAFB7" w:rsidR="003366CA" w:rsidRDefault="00E132C8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48371661" w:history="1">
        <w:r w:rsidR="003366CA" w:rsidRPr="00D6616D">
          <w:rPr>
            <w:rStyle w:val="afb"/>
            <w:rFonts w:hAnsi="宋体"/>
            <w:noProof/>
          </w:rPr>
          <w:t>5相关</w:t>
        </w:r>
        <w:r w:rsidR="003366CA" w:rsidRPr="00D6616D">
          <w:rPr>
            <w:rStyle w:val="afb"/>
            <w:noProof/>
          </w:rPr>
          <w:t>标准对比说明</w:t>
        </w:r>
        <w:r w:rsidR="003366CA">
          <w:rPr>
            <w:noProof/>
            <w:webHidden/>
          </w:rPr>
          <w:tab/>
        </w:r>
        <w:r w:rsidR="003366CA">
          <w:rPr>
            <w:noProof/>
            <w:webHidden/>
          </w:rPr>
          <w:fldChar w:fldCharType="begin"/>
        </w:r>
        <w:r w:rsidR="003366CA">
          <w:rPr>
            <w:noProof/>
            <w:webHidden/>
          </w:rPr>
          <w:instrText xml:space="preserve"> PAGEREF _Toc148371661 \h </w:instrText>
        </w:r>
        <w:r w:rsidR="003366CA">
          <w:rPr>
            <w:noProof/>
            <w:webHidden/>
          </w:rPr>
        </w:r>
        <w:r w:rsidR="003366CA">
          <w:rPr>
            <w:noProof/>
            <w:webHidden/>
          </w:rPr>
          <w:fldChar w:fldCharType="separate"/>
        </w:r>
        <w:r w:rsidR="003366CA">
          <w:rPr>
            <w:noProof/>
            <w:webHidden/>
          </w:rPr>
          <w:t>2</w:t>
        </w:r>
        <w:r w:rsidR="003366CA">
          <w:rPr>
            <w:noProof/>
            <w:webHidden/>
          </w:rPr>
          <w:fldChar w:fldCharType="end"/>
        </w:r>
      </w:hyperlink>
    </w:p>
    <w:p w14:paraId="06537E53" w14:textId="6BDF7A40" w:rsidR="003366CA" w:rsidRDefault="00E132C8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48371662" w:history="1">
        <w:r w:rsidR="003366CA" w:rsidRPr="00D6616D">
          <w:rPr>
            <w:rStyle w:val="afb"/>
            <w:rFonts w:hAnsi="宋体"/>
            <w:noProof/>
          </w:rPr>
          <w:t>6标准实施措施说明</w:t>
        </w:r>
        <w:r w:rsidR="003366CA">
          <w:rPr>
            <w:noProof/>
            <w:webHidden/>
          </w:rPr>
          <w:tab/>
        </w:r>
        <w:r w:rsidR="003366CA">
          <w:rPr>
            <w:noProof/>
            <w:webHidden/>
          </w:rPr>
          <w:fldChar w:fldCharType="begin"/>
        </w:r>
        <w:r w:rsidR="003366CA">
          <w:rPr>
            <w:noProof/>
            <w:webHidden/>
          </w:rPr>
          <w:instrText xml:space="preserve"> PAGEREF _Toc148371662 \h </w:instrText>
        </w:r>
        <w:r w:rsidR="003366CA">
          <w:rPr>
            <w:noProof/>
            <w:webHidden/>
          </w:rPr>
        </w:r>
        <w:r w:rsidR="003366CA">
          <w:rPr>
            <w:noProof/>
            <w:webHidden/>
          </w:rPr>
          <w:fldChar w:fldCharType="separate"/>
        </w:r>
        <w:r w:rsidR="003366CA">
          <w:rPr>
            <w:noProof/>
            <w:webHidden/>
          </w:rPr>
          <w:t>3</w:t>
        </w:r>
        <w:r w:rsidR="003366CA">
          <w:rPr>
            <w:noProof/>
            <w:webHidden/>
          </w:rPr>
          <w:fldChar w:fldCharType="end"/>
        </w:r>
      </w:hyperlink>
    </w:p>
    <w:p w14:paraId="0FA315DF" w14:textId="4C21E282" w:rsidR="00DA0465" w:rsidRDefault="004564D0">
      <w:pPr>
        <w:pStyle w:val="aff1"/>
        <w:rPr>
          <w:rFonts w:hAnsi="宋体"/>
          <w:szCs w:val="21"/>
        </w:rPr>
      </w:pPr>
      <w:r>
        <w:rPr>
          <w:rFonts w:hAnsi="宋体"/>
          <w:szCs w:val="21"/>
        </w:rPr>
        <w:fldChar w:fldCharType="end"/>
      </w:r>
    </w:p>
    <w:p w14:paraId="7E8AB585" w14:textId="77777777" w:rsidR="00DA0465" w:rsidRDefault="00DA0465">
      <w:pPr>
        <w:pStyle w:val="aff1"/>
        <w:rPr>
          <w:rFonts w:hAnsi="宋体"/>
          <w:szCs w:val="21"/>
        </w:rPr>
      </w:pPr>
    </w:p>
    <w:p w14:paraId="2A62ACC9" w14:textId="77777777" w:rsidR="00DA0465" w:rsidRDefault="00DA0465">
      <w:pPr>
        <w:pStyle w:val="aff1"/>
        <w:rPr>
          <w:rFonts w:hAnsi="宋体"/>
          <w:szCs w:val="21"/>
        </w:rPr>
      </w:pPr>
    </w:p>
    <w:p w14:paraId="268B67D3" w14:textId="77777777" w:rsidR="00DA0465" w:rsidRDefault="00DA0465">
      <w:pPr>
        <w:pStyle w:val="aff1"/>
        <w:rPr>
          <w:rFonts w:hAnsi="宋体"/>
          <w:szCs w:val="21"/>
        </w:rPr>
      </w:pPr>
    </w:p>
    <w:p w14:paraId="4D1AC419" w14:textId="77777777" w:rsidR="00DA0465" w:rsidRDefault="00DA0465">
      <w:pPr>
        <w:pStyle w:val="aff1"/>
        <w:rPr>
          <w:rFonts w:hAnsi="宋体"/>
          <w:szCs w:val="21"/>
        </w:rPr>
        <w:sectPr w:rsidR="00DA0465">
          <w:headerReference w:type="default" r:id="rId10"/>
          <w:footerReference w:type="default" r:id="rId11"/>
          <w:pgSz w:w="11906" w:h="16838"/>
          <w:pgMar w:top="567" w:right="1134" w:bottom="1134" w:left="1417" w:header="1418" w:footer="1134" w:gutter="0"/>
          <w:pgNumType w:start="1"/>
          <w:cols w:space="720"/>
          <w:docGrid w:type="lines" w:linePitch="312"/>
        </w:sectPr>
      </w:pPr>
    </w:p>
    <w:p w14:paraId="16E1C0A3" w14:textId="77777777" w:rsidR="00DA0465" w:rsidRDefault="004564D0">
      <w:pPr>
        <w:pStyle w:val="14"/>
        <w:spacing w:before="312" w:after="312"/>
        <w:rPr>
          <w:rFonts w:ascii="宋体" w:hAnsi="宋体"/>
          <w:szCs w:val="21"/>
        </w:rPr>
      </w:pPr>
      <w:bookmarkStart w:id="27" w:name="_Toc148371657"/>
      <w:r>
        <w:rPr>
          <w:rFonts w:ascii="宋体" w:hAnsi="宋体" w:hint="eastAsia"/>
          <w:szCs w:val="21"/>
        </w:rPr>
        <w:lastRenderedPageBreak/>
        <w:t xml:space="preserve">1 </w:t>
      </w:r>
      <w:r>
        <w:rPr>
          <w:rFonts w:ascii="宋体" w:hAnsi="宋体" w:hint="eastAsia"/>
          <w:szCs w:val="21"/>
        </w:rPr>
        <w:t>编制背景</w:t>
      </w:r>
      <w:bookmarkEnd w:id="27"/>
    </w:p>
    <w:p w14:paraId="6DA7E09D" w14:textId="29E5D09C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中国电机工程学会标准《</w:t>
      </w:r>
      <w:r w:rsidR="009F38A0" w:rsidRPr="009F38A0">
        <w:rPr>
          <w:rFonts w:ascii="Times New Roman" w:hAnsi="Times New Roman" w:hint="eastAsia"/>
        </w:rPr>
        <w:t>电力物联网感知层总体技术要求</w:t>
      </w:r>
      <w:r>
        <w:rPr>
          <w:rFonts w:ascii="Times New Roman" w:hAnsi="Times New Roman" w:hint="eastAsia"/>
        </w:rPr>
        <w:t>》（以下简称“本文件”）的制定任务来源于《中国电机工程学会关于印发“中国电机工程学会</w:t>
      </w: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年标准计划（第一批）”的通知（电机咨〔</w:t>
      </w: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〕</w:t>
      </w:r>
      <w:r>
        <w:rPr>
          <w:rFonts w:ascii="Times New Roman" w:hAnsi="Times New Roman" w:hint="eastAsia"/>
        </w:rPr>
        <w:t>300</w:t>
      </w:r>
      <w:r>
        <w:rPr>
          <w:rFonts w:ascii="Times New Roman" w:hAnsi="Times New Roman" w:hint="eastAsia"/>
        </w:rPr>
        <w:t>号），由中国电机工程学会人工智能专业委员会归口组织规范制定工作，由中国电力科学研究院有限公司负责起草编制。</w:t>
      </w:r>
    </w:p>
    <w:p w14:paraId="5C60D81A" w14:textId="4BB8CF9E" w:rsidR="00DA0465" w:rsidRPr="0005151B" w:rsidRDefault="00E3436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 w:rsidRPr="0005151B">
        <w:rPr>
          <w:rFonts w:ascii="Times New Roman" w:hAnsi="Times New Roman" w:hint="eastAsia"/>
        </w:rPr>
        <w:t>感知技术作为电力物联网的核心基础技术，是实现“全面感知、泛在互联”的重要支撑。目前，在电力系统如何</w:t>
      </w:r>
      <w:r w:rsidR="00154775">
        <w:rPr>
          <w:rFonts w:ascii="Times New Roman" w:hAnsi="Times New Roman" w:hint="eastAsia"/>
        </w:rPr>
        <w:t>部署传感器实现</w:t>
      </w:r>
      <w:r w:rsidRPr="0005151B">
        <w:rPr>
          <w:rFonts w:ascii="Times New Roman" w:hAnsi="Times New Roman" w:hint="eastAsia"/>
        </w:rPr>
        <w:t>经济、有效、全面获取电网运行信息等存在技术选型不明确、应用模式多样、设计建设标准缺乏等诸多问题，亟需从电网需求和应用场景出发，对电力系统感知环节采集终端构成、数据传输方式和</w:t>
      </w:r>
      <w:r w:rsidR="0005151B">
        <w:rPr>
          <w:rFonts w:ascii="Times New Roman" w:hAnsi="Times New Roman" w:hint="eastAsia"/>
        </w:rPr>
        <w:t>感知层技术架构</w:t>
      </w:r>
      <w:r w:rsidRPr="0005151B">
        <w:rPr>
          <w:rFonts w:ascii="Times New Roman" w:hAnsi="Times New Roman" w:hint="eastAsia"/>
        </w:rPr>
        <w:t>等方面提出系统性技术规范，制定统一的技术标准指导电力生产现场（发、输、变、配、用）建设应用。</w:t>
      </w:r>
    </w:p>
    <w:p w14:paraId="7F44A667" w14:textId="2E866E44" w:rsidR="0005151B" w:rsidRPr="0005151B" w:rsidRDefault="00884557" w:rsidP="0005151B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本文件</w:t>
      </w:r>
      <w:r w:rsidR="0005151B">
        <w:rPr>
          <w:rFonts w:hint="eastAsia"/>
          <w:szCs w:val="21"/>
        </w:rPr>
        <w:t>规范电力物联网感知层</w:t>
      </w:r>
      <w:r w:rsidR="006348BC">
        <w:rPr>
          <w:rFonts w:hint="eastAsia"/>
          <w:szCs w:val="21"/>
        </w:rPr>
        <w:t>技术架构</w:t>
      </w:r>
      <w:r w:rsidR="0005151B">
        <w:rPr>
          <w:rFonts w:hint="eastAsia"/>
          <w:szCs w:val="21"/>
        </w:rPr>
        <w:t>和功能要求，</w:t>
      </w:r>
      <w:r w:rsidR="006348BC">
        <w:rPr>
          <w:rFonts w:hint="eastAsia"/>
          <w:szCs w:val="21"/>
        </w:rPr>
        <w:t>明确</w:t>
      </w:r>
      <w:r w:rsidR="0005151B">
        <w:rPr>
          <w:rFonts w:hint="eastAsia"/>
          <w:szCs w:val="21"/>
        </w:rPr>
        <w:t>传感技术在电力生产现场（发、输、变、配、用）应用中的</w:t>
      </w:r>
      <w:r w:rsidR="00AF29AF">
        <w:rPr>
          <w:rFonts w:hint="eastAsia"/>
          <w:szCs w:val="21"/>
        </w:rPr>
        <w:t>系统架构、</w:t>
      </w:r>
      <w:r w:rsidR="006348BC">
        <w:rPr>
          <w:rFonts w:hint="eastAsia"/>
          <w:szCs w:val="21"/>
        </w:rPr>
        <w:t>连接关系、</w:t>
      </w:r>
      <w:r w:rsidR="00154775">
        <w:rPr>
          <w:rFonts w:hint="eastAsia"/>
          <w:szCs w:val="21"/>
        </w:rPr>
        <w:t>基本功能、</w:t>
      </w:r>
      <w:r w:rsidR="006348BC">
        <w:rPr>
          <w:rFonts w:hint="eastAsia"/>
          <w:szCs w:val="21"/>
        </w:rPr>
        <w:t>技术要求、安全规范等</w:t>
      </w:r>
      <w:r w:rsidR="0005151B">
        <w:rPr>
          <w:rFonts w:hint="eastAsia"/>
          <w:szCs w:val="21"/>
        </w:rPr>
        <w:t>，</w:t>
      </w:r>
      <w:r w:rsidR="00154775">
        <w:rPr>
          <w:rFonts w:hint="eastAsia"/>
          <w:szCs w:val="21"/>
        </w:rPr>
        <w:t>形成指导性的</w:t>
      </w:r>
      <w:r w:rsidR="0063041F">
        <w:rPr>
          <w:rFonts w:hint="eastAsia"/>
          <w:szCs w:val="21"/>
        </w:rPr>
        <w:t>总体规范，</w:t>
      </w:r>
      <w:r w:rsidR="006348BC">
        <w:rPr>
          <w:rFonts w:hint="eastAsia"/>
          <w:szCs w:val="21"/>
        </w:rPr>
        <w:t>从规范性、实用性、统一性与安全性方面</w:t>
      </w:r>
      <w:r w:rsidR="0005151B">
        <w:rPr>
          <w:rFonts w:hint="eastAsia"/>
          <w:szCs w:val="21"/>
        </w:rPr>
        <w:t>保证传感技术的应用质量。</w:t>
      </w:r>
    </w:p>
    <w:p w14:paraId="200F88BA" w14:textId="77777777" w:rsidR="00DA0465" w:rsidRDefault="004564D0">
      <w:pPr>
        <w:pStyle w:val="14"/>
        <w:spacing w:before="312" w:after="312"/>
        <w:rPr>
          <w:rFonts w:ascii="宋体" w:hAnsi="宋体"/>
          <w:szCs w:val="21"/>
        </w:rPr>
      </w:pPr>
      <w:bookmarkStart w:id="28" w:name="_Toc148371658"/>
      <w:r>
        <w:rPr>
          <w:rFonts w:ascii="宋体" w:hAnsi="宋体"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编制主要原则</w:t>
      </w:r>
      <w:bookmarkEnd w:id="28"/>
    </w:p>
    <w:p w14:paraId="0EFD022B" w14:textId="77777777" w:rsidR="00DA0465" w:rsidRDefault="004564D0">
      <w:pPr>
        <w:pStyle w:val="a4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2.1 编写原则</w:t>
      </w:r>
    </w:p>
    <w:p w14:paraId="1B48E0BF" w14:textId="77777777" w:rsidR="00DA0465" w:rsidRDefault="004564D0">
      <w:pPr>
        <w:pStyle w:val="aff1"/>
      </w:pPr>
      <w:r>
        <w:rPr>
          <w:rFonts w:hint="eastAsia"/>
        </w:rPr>
        <w:t>本文件主要根据以下原则编制：</w:t>
      </w:r>
    </w:p>
    <w:p w14:paraId="55E2D0E8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）本文件是首次制定版本。编制遵循“统一性、协调性、适用性、一致性和规范性”的原则，严格按照</w:t>
      </w:r>
      <w:r>
        <w:rPr>
          <w:rFonts w:ascii="Times New Roman" w:hAnsi="Times New Roman" w:hint="eastAsia"/>
        </w:rPr>
        <w:t>GB/T 1.1-2020</w:t>
      </w:r>
      <w:r>
        <w:rPr>
          <w:rFonts w:ascii="Times New Roman" w:hAnsi="Times New Roman" w:hint="eastAsia"/>
        </w:rPr>
        <w:t>《标准化工作导则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部分：标准化文件的结构和起草规则》进行编制。</w:t>
      </w:r>
    </w:p>
    <w:p w14:paraId="772B620E" w14:textId="08D8257A" w:rsidR="00A2371A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）注重与电力物联网领域相关</w:t>
      </w:r>
      <w:r w:rsidR="00090138">
        <w:rPr>
          <w:rFonts w:ascii="Times New Roman" w:hAnsi="Times New Roman" w:hint="eastAsia"/>
        </w:rPr>
        <w:t>国际标准、国家标准、</w:t>
      </w:r>
      <w:r>
        <w:rPr>
          <w:rFonts w:ascii="Times New Roman" w:hAnsi="Times New Roman" w:hint="eastAsia"/>
        </w:rPr>
        <w:t>行业标准、团体标准等技术标准协调</w:t>
      </w:r>
      <w:r w:rsidR="00A2371A" w:rsidRPr="00B65C7E">
        <w:rPr>
          <w:rFonts w:ascii="宋体" w:hAnsi="宋体" w:hint="eastAsia"/>
          <w:szCs w:val="28"/>
        </w:rPr>
        <w:t>，保证了标准体系的一致性和继承性</w:t>
      </w:r>
      <w:r>
        <w:rPr>
          <w:rFonts w:ascii="Times New Roman" w:hAnsi="Times New Roman" w:hint="eastAsia"/>
        </w:rPr>
        <w:t>。</w:t>
      </w:r>
    </w:p>
    <w:p w14:paraId="298FB324" w14:textId="0AF369A3" w:rsidR="00A2371A" w:rsidRDefault="00A2371A" w:rsidP="00A2371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  <w:szCs w:val="28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="003C51AF">
        <w:rPr>
          <w:rFonts w:ascii="宋体" w:hAnsi="宋体" w:hint="eastAsia"/>
          <w:szCs w:val="28"/>
        </w:rPr>
        <w:t>密切</w:t>
      </w:r>
      <w:r w:rsidRPr="00B65C7E">
        <w:rPr>
          <w:rFonts w:ascii="宋体" w:hAnsi="宋体" w:hint="eastAsia"/>
          <w:szCs w:val="28"/>
        </w:rPr>
        <w:t>跟踪电力物联网建设实践</w:t>
      </w:r>
      <w:r w:rsidR="003C51AF">
        <w:rPr>
          <w:rFonts w:ascii="宋体" w:hAnsi="宋体" w:hint="eastAsia"/>
          <w:szCs w:val="28"/>
        </w:rPr>
        <w:t>经验总结</w:t>
      </w:r>
      <w:r>
        <w:rPr>
          <w:rFonts w:ascii="Times New Roman" w:hAnsi="Times New Roman" w:hint="eastAsia"/>
        </w:rPr>
        <w:t>。</w:t>
      </w:r>
      <w:r w:rsidRPr="00B65C7E">
        <w:rPr>
          <w:rFonts w:ascii="宋体" w:hAnsi="宋体" w:hint="eastAsia"/>
          <w:szCs w:val="28"/>
        </w:rPr>
        <w:t>国家电网、南方电网、发电集团等均已开展电力物联网建设，围绕发-输-变-配-用环节开展电力物联网应用实践。在标准编制中，密切关注电力行业物联网标准</w:t>
      </w:r>
      <w:r w:rsidR="003C51AF">
        <w:rPr>
          <w:rFonts w:ascii="宋体" w:hAnsi="宋体" w:hint="eastAsia"/>
          <w:szCs w:val="28"/>
        </w:rPr>
        <w:t>发布</w:t>
      </w:r>
      <w:r w:rsidRPr="00B65C7E">
        <w:rPr>
          <w:rFonts w:ascii="宋体" w:hAnsi="宋体" w:hint="eastAsia"/>
          <w:szCs w:val="28"/>
        </w:rPr>
        <w:t>情况，</w:t>
      </w:r>
      <w:r w:rsidR="003C51AF">
        <w:rPr>
          <w:rFonts w:ascii="宋体" w:hAnsi="宋体" w:hint="eastAsia"/>
          <w:szCs w:val="28"/>
        </w:rPr>
        <w:t>把</w:t>
      </w:r>
      <w:r w:rsidR="00AF29AF">
        <w:rPr>
          <w:rFonts w:ascii="宋体" w:hAnsi="宋体" w:hint="eastAsia"/>
          <w:szCs w:val="28"/>
        </w:rPr>
        <w:t>传感器</w:t>
      </w:r>
      <w:r w:rsidR="003C51AF">
        <w:rPr>
          <w:rFonts w:ascii="宋体" w:hAnsi="宋体" w:hint="eastAsia"/>
          <w:szCs w:val="28"/>
        </w:rPr>
        <w:t>相关技术要求纳入到标准条款中</w:t>
      </w:r>
      <w:r w:rsidRPr="00B65C7E">
        <w:rPr>
          <w:rFonts w:ascii="宋体" w:hAnsi="宋体" w:hint="eastAsia"/>
          <w:szCs w:val="28"/>
        </w:rPr>
        <w:t>。</w:t>
      </w:r>
    </w:p>
    <w:p w14:paraId="58765AD5" w14:textId="77777777" w:rsidR="00DA0465" w:rsidRDefault="004564D0">
      <w:pPr>
        <w:pStyle w:val="a4"/>
        <w:numPr>
          <w:ilvl w:val="0"/>
          <w:numId w:val="0"/>
        </w:numPr>
        <w:spacing w:beforeLines="50" w:before="156" w:afterLines="50" w:after="156"/>
      </w:pPr>
      <w:r>
        <w:t>2.2 主要内容</w:t>
      </w:r>
    </w:p>
    <w:p w14:paraId="371916CB" w14:textId="285D12E9" w:rsidR="00BC556A" w:rsidRDefault="006E2D1F">
      <w:pPr>
        <w:pStyle w:val="aff1"/>
        <w:spacing w:line="300" w:lineRule="auto"/>
        <w:rPr>
          <w:szCs w:val="21"/>
        </w:rPr>
      </w:pPr>
      <w:r w:rsidRPr="005D46DB">
        <w:rPr>
          <w:rFonts w:ascii="Times New Roman" w:hint="eastAsia"/>
          <w:szCs w:val="21"/>
        </w:rPr>
        <w:t>本文件规定了电力物联网感知层功能定位、连接关系等总体要求，以及感知层设备和本地通信的技术要求、安全要求</w:t>
      </w:r>
      <w:r w:rsidRPr="002E5026">
        <w:rPr>
          <w:rFonts w:ascii="Times New Roman"/>
          <w:szCs w:val="21"/>
        </w:rPr>
        <w:t>。</w:t>
      </w:r>
      <w:r w:rsidRPr="009779AE">
        <w:t>感知层位于电力物联网</w:t>
      </w:r>
      <w:r w:rsidRPr="009779AE">
        <w:rPr>
          <w:rFonts w:hint="eastAsia"/>
        </w:rPr>
        <w:t>体系</w:t>
      </w:r>
      <w:r w:rsidRPr="009779AE">
        <w:t>架构的最底层，</w:t>
      </w:r>
      <w:r w:rsidRPr="009779AE">
        <w:rPr>
          <w:rFonts w:hint="eastAsia"/>
        </w:rPr>
        <w:t>部署在靠近</w:t>
      </w:r>
      <w:r>
        <w:rPr>
          <w:rFonts w:hint="eastAsia"/>
        </w:rPr>
        <w:t>感知</w:t>
      </w:r>
      <w:r w:rsidRPr="009779AE">
        <w:rPr>
          <w:rFonts w:hint="eastAsia"/>
        </w:rPr>
        <w:t>设备或信息源头</w:t>
      </w:r>
      <w:r w:rsidR="00884557">
        <w:rPr>
          <w:rFonts w:hint="eastAsia"/>
        </w:rPr>
        <w:t>的位置</w:t>
      </w:r>
      <w:r>
        <w:rPr>
          <w:rFonts w:hint="eastAsia"/>
        </w:rPr>
        <w:t>，</w:t>
      </w:r>
      <w:r w:rsidRPr="009779AE">
        <w:rPr>
          <w:rFonts w:hint="eastAsia"/>
        </w:rPr>
        <w:t>实现感知</w:t>
      </w:r>
      <w:r w:rsidRPr="009779AE">
        <w:t>对象的状态采集、</w:t>
      </w:r>
      <w:r>
        <w:rPr>
          <w:rFonts w:hint="eastAsia"/>
        </w:rPr>
        <w:t>信息传输</w:t>
      </w:r>
      <w:r w:rsidRPr="009779AE">
        <w:rPr>
          <w:rFonts w:hint="eastAsia"/>
        </w:rPr>
        <w:t>与物联接入，</w:t>
      </w:r>
      <w:r>
        <w:rPr>
          <w:rFonts w:hint="eastAsia"/>
        </w:rPr>
        <w:t>并</w:t>
      </w:r>
      <w:r w:rsidRPr="00083CE8">
        <w:rPr>
          <w:rFonts w:hint="eastAsia"/>
        </w:rPr>
        <w:t>通过网络层与平台层</w:t>
      </w:r>
      <w:r>
        <w:rPr>
          <w:rFonts w:hint="eastAsia"/>
        </w:rPr>
        <w:t>通信</w:t>
      </w:r>
      <w:r w:rsidRPr="00083CE8">
        <w:rPr>
          <w:rFonts w:hint="eastAsia"/>
        </w:rPr>
        <w:t>。</w:t>
      </w:r>
      <w:r>
        <w:rPr>
          <w:rFonts w:hint="eastAsia"/>
        </w:rPr>
        <w:t>因为与</w:t>
      </w:r>
      <w:r w:rsidRPr="0035399A">
        <w:rPr>
          <w:rFonts w:hint="eastAsia"/>
          <w:szCs w:val="21"/>
        </w:rPr>
        <w:t>“发、输、变、配、用”环节</w:t>
      </w:r>
      <w:r>
        <w:rPr>
          <w:rFonts w:hint="eastAsia"/>
          <w:szCs w:val="21"/>
        </w:rPr>
        <w:t>场景密切相关，感知层</w:t>
      </w:r>
      <w:r w:rsidR="00BC556A">
        <w:rPr>
          <w:rFonts w:hint="eastAsia"/>
          <w:szCs w:val="21"/>
        </w:rPr>
        <w:t>在获取电网运行信息时存在</w:t>
      </w:r>
      <w:r w:rsidR="00BC556A">
        <w:rPr>
          <w:rFonts w:ascii="Calibri" w:hAnsi="Calibri" w:hint="eastAsia"/>
          <w:kern w:val="2"/>
          <w:szCs w:val="21"/>
        </w:rPr>
        <w:t>技术选型不明确、应用模式多样、设计建设标准缺乏等诸多问题，亟需从电网需求和应用场景出发，</w:t>
      </w:r>
      <w:r w:rsidR="00884557">
        <w:rPr>
          <w:rFonts w:ascii="Calibri" w:hAnsi="Calibri" w:hint="eastAsia"/>
          <w:kern w:val="2"/>
          <w:szCs w:val="21"/>
        </w:rPr>
        <w:t>梳理</w:t>
      </w:r>
      <w:r w:rsidR="00BC556A">
        <w:rPr>
          <w:rFonts w:hint="eastAsia"/>
          <w:szCs w:val="21"/>
        </w:rPr>
        <w:t>感知层</w:t>
      </w:r>
      <w:r w:rsidR="00107B3F">
        <w:rPr>
          <w:rFonts w:hint="eastAsia"/>
          <w:szCs w:val="21"/>
        </w:rPr>
        <w:t>主体</w:t>
      </w:r>
      <w:r w:rsidR="00BC556A">
        <w:rPr>
          <w:rFonts w:hint="eastAsia"/>
          <w:szCs w:val="21"/>
        </w:rPr>
        <w:t>要素</w:t>
      </w:r>
      <w:r w:rsidR="00107B3F">
        <w:rPr>
          <w:rFonts w:hint="eastAsia"/>
          <w:szCs w:val="21"/>
        </w:rPr>
        <w:t>（</w:t>
      </w:r>
      <w:r w:rsidR="00107B3F">
        <w:rPr>
          <w:rFonts w:hAnsi="宋体" w:cstheme="minorBidi" w:hint="eastAsia"/>
          <w:noProof/>
          <w:szCs w:val="22"/>
        </w:rPr>
        <w:t>终端设备、物联网关、汇聚节点等</w:t>
      </w:r>
      <w:r w:rsidR="00107B3F">
        <w:rPr>
          <w:rFonts w:hint="eastAsia"/>
          <w:szCs w:val="21"/>
        </w:rPr>
        <w:t>）的</w:t>
      </w:r>
      <w:r w:rsidR="00884557">
        <w:rPr>
          <w:rFonts w:hint="eastAsia"/>
          <w:szCs w:val="21"/>
        </w:rPr>
        <w:t>网络架构、</w:t>
      </w:r>
      <w:r w:rsidR="00BC556A">
        <w:rPr>
          <w:rFonts w:hint="eastAsia"/>
          <w:szCs w:val="21"/>
        </w:rPr>
        <w:t>连接关系、设备和网络技术要求、安全要求方面</w:t>
      </w:r>
      <w:r w:rsidR="00884557">
        <w:rPr>
          <w:rFonts w:hint="eastAsia"/>
          <w:szCs w:val="21"/>
        </w:rPr>
        <w:t>的</w:t>
      </w:r>
      <w:r w:rsidR="00BC556A">
        <w:rPr>
          <w:rFonts w:hint="eastAsia"/>
          <w:szCs w:val="21"/>
        </w:rPr>
        <w:t>基本规范，</w:t>
      </w:r>
      <w:r w:rsidR="00BC556A">
        <w:rPr>
          <w:rFonts w:ascii="Calibri" w:hAnsi="Calibri" w:hint="eastAsia"/>
          <w:kern w:val="2"/>
          <w:szCs w:val="21"/>
        </w:rPr>
        <w:t>制定统一的</w:t>
      </w:r>
      <w:r w:rsidR="00107B3F">
        <w:rPr>
          <w:rFonts w:ascii="Calibri" w:hAnsi="Calibri" w:hint="eastAsia"/>
          <w:kern w:val="2"/>
          <w:szCs w:val="21"/>
        </w:rPr>
        <w:t>接入模式、基本功</w:t>
      </w:r>
      <w:r w:rsidR="00107B3F">
        <w:rPr>
          <w:rFonts w:ascii="Calibri" w:hAnsi="Calibri" w:hint="eastAsia"/>
          <w:kern w:val="2"/>
          <w:szCs w:val="21"/>
        </w:rPr>
        <w:lastRenderedPageBreak/>
        <w:t>能等</w:t>
      </w:r>
      <w:r w:rsidR="00BC556A">
        <w:rPr>
          <w:rFonts w:ascii="Calibri" w:hAnsi="Calibri" w:hint="eastAsia"/>
          <w:kern w:val="2"/>
          <w:szCs w:val="21"/>
        </w:rPr>
        <w:t>技术标准指导电力领域各个环节的建设应用。</w:t>
      </w:r>
      <w:r w:rsidR="003366CA">
        <w:rPr>
          <w:rFonts w:hAnsi="宋体" w:cstheme="minorBidi" w:hint="eastAsia"/>
          <w:noProof/>
          <w:szCs w:val="22"/>
        </w:rPr>
        <w:t>本文件的制定实施，进一步推进电力物联网感知层体系的标准化建设，为终端设备、物联网关、汇聚节点等设备的生产提供指导依据。</w:t>
      </w:r>
    </w:p>
    <w:p w14:paraId="63B6AD88" w14:textId="77777777" w:rsidR="00DA0465" w:rsidRDefault="004564D0">
      <w:pPr>
        <w:pStyle w:val="14"/>
        <w:spacing w:before="312" w:after="312"/>
        <w:rPr>
          <w:rFonts w:ascii="宋体" w:hAnsi="宋体"/>
          <w:szCs w:val="21"/>
        </w:rPr>
      </w:pPr>
      <w:bookmarkStart w:id="29" w:name="_Toc148371659"/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hint="eastAsia"/>
          <w:szCs w:val="21"/>
        </w:rPr>
        <w:t>主要工作过程</w:t>
      </w:r>
      <w:bookmarkEnd w:id="29"/>
    </w:p>
    <w:p w14:paraId="722C33CA" w14:textId="77777777" w:rsidR="00DA0465" w:rsidRDefault="004564D0">
      <w:pPr>
        <w:numPr>
          <w:ilvl w:val="0"/>
          <w:numId w:val="7"/>
        </w:num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前期准备阶段（</w:t>
      </w:r>
      <w:r>
        <w:rPr>
          <w:rFonts w:ascii="Times New Roman" w:hAnsi="Times New Roman" w:hint="eastAsia"/>
        </w:rPr>
        <w:t>2020.06-2022.03</w:t>
      </w:r>
      <w:r>
        <w:rPr>
          <w:rFonts w:ascii="Times New Roman" w:hAnsi="Times New Roman" w:hint="eastAsia"/>
        </w:rPr>
        <w:t>年）</w:t>
      </w:r>
    </w:p>
    <w:p w14:paraId="24CBB01D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-2021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月，开展技术验证、资料收集和编制准备等相关工作。</w:t>
      </w:r>
    </w:p>
    <w:p w14:paraId="35301962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2021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月，形成标准草案，提交标准立项申请。</w:t>
      </w:r>
    </w:p>
    <w:p w14:paraId="114A9E12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日，通过中国电机工程学会复审，由人工智能专业委员会归口管理。</w:t>
      </w:r>
    </w:p>
    <w:p w14:paraId="769EC75E" w14:textId="77777777" w:rsidR="00DA0465" w:rsidRDefault="004564D0">
      <w:pPr>
        <w:numPr>
          <w:ilvl w:val="0"/>
          <w:numId w:val="7"/>
        </w:num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正式工作阶段（</w:t>
      </w: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年至今）</w:t>
      </w:r>
    </w:p>
    <w:p w14:paraId="44534F25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月初，中国电机工程学会下达标准编制计划，起草单位开展资料收集和编制准备等相关工作。</w:t>
      </w:r>
    </w:p>
    <w:p w14:paraId="4B100ACB" w14:textId="635A968B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年</w:t>
      </w:r>
      <w:r w:rsidR="00794987"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月中旬，</w:t>
      </w:r>
      <w:r w:rsidR="00794987" w:rsidRPr="00B65C7E">
        <w:rPr>
          <w:rFonts w:ascii="宋体" w:hAnsi="宋体" w:hint="eastAsia"/>
          <w:szCs w:val="28"/>
        </w:rPr>
        <w:t>召开标准编制启动会，确定标准大纲、内容框架和范围，成立编制工作组，正式启动本标准编制工作。</w:t>
      </w:r>
    </w:p>
    <w:p w14:paraId="417AEB1B" w14:textId="058A4DF8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</w:t>
      </w:r>
      <w:r w:rsidR="00794987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年</w:t>
      </w:r>
      <w:r w:rsidR="00EE5408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月</w:t>
      </w:r>
      <w:r w:rsidR="00EE5408">
        <w:rPr>
          <w:rFonts w:ascii="Times New Roman" w:hAnsi="Times New Roman" w:hint="eastAsia"/>
        </w:rPr>
        <w:t>1</w:t>
      </w:r>
      <w:r w:rsidR="00794987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日，由</w:t>
      </w:r>
      <w:r w:rsidR="00EE5408">
        <w:rPr>
          <w:rFonts w:ascii="Times New Roman" w:hAnsi="Times New Roman" w:hint="eastAsia"/>
        </w:rPr>
        <w:t>牵头单位</w:t>
      </w:r>
      <w:r>
        <w:rPr>
          <w:rFonts w:ascii="Times New Roman" w:hAnsi="Times New Roman" w:hint="eastAsia"/>
        </w:rPr>
        <w:t>中国电力科学研究院有限公司组织召开标准</w:t>
      </w:r>
      <w:r w:rsidR="00EE5408">
        <w:rPr>
          <w:rFonts w:ascii="Times New Roman" w:hAnsi="Times New Roman" w:hint="eastAsia"/>
        </w:rPr>
        <w:t>集中编制工作组会议</w:t>
      </w:r>
      <w:r w:rsidR="00183BD6">
        <w:rPr>
          <w:rFonts w:ascii="Times New Roman" w:hAnsi="Times New Roman" w:hint="eastAsia"/>
        </w:rPr>
        <w:t>。</w:t>
      </w:r>
      <w:r w:rsidR="00EE5408">
        <w:rPr>
          <w:rFonts w:ascii="Times New Roman" w:hAnsi="Times New Roman" w:hint="eastAsia"/>
        </w:rPr>
        <w:t>标准参与单位</w:t>
      </w:r>
      <w:r w:rsidR="00183BD6">
        <w:rPr>
          <w:rFonts w:ascii="Times New Roman" w:hAnsi="Times New Roman" w:hint="eastAsia"/>
        </w:rPr>
        <w:t>汇报了前期标准资料准备工作，对</w:t>
      </w:r>
      <w:r w:rsidR="00EE5408">
        <w:rPr>
          <w:rFonts w:ascii="Times New Roman" w:hAnsi="Times New Roman" w:hint="eastAsia"/>
        </w:rPr>
        <w:t>标准</w:t>
      </w:r>
      <w:r w:rsidR="00183BD6">
        <w:rPr>
          <w:rFonts w:ascii="Times New Roman" w:hAnsi="Times New Roman" w:hint="eastAsia"/>
        </w:rPr>
        <w:t>内容</w:t>
      </w:r>
      <w:r w:rsidR="00EE5408">
        <w:rPr>
          <w:rFonts w:ascii="Times New Roman" w:hAnsi="Times New Roman" w:hint="eastAsia"/>
        </w:rPr>
        <w:t>进行了详细讨论，更新了标准大纲，</w:t>
      </w:r>
      <w:r w:rsidR="00183BD6">
        <w:rPr>
          <w:rFonts w:ascii="Times New Roman" w:hAnsi="Times New Roman" w:hint="eastAsia"/>
        </w:rPr>
        <w:t>梳理了下一阶段</w:t>
      </w:r>
      <w:r w:rsidR="00EE5408">
        <w:rPr>
          <w:rFonts w:ascii="Times New Roman" w:hAnsi="Times New Roman" w:hint="eastAsia"/>
        </w:rPr>
        <w:t>初稿编制</w:t>
      </w:r>
      <w:r w:rsidR="00183BD6">
        <w:rPr>
          <w:rFonts w:ascii="Times New Roman" w:hAnsi="Times New Roman" w:hint="eastAsia"/>
        </w:rPr>
        <w:t>任务</w:t>
      </w:r>
      <w:r w:rsidR="00EE5408">
        <w:rPr>
          <w:rFonts w:ascii="Times New Roman" w:hAnsi="Times New Roman" w:hint="eastAsia"/>
        </w:rPr>
        <w:t>。</w:t>
      </w:r>
    </w:p>
    <w:p w14:paraId="06F3AB59" w14:textId="77B0A4A3" w:rsidR="00DA0465" w:rsidRPr="00183BD6" w:rsidRDefault="00183BD6">
      <w:pPr>
        <w:pStyle w:val="a8"/>
        <w:ind w:firstLine="420"/>
      </w:pPr>
      <w: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日，牵头单位</w:t>
      </w:r>
      <w:r>
        <w:rPr>
          <w:rFonts w:hint="eastAsia"/>
          <w:szCs w:val="22"/>
        </w:rPr>
        <w:t>中国电力科学研究院有限公司汇总完成标准内容，形成标准编制初稿。</w:t>
      </w:r>
    </w:p>
    <w:p w14:paraId="4D01370B" w14:textId="77777777" w:rsidR="00DA0465" w:rsidRDefault="004564D0">
      <w:pPr>
        <w:pStyle w:val="14"/>
        <w:spacing w:before="312" w:after="312"/>
      </w:pPr>
      <w:bookmarkStart w:id="30" w:name="_Toc148371660"/>
      <w:r>
        <w:rPr>
          <w:rFonts w:ascii="宋体" w:hAnsi="宋体" w:hint="eastAsia"/>
          <w:szCs w:val="21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标准结构和内容说明</w:t>
      </w:r>
      <w:bookmarkEnd w:id="30"/>
    </w:p>
    <w:p w14:paraId="42A9864D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本文件为指导性技术文件，主要结构及内容如下：</w:t>
      </w:r>
    </w:p>
    <w:p w14:paraId="7C9201A0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章“范围”规定了本标准的主要内容和适用范围。</w:t>
      </w:r>
    </w:p>
    <w:p w14:paraId="0855462C" w14:textId="7777777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）第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章“规范性引用文件”列出了本标准所引用的标准、技术规范和规程。</w:t>
      </w:r>
    </w:p>
    <w:p w14:paraId="4A71C0F4" w14:textId="47006A07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）第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章“术语和定义”，对</w:t>
      </w:r>
      <w:r w:rsidR="00567CF0">
        <w:rPr>
          <w:rFonts w:ascii="Times New Roman" w:hAnsi="Times New Roman" w:hint="eastAsia"/>
        </w:rPr>
        <w:t>本标准涉及的“感知对象”“采集终端”等重点词汇等进</w:t>
      </w:r>
      <w:r>
        <w:rPr>
          <w:rFonts w:ascii="Times New Roman" w:hAnsi="Times New Roman" w:hint="eastAsia"/>
        </w:rPr>
        <w:t>行了定义。</w:t>
      </w:r>
    </w:p>
    <w:p w14:paraId="497A07AD" w14:textId="5D80DD91" w:rsidR="00567CF0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</w:t>
      </w:r>
      <w:r w:rsidR="00567CF0">
        <w:rPr>
          <w:rFonts w:ascii="Times New Roman" w:hAnsi="Times New Roman" w:hint="eastAsia"/>
        </w:rPr>
        <w:t>第</w:t>
      </w:r>
      <w:r w:rsidR="00567CF0">
        <w:rPr>
          <w:rFonts w:ascii="Times New Roman" w:hAnsi="Times New Roman" w:hint="eastAsia"/>
        </w:rPr>
        <w:t>4</w:t>
      </w:r>
      <w:r w:rsidR="00567CF0">
        <w:rPr>
          <w:rFonts w:ascii="Times New Roman" w:hAnsi="Times New Roman" w:hint="eastAsia"/>
        </w:rPr>
        <w:t>章“</w:t>
      </w:r>
      <w:r w:rsidR="00083A39">
        <w:rPr>
          <w:rFonts w:ascii="Times New Roman" w:hAnsi="Times New Roman" w:hint="eastAsia"/>
        </w:rPr>
        <w:t>符号和缩略语</w:t>
      </w:r>
      <w:r w:rsidR="00567CF0">
        <w:rPr>
          <w:rFonts w:ascii="Times New Roman" w:hAnsi="Times New Roman" w:hint="eastAsia"/>
        </w:rPr>
        <w:t>”，</w:t>
      </w:r>
      <w:r w:rsidR="00083A39">
        <w:rPr>
          <w:rFonts w:ascii="Times New Roman" w:hAnsi="Times New Roman" w:hint="eastAsia"/>
        </w:rPr>
        <w:t>定义了本标准中用到的符号、缩略语。</w:t>
      </w:r>
    </w:p>
    <w:p w14:paraId="0904289C" w14:textId="0925F2D5" w:rsidR="00DA0465" w:rsidRDefault="00083A39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</w:t>
      </w:r>
      <w:r w:rsidR="00567CF0">
        <w:rPr>
          <w:rFonts w:ascii="Times New Roman" w:hAnsi="Times New Roman" w:hint="eastAsia"/>
        </w:rPr>
        <w:t>第</w:t>
      </w:r>
      <w:r>
        <w:rPr>
          <w:rFonts w:ascii="Times New Roman" w:hAnsi="Times New Roman"/>
        </w:rPr>
        <w:t>5</w:t>
      </w:r>
      <w:r w:rsidR="00567CF0">
        <w:rPr>
          <w:rFonts w:ascii="Times New Roman" w:hAnsi="Times New Roman" w:hint="eastAsia"/>
        </w:rPr>
        <w:t>章“总体要求”，</w:t>
      </w:r>
      <w:r w:rsidR="004564D0">
        <w:rPr>
          <w:rFonts w:ascii="Times New Roman" w:hAnsi="Times New Roman" w:hint="eastAsia"/>
        </w:rPr>
        <w:t>明确了</w:t>
      </w:r>
      <w:r w:rsidR="00567CF0">
        <w:rPr>
          <w:rFonts w:ascii="Times New Roman" w:hAnsi="Times New Roman" w:hint="eastAsia"/>
        </w:rPr>
        <w:t>感知层的</w:t>
      </w:r>
      <w:r w:rsidR="00136EAA">
        <w:rPr>
          <w:rFonts w:ascii="Times New Roman" w:hAnsi="Times New Roman" w:hint="eastAsia"/>
        </w:rPr>
        <w:t>架构</w:t>
      </w:r>
      <w:r w:rsidR="00567CF0">
        <w:rPr>
          <w:rFonts w:ascii="Times New Roman" w:hAnsi="Times New Roman" w:hint="eastAsia"/>
        </w:rPr>
        <w:t>定位、感知层要素间连接关系和</w:t>
      </w:r>
      <w:r w:rsidR="003D0222">
        <w:rPr>
          <w:rFonts w:ascii="Times New Roman" w:hAnsi="Times New Roman" w:hint="eastAsia"/>
        </w:rPr>
        <w:t>要求</w:t>
      </w:r>
      <w:r w:rsidR="00567CF0">
        <w:rPr>
          <w:rFonts w:ascii="Times New Roman" w:hAnsi="Times New Roman" w:hint="eastAsia"/>
        </w:rPr>
        <w:t>的</w:t>
      </w:r>
      <w:r w:rsidR="00136EAA">
        <w:rPr>
          <w:rFonts w:ascii="Times New Roman" w:hAnsi="Times New Roman" w:hint="eastAsia"/>
        </w:rPr>
        <w:t>基本功</w:t>
      </w:r>
      <w:r w:rsidR="00567CF0">
        <w:rPr>
          <w:rFonts w:ascii="Times New Roman" w:hAnsi="Times New Roman" w:hint="eastAsia"/>
        </w:rPr>
        <w:t>能。</w:t>
      </w:r>
    </w:p>
    <w:p w14:paraId="7F96A596" w14:textId="78C3039D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083A39"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）第</w:t>
      </w:r>
      <w:r w:rsidR="00083A39"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章“</w:t>
      </w:r>
      <w:bookmarkStart w:id="31" w:name="_Toc23038"/>
      <w:bookmarkStart w:id="32" w:name="_Toc6762"/>
      <w:r w:rsidR="00083A39">
        <w:rPr>
          <w:rFonts w:ascii="Times New Roman" w:hAnsi="Times New Roman" w:hint="eastAsia"/>
        </w:rPr>
        <w:t>技术要求</w:t>
      </w:r>
      <w:bookmarkEnd w:id="31"/>
      <w:bookmarkEnd w:id="32"/>
      <w:r>
        <w:rPr>
          <w:rFonts w:ascii="Times New Roman" w:hAnsi="Times New Roman" w:hint="eastAsia"/>
        </w:rPr>
        <w:t>”，</w:t>
      </w:r>
      <w:r w:rsidR="003D0222">
        <w:rPr>
          <w:rFonts w:ascii="Times New Roman" w:hAnsi="Times New Roman" w:hint="eastAsia"/>
        </w:rPr>
        <w:t>细化感知层</w:t>
      </w:r>
      <w:r w:rsidR="00083A39">
        <w:rPr>
          <w:rFonts w:ascii="Times New Roman" w:hAnsi="Times New Roman" w:hint="eastAsia"/>
        </w:rPr>
        <w:t>要素</w:t>
      </w:r>
      <w:r w:rsidR="003D0222">
        <w:rPr>
          <w:rFonts w:ascii="Times New Roman" w:hAnsi="Times New Roman" w:hint="eastAsia"/>
        </w:rPr>
        <w:t>的技术要求</w:t>
      </w:r>
      <w:r w:rsidR="00083A39">
        <w:rPr>
          <w:rFonts w:ascii="Times New Roman" w:hAnsi="Times New Roman" w:hint="eastAsia"/>
        </w:rPr>
        <w:t>，提出了对物联网网关、智能终端、汇聚节点、采集终端等实体的技术要求，</w:t>
      </w:r>
      <w:r w:rsidR="00136EAA">
        <w:rPr>
          <w:rFonts w:ascii="Times New Roman" w:hAnsi="Times New Roman" w:hint="eastAsia"/>
        </w:rPr>
        <w:t>及</w:t>
      </w:r>
      <w:r w:rsidR="00083A39">
        <w:rPr>
          <w:rFonts w:ascii="Times New Roman" w:hAnsi="Times New Roman" w:hint="eastAsia"/>
        </w:rPr>
        <w:t>对本地通信的连接方式、技术类型</w:t>
      </w:r>
      <w:r w:rsidR="00136EAA">
        <w:rPr>
          <w:rFonts w:ascii="Times New Roman" w:hAnsi="Times New Roman" w:hint="eastAsia"/>
        </w:rPr>
        <w:t>的技术</w:t>
      </w:r>
      <w:r w:rsidR="00083A39">
        <w:rPr>
          <w:rFonts w:ascii="Times New Roman" w:hAnsi="Times New Roman" w:hint="eastAsia"/>
        </w:rPr>
        <w:t>要求。</w:t>
      </w:r>
    </w:p>
    <w:p w14:paraId="515B5F2E" w14:textId="213B1074" w:rsidR="00DA0465" w:rsidRDefault="004564D0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083A39"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）第</w:t>
      </w:r>
      <w:r w:rsidR="00083A39"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章“</w:t>
      </w:r>
      <w:r w:rsidR="00083A39">
        <w:rPr>
          <w:rFonts w:ascii="Times New Roman" w:hAnsi="Times New Roman" w:hint="eastAsia"/>
        </w:rPr>
        <w:t>安全要求</w:t>
      </w:r>
      <w:r>
        <w:rPr>
          <w:rFonts w:ascii="Times New Roman" w:hAnsi="Times New Roman" w:hint="eastAsia"/>
        </w:rPr>
        <w:t>”，</w:t>
      </w:r>
      <w:r w:rsidR="0059525E">
        <w:rPr>
          <w:rFonts w:ascii="Times New Roman" w:hAnsi="Times New Roman" w:hint="eastAsia"/>
        </w:rPr>
        <w:t>提出了感知层</w:t>
      </w:r>
      <w:r w:rsidR="003D0222">
        <w:rPr>
          <w:rFonts w:ascii="Times New Roman" w:hAnsi="Times New Roman" w:hint="eastAsia"/>
        </w:rPr>
        <w:t>设计、</w:t>
      </w:r>
      <w:r w:rsidR="0059525E">
        <w:rPr>
          <w:rFonts w:ascii="Times New Roman" w:hAnsi="Times New Roman" w:hint="eastAsia"/>
        </w:rPr>
        <w:t>建设需要遵循的安全规定</w:t>
      </w:r>
      <w:r>
        <w:rPr>
          <w:rFonts w:ascii="Times New Roman" w:hAnsi="Times New Roman" w:hint="eastAsia"/>
        </w:rPr>
        <w:t>。</w:t>
      </w:r>
    </w:p>
    <w:p w14:paraId="4E071437" w14:textId="77777777" w:rsidR="00DA0465" w:rsidRDefault="004564D0">
      <w:pPr>
        <w:pStyle w:val="14"/>
        <w:spacing w:before="312" w:after="312"/>
      </w:pPr>
      <w:bookmarkStart w:id="33" w:name="_Toc148371661"/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相关</w:t>
      </w:r>
      <w:r>
        <w:rPr>
          <w:rFonts w:hint="eastAsia"/>
        </w:rPr>
        <w:t>标准对比说明</w:t>
      </w:r>
      <w:bookmarkEnd w:id="33"/>
    </w:p>
    <w:p w14:paraId="46B90D70" w14:textId="45C1FC4E" w:rsidR="00136EAA" w:rsidRDefault="00136EAA" w:rsidP="00136EA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  <w:szCs w:val="28"/>
        </w:rPr>
      </w:pPr>
      <w:bookmarkStart w:id="34" w:name="OLE_LINK2"/>
      <w:r>
        <w:rPr>
          <w:rFonts w:ascii="宋体" w:hAnsi="宋体" w:hint="eastAsia"/>
          <w:szCs w:val="28"/>
        </w:rPr>
        <w:t>（1）</w:t>
      </w:r>
      <w:r w:rsidR="006237BA">
        <w:rPr>
          <w:rFonts w:ascii="宋体" w:hAnsi="宋体" w:hint="eastAsia"/>
          <w:szCs w:val="28"/>
        </w:rPr>
        <w:t>与国际标准、国家标准相关性说明</w:t>
      </w:r>
    </w:p>
    <w:p w14:paraId="4445609F" w14:textId="0A9CF741" w:rsidR="00136EAA" w:rsidRDefault="00136EAA" w:rsidP="00136EA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 w:rsidRPr="00B65C7E">
        <w:rPr>
          <w:rFonts w:ascii="宋体" w:hAnsi="宋体" w:hint="eastAsia"/>
          <w:szCs w:val="28"/>
        </w:rPr>
        <w:lastRenderedPageBreak/>
        <w:t>调研了IEC/ISO/IEEE等国际标准组织制定的ISO/IEC</w:t>
      </w:r>
      <w:r w:rsidRPr="00B65C7E">
        <w:rPr>
          <w:rFonts w:ascii="宋体" w:hAnsi="宋体"/>
          <w:szCs w:val="28"/>
        </w:rPr>
        <w:t xml:space="preserve"> </w:t>
      </w:r>
      <w:r w:rsidRPr="00B65C7E">
        <w:rPr>
          <w:rFonts w:ascii="宋体" w:hAnsi="宋体" w:hint="eastAsia"/>
          <w:szCs w:val="28"/>
        </w:rPr>
        <w:t>29182《信息技术 传感器网络 传感器网络参考体系结构》、ISO/IEC</w:t>
      </w:r>
      <w:r w:rsidRPr="00B65C7E">
        <w:rPr>
          <w:rFonts w:ascii="宋体" w:hAnsi="宋体"/>
          <w:szCs w:val="28"/>
        </w:rPr>
        <w:t xml:space="preserve"> </w:t>
      </w:r>
      <w:r w:rsidRPr="00B65C7E">
        <w:rPr>
          <w:rFonts w:ascii="宋体" w:hAnsi="宋体" w:hint="eastAsia"/>
          <w:szCs w:val="28"/>
        </w:rPr>
        <w:t>30141《物联网参考体系结构》、IEEE 2413-2019《物联网体系结构框架》、ITU-T 《物联网概述》等国际标准。调研了国家标准化技术委员会、国家物联网标准工作组等已制定的GB/T 33474-2016《物联网 参考体系结构》、GB/T 33745-2017《物联网 术语》、GB/T 36478.1-2018 《物联网 信息交换和共享 第1部分 总体架构 第2部分：通用技术要求》等国家标准等。</w:t>
      </w:r>
      <w:r w:rsidR="008A1322">
        <w:rPr>
          <w:rFonts w:ascii="宋体" w:hAnsi="宋体" w:hint="eastAsia"/>
          <w:szCs w:val="28"/>
        </w:rPr>
        <w:t>其中，</w:t>
      </w:r>
      <w:r w:rsidR="008A1322" w:rsidRPr="00B65C7E">
        <w:rPr>
          <w:rFonts w:ascii="宋体" w:hAnsi="宋体" w:hint="eastAsia"/>
          <w:szCs w:val="28"/>
        </w:rPr>
        <w:t>GB/T 33745-2017《物联网 术语》定义了体系结构、安全</w:t>
      </w:r>
      <w:r w:rsidR="008A1322">
        <w:rPr>
          <w:rFonts w:ascii="宋体" w:hAnsi="宋体" w:hint="eastAsia"/>
          <w:szCs w:val="28"/>
        </w:rPr>
        <w:t>等方面</w:t>
      </w:r>
      <w:r w:rsidR="008A1322" w:rsidRPr="00B65C7E">
        <w:rPr>
          <w:rFonts w:ascii="宋体" w:hAnsi="宋体" w:hint="eastAsia"/>
          <w:szCs w:val="28"/>
        </w:rPr>
        <w:t>的</w:t>
      </w:r>
      <w:r w:rsidR="008A1322">
        <w:rPr>
          <w:rFonts w:ascii="宋体" w:hAnsi="宋体" w:hint="eastAsia"/>
          <w:szCs w:val="28"/>
        </w:rPr>
        <w:t>规定，</w:t>
      </w:r>
      <w:r w:rsidR="008A1322">
        <w:t xml:space="preserve">GB/T 33474-2016 </w:t>
      </w:r>
      <w:r w:rsidR="008A1322">
        <w:rPr>
          <w:rFonts w:hint="eastAsia"/>
        </w:rPr>
        <w:t>《</w:t>
      </w:r>
      <w:r w:rsidR="008A1322">
        <w:t>物联网</w:t>
      </w:r>
      <w:r w:rsidR="008A1322">
        <w:t xml:space="preserve"> </w:t>
      </w:r>
      <w:r w:rsidR="008A1322">
        <w:t>参考体系结构</w:t>
      </w:r>
      <w:r w:rsidR="008A1322">
        <w:rPr>
          <w:rFonts w:hint="eastAsia"/>
        </w:rPr>
        <w:t>》从系统、通信、信息角度给出了物联网</w:t>
      </w:r>
      <w:r w:rsidR="00384472">
        <w:rPr>
          <w:rFonts w:hint="eastAsia"/>
        </w:rPr>
        <w:t>相关规定</w:t>
      </w:r>
      <w:r w:rsidR="008A1322">
        <w:rPr>
          <w:rFonts w:hint="eastAsia"/>
        </w:rPr>
        <w:t>。</w:t>
      </w:r>
      <w:r w:rsidRPr="00B65C7E">
        <w:rPr>
          <w:rFonts w:ascii="宋体" w:hAnsi="宋体" w:hint="eastAsia"/>
          <w:szCs w:val="28"/>
        </w:rPr>
        <w:t>在标准制定中，汲取了国际标准、国家标准对物联网范围</w:t>
      </w:r>
      <w:r w:rsidR="006237BA">
        <w:rPr>
          <w:rFonts w:ascii="宋体" w:hAnsi="宋体" w:hint="eastAsia"/>
          <w:szCs w:val="28"/>
        </w:rPr>
        <w:t>、物联网架构、</w:t>
      </w:r>
      <w:r w:rsidRPr="00B65C7E">
        <w:rPr>
          <w:rFonts w:ascii="宋体" w:hAnsi="宋体" w:hint="eastAsia"/>
          <w:szCs w:val="28"/>
        </w:rPr>
        <w:t>术语定义、</w:t>
      </w:r>
      <w:r w:rsidR="006237BA">
        <w:rPr>
          <w:rFonts w:ascii="宋体" w:hAnsi="宋体" w:hint="eastAsia"/>
          <w:szCs w:val="28"/>
        </w:rPr>
        <w:t>功能定位</w:t>
      </w:r>
      <w:r w:rsidRPr="00B65C7E">
        <w:rPr>
          <w:rFonts w:ascii="宋体" w:hAnsi="宋体" w:hint="eastAsia"/>
          <w:szCs w:val="28"/>
        </w:rPr>
        <w:t>等</w:t>
      </w:r>
      <w:r w:rsidR="006237BA">
        <w:rPr>
          <w:rFonts w:ascii="宋体" w:hAnsi="宋体" w:hint="eastAsia"/>
          <w:szCs w:val="28"/>
        </w:rPr>
        <w:t>概念、规定的</w:t>
      </w:r>
      <w:r w:rsidRPr="00B65C7E">
        <w:rPr>
          <w:rFonts w:ascii="宋体" w:hAnsi="宋体" w:hint="eastAsia"/>
          <w:szCs w:val="28"/>
        </w:rPr>
        <w:t>信息。</w:t>
      </w:r>
    </w:p>
    <w:p w14:paraId="71241A1C" w14:textId="3F4D608A" w:rsidR="006237BA" w:rsidRDefault="006237BA" w:rsidP="00136EA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（2）与电力物联网制定标准相关说明</w:t>
      </w:r>
    </w:p>
    <w:p w14:paraId="349892EC" w14:textId="36D7ABF4" w:rsidR="00136EAA" w:rsidRDefault="00136EAA" w:rsidP="00136EAA">
      <w:pPr>
        <w:autoSpaceDE w:val="0"/>
        <w:autoSpaceDN w:val="0"/>
        <w:adjustRightInd w:val="0"/>
        <w:spacing w:line="300" w:lineRule="auto"/>
        <w:ind w:firstLineChars="200" w:firstLine="420"/>
      </w:pPr>
      <w:r w:rsidRPr="00B65C7E">
        <w:rPr>
          <w:rFonts w:ascii="宋体" w:hAnsi="宋体" w:hint="eastAsia"/>
          <w:szCs w:val="28"/>
        </w:rPr>
        <w:t>已发布</w:t>
      </w:r>
      <w:r w:rsidR="006237BA">
        <w:rPr>
          <w:rFonts w:ascii="宋体" w:hAnsi="宋体" w:hint="eastAsia"/>
          <w:szCs w:val="28"/>
        </w:rPr>
        <w:t>电力物联网标准</w:t>
      </w:r>
      <w:r w:rsidRPr="00B65C7E">
        <w:rPr>
          <w:rFonts w:ascii="宋体" w:hAnsi="宋体" w:hint="eastAsia"/>
          <w:szCs w:val="28"/>
        </w:rPr>
        <w:t>包括DL/T 1732-2017《电力物联网传感器信息模型规范》、DL/T 2459-2021《电力物联网体系架构与功能》、DL/T 2529-2022《电力物联网信息模型规范》等。已经制定的团体标准包括T/CEC</w:t>
      </w:r>
      <w:r w:rsidRPr="00B65C7E">
        <w:rPr>
          <w:rFonts w:ascii="宋体" w:hAnsi="宋体"/>
          <w:szCs w:val="28"/>
        </w:rPr>
        <w:t xml:space="preserve"> </w:t>
      </w:r>
      <w:r w:rsidRPr="00B65C7E">
        <w:rPr>
          <w:rFonts w:ascii="宋体" w:hAnsi="宋体" w:hint="eastAsia"/>
          <w:szCs w:val="28"/>
        </w:rPr>
        <w:t>625-2022《电力物联网信息通信参考体系》、T/CEC 599-2022《电力物联网边缘物联代理接口协议》、T/CEC 614-2022《电力物联网边缘物联代理技术要求》、T/CEC 644-2022《电力物联网传感应用布局导则》等。</w:t>
      </w:r>
      <w:r w:rsidR="008A1322">
        <w:rPr>
          <w:rFonts w:ascii="宋体" w:hAnsi="宋体" w:hint="eastAsia"/>
          <w:szCs w:val="28"/>
        </w:rPr>
        <w:t>其中，</w:t>
      </w:r>
      <w:r w:rsidR="008A1322" w:rsidRPr="00B65C7E">
        <w:rPr>
          <w:rFonts w:ascii="宋体" w:hAnsi="宋体" w:hint="eastAsia"/>
          <w:szCs w:val="28"/>
        </w:rPr>
        <w:t>DL/T 2459-2021《电力物联网体系架构与功能》规定了电力物联网的层级架构、组成部分等重要内容</w:t>
      </w:r>
      <w:r w:rsidR="008A1322">
        <w:rPr>
          <w:rFonts w:ascii="宋体" w:hAnsi="宋体" w:hint="eastAsia"/>
          <w:szCs w:val="28"/>
        </w:rPr>
        <w:t>，</w:t>
      </w:r>
      <w:r w:rsidR="008A1322" w:rsidRPr="00B65C7E">
        <w:rPr>
          <w:rFonts w:ascii="宋体" w:hAnsi="宋体" w:hint="eastAsia"/>
          <w:szCs w:val="28"/>
        </w:rPr>
        <w:t>T/CEC 614-2022《电力物联网边缘物联代理技术要求》</w:t>
      </w:r>
      <w:r w:rsidR="00C613F4">
        <w:rPr>
          <w:rFonts w:ascii="宋体" w:hAnsi="宋体" w:hint="eastAsia"/>
          <w:szCs w:val="28"/>
        </w:rPr>
        <w:t>规定了边缘终端的技术、安全等要求，</w:t>
      </w:r>
      <w:r w:rsidR="008A1322" w:rsidRPr="00B65C7E">
        <w:rPr>
          <w:rFonts w:ascii="宋体" w:hAnsi="宋体" w:hint="eastAsia"/>
          <w:szCs w:val="28"/>
        </w:rPr>
        <w:t>T/CEC 644-2022《电力物联网传感应用布局导则》</w:t>
      </w:r>
      <w:r w:rsidR="00C613F4">
        <w:rPr>
          <w:rFonts w:ascii="宋体" w:hAnsi="宋体" w:hint="eastAsia"/>
          <w:szCs w:val="28"/>
        </w:rPr>
        <w:t>规定了传感终端部署原则</w:t>
      </w:r>
      <w:r w:rsidR="008A1322" w:rsidRPr="00B65C7E">
        <w:rPr>
          <w:rFonts w:ascii="宋体" w:hAnsi="宋体" w:hint="eastAsia"/>
          <w:szCs w:val="28"/>
        </w:rPr>
        <w:t>。</w:t>
      </w:r>
      <w:r w:rsidR="006237BA" w:rsidRPr="00B65C7E">
        <w:rPr>
          <w:rFonts w:ascii="宋体" w:hAnsi="宋体" w:hint="eastAsia"/>
          <w:szCs w:val="28"/>
        </w:rPr>
        <w:t>在标准编制中，密切关注电力行业物联网标准编制情况，</w:t>
      </w:r>
      <w:r w:rsidR="00E37F2A">
        <w:rPr>
          <w:rFonts w:ascii="宋体" w:hAnsi="宋体" w:hint="eastAsia"/>
          <w:szCs w:val="28"/>
        </w:rPr>
        <w:t>汲取了</w:t>
      </w:r>
      <w:r w:rsidR="006237BA" w:rsidRPr="00B65C7E">
        <w:rPr>
          <w:rFonts w:ascii="宋体" w:hAnsi="宋体" w:hint="eastAsia"/>
          <w:szCs w:val="28"/>
        </w:rPr>
        <w:t>电力物联网</w:t>
      </w:r>
      <w:r w:rsidR="00331953">
        <w:rPr>
          <w:rFonts w:ascii="宋体" w:hAnsi="宋体" w:hint="eastAsia"/>
          <w:szCs w:val="28"/>
        </w:rPr>
        <w:t>体系架构、传感器信息模型、边缘物联代理和云边协同等</w:t>
      </w:r>
      <w:r w:rsidR="00E37F2A">
        <w:rPr>
          <w:rFonts w:ascii="宋体" w:hAnsi="宋体" w:hint="eastAsia"/>
          <w:szCs w:val="28"/>
        </w:rPr>
        <w:t>概念、规定内容进入到本</w:t>
      </w:r>
      <w:r w:rsidR="006237BA" w:rsidRPr="00B65C7E">
        <w:rPr>
          <w:rFonts w:ascii="宋体" w:hAnsi="宋体" w:hint="eastAsia"/>
          <w:szCs w:val="28"/>
        </w:rPr>
        <w:t>标准</w:t>
      </w:r>
      <w:r w:rsidR="00E37F2A">
        <w:rPr>
          <w:rFonts w:ascii="宋体" w:hAnsi="宋体" w:hint="eastAsia"/>
          <w:szCs w:val="28"/>
        </w:rPr>
        <w:t>规范</w:t>
      </w:r>
      <w:r w:rsidR="006237BA" w:rsidRPr="00B65C7E">
        <w:rPr>
          <w:rFonts w:ascii="宋体" w:hAnsi="宋体" w:hint="eastAsia"/>
          <w:szCs w:val="28"/>
        </w:rPr>
        <w:t>中。</w:t>
      </w:r>
    </w:p>
    <w:p w14:paraId="20722E64" w14:textId="77777777" w:rsidR="00DA0465" w:rsidRDefault="004564D0">
      <w:pPr>
        <w:pStyle w:val="14"/>
        <w:spacing w:before="312" w:after="312"/>
        <w:rPr>
          <w:rFonts w:ascii="宋体" w:hAnsi="宋体"/>
          <w:szCs w:val="21"/>
        </w:rPr>
      </w:pPr>
      <w:bookmarkStart w:id="35" w:name="_Toc148371662"/>
      <w:bookmarkEnd w:id="34"/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标准实施措施说明</w:t>
      </w:r>
      <w:bookmarkEnd w:id="35"/>
    </w:p>
    <w:p w14:paraId="576A7337" w14:textId="77777777" w:rsidR="00DA0465" w:rsidRDefault="004564D0">
      <w:bookmarkStart w:id="36" w:name="_Toc533770106"/>
      <w:r>
        <w:t>无。</w:t>
      </w:r>
      <w:bookmarkEnd w:id="36"/>
    </w:p>
    <w:p w14:paraId="29D2EA5C" w14:textId="77777777" w:rsidR="00DA0465" w:rsidRDefault="00DA0465">
      <w:pPr>
        <w:pStyle w:val="af6"/>
        <w:jc w:val="left"/>
      </w:pPr>
    </w:p>
    <w:sectPr w:rsidR="00DA0465">
      <w:headerReference w:type="default" r:id="rId12"/>
      <w:footerReference w:type="default" r:id="rId13"/>
      <w:pgSz w:w="11906" w:h="16838"/>
      <w:pgMar w:top="1440" w:right="1797" w:bottom="1418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561E" w14:textId="77777777" w:rsidR="00E132C8" w:rsidRDefault="00E132C8">
      <w:r>
        <w:separator/>
      </w:r>
    </w:p>
  </w:endnote>
  <w:endnote w:type="continuationSeparator" w:id="0">
    <w:p w14:paraId="59326E9A" w14:textId="77777777" w:rsidR="00E132C8" w:rsidRDefault="00E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7384" w14:textId="77777777" w:rsidR="00DA0465" w:rsidRDefault="00DA046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7F24" w14:textId="77777777" w:rsidR="00DA0465" w:rsidRDefault="004564D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46</w:t>
    </w:r>
    <w:r>
      <w:rPr>
        <w:lang w:val="zh-CN"/>
      </w:rPr>
      <w:fldChar w:fldCharType="end"/>
    </w:r>
  </w:p>
  <w:p w14:paraId="0F93648B" w14:textId="77777777" w:rsidR="00DA0465" w:rsidRDefault="00DA046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FF7" w14:textId="77777777" w:rsidR="00E132C8" w:rsidRDefault="00E132C8">
      <w:r>
        <w:separator/>
      </w:r>
    </w:p>
  </w:footnote>
  <w:footnote w:type="continuationSeparator" w:id="0">
    <w:p w14:paraId="666CDAB6" w14:textId="77777777" w:rsidR="00E132C8" w:rsidRDefault="00E1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D26D" w14:textId="77777777" w:rsidR="00DA0465" w:rsidRDefault="004564D0">
    <w:pPr>
      <w:pStyle w:val="aff2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Ansi="宋体" w:hint="eastAsia"/>
      </w:rPr>
      <w:t xml:space="preserve"> </w:t>
    </w:r>
    <w:r>
      <w:rPr>
        <w:rFonts w:hAnsi="黑体" w:hint="eastAsia"/>
      </w:rPr>
      <w:t>XX-XXX</w:t>
    </w:r>
    <w:r>
      <w:rPr>
        <w:rFonts w:hAnsi="黑体"/>
      </w:rPr>
      <w:t>—</w:t>
    </w:r>
    <w:r>
      <w:rPr>
        <w:rFonts w:hAnsi="黑体" w:hint="eastAsia"/>
      </w:rPr>
      <w:t>2012-1XXXX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E88F" w14:textId="77777777" w:rsidR="00DA0465" w:rsidRDefault="004564D0">
    <w:pPr>
      <w:pStyle w:val="aff2"/>
      <w:wordWrap w:val="0"/>
    </w:pPr>
    <w:r>
      <w:rPr>
        <w:rFonts w:hint="eastAsia"/>
      </w:rPr>
      <w:t>T</w:t>
    </w:r>
    <w:r>
      <w:t>/</w:t>
    </w:r>
    <w:r>
      <w:rPr>
        <w:rFonts w:hint="eastAsia"/>
      </w:rPr>
      <w:t>CSEE</w:t>
    </w:r>
    <w:r>
      <w:rPr>
        <w:rFonts w:hAnsi="黑体" w:hint="eastAsia"/>
      </w:rPr>
      <w:t xml:space="preserve"> XXXX-YYYY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7B2" w14:textId="77777777" w:rsidR="00DA0465" w:rsidRDefault="00DA0465">
    <w:pPr>
      <w:pStyle w:val="aff2"/>
      <w:wordWrap w:val="0"/>
      <w:spacing w:before="120"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2FE5" w14:textId="77777777" w:rsidR="00DA0465" w:rsidRDefault="00DA0465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32031"/>
    <w:multiLevelType w:val="singleLevel"/>
    <w:tmpl w:val="A353203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Letter"/>
      <w:pStyle w:val="a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pStyle w:val="a0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lowerLetter"/>
      <w:pStyle w:val="a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upperLetter"/>
      <w:pStyle w:val="a2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71E5F41"/>
    <w:multiLevelType w:val="multilevel"/>
    <w:tmpl w:val="00000000"/>
    <w:lvl w:ilvl="0">
      <w:start w:val="1"/>
      <w:numFmt w:val="decimal"/>
      <w:pStyle w:val="a5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425419177">
    <w:abstractNumId w:val="6"/>
  </w:num>
  <w:num w:numId="2" w16cid:durableId="1069689691">
    <w:abstractNumId w:val="5"/>
  </w:num>
  <w:num w:numId="3" w16cid:durableId="1424105065">
    <w:abstractNumId w:val="4"/>
  </w:num>
  <w:num w:numId="4" w16cid:durableId="1332757963">
    <w:abstractNumId w:val="2"/>
  </w:num>
  <w:num w:numId="5" w16cid:durableId="1731347832">
    <w:abstractNumId w:val="1"/>
  </w:num>
  <w:num w:numId="6" w16cid:durableId="1359234981">
    <w:abstractNumId w:val="3"/>
  </w:num>
  <w:num w:numId="7" w16cid:durableId="134605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wNGEwMjY3ZTU0YjYyNGMzMGNmZDY5YWEzN2JkYjIifQ=="/>
    <w:docVar w:name="KSO_WPS_MARK_KEY" w:val="9bf975a6-ad4a-4b24-a083-111b5f873eae"/>
  </w:docVars>
  <w:rsids>
    <w:rsidRoot w:val="00DA0465"/>
    <w:rsid w:val="00024B81"/>
    <w:rsid w:val="0005151B"/>
    <w:rsid w:val="00083A39"/>
    <w:rsid w:val="00090138"/>
    <w:rsid w:val="00107B3F"/>
    <w:rsid w:val="00136EAA"/>
    <w:rsid w:val="00154775"/>
    <w:rsid w:val="00183BD6"/>
    <w:rsid w:val="00313D6B"/>
    <w:rsid w:val="00331953"/>
    <w:rsid w:val="003366CA"/>
    <w:rsid w:val="00384472"/>
    <w:rsid w:val="003C51AF"/>
    <w:rsid w:val="003D0222"/>
    <w:rsid w:val="004564D0"/>
    <w:rsid w:val="0055667E"/>
    <w:rsid w:val="00567CF0"/>
    <w:rsid w:val="0059525E"/>
    <w:rsid w:val="006237BA"/>
    <w:rsid w:val="0063041F"/>
    <w:rsid w:val="006348BC"/>
    <w:rsid w:val="00662A31"/>
    <w:rsid w:val="006C1C68"/>
    <w:rsid w:val="006E2D1F"/>
    <w:rsid w:val="00794987"/>
    <w:rsid w:val="00884557"/>
    <w:rsid w:val="008A1322"/>
    <w:rsid w:val="00961024"/>
    <w:rsid w:val="009F38A0"/>
    <w:rsid w:val="00A2371A"/>
    <w:rsid w:val="00AF29AF"/>
    <w:rsid w:val="00BC556A"/>
    <w:rsid w:val="00C613F4"/>
    <w:rsid w:val="00DA0465"/>
    <w:rsid w:val="00E132C8"/>
    <w:rsid w:val="00E3436A"/>
    <w:rsid w:val="00E37F2A"/>
    <w:rsid w:val="00E76E80"/>
    <w:rsid w:val="00EE5408"/>
    <w:rsid w:val="02326A56"/>
    <w:rsid w:val="073F6ECA"/>
    <w:rsid w:val="07C4445A"/>
    <w:rsid w:val="08AE6343"/>
    <w:rsid w:val="097E3F67"/>
    <w:rsid w:val="0B420FC5"/>
    <w:rsid w:val="0D3B5CCB"/>
    <w:rsid w:val="11AE2F10"/>
    <w:rsid w:val="1A5F749D"/>
    <w:rsid w:val="1EBB6C6C"/>
    <w:rsid w:val="1FD22D3D"/>
    <w:rsid w:val="20C15E64"/>
    <w:rsid w:val="22F12DAA"/>
    <w:rsid w:val="265359DC"/>
    <w:rsid w:val="26C02ED5"/>
    <w:rsid w:val="27887F6A"/>
    <w:rsid w:val="2A0E2C98"/>
    <w:rsid w:val="322236A7"/>
    <w:rsid w:val="379320DC"/>
    <w:rsid w:val="37CE4BB9"/>
    <w:rsid w:val="381C6452"/>
    <w:rsid w:val="3AE37430"/>
    <w:rsid w:val="42153B76"/>
    <w:rsid w:val="43AB3F01"/>
    <w:rsid w:val="4622605D"/>
    <w:rsid w:val="4B1A7E4E"/>
    <w:rsid w:val="4C466627"/>
    <w:rsid w:val="4DCF4404"/>
    <w:rsid w:val="4E557C94"/>
    <w:rsid w:val="5023629C"/>
    <w:rsid w:val="59AC5554"/>
    <w:rsid w:val="5A610DD7"/>
    <w:rsid w:val="5E8A1FFF"/>
    <w:rsid w:val="5F6E623B"/>
    <w:rsid w:val="60B55159"/>
    <w:rsid w:val="61025A59"/>
    <w:rsid w:val="62135725"/>
    <w:rsid w:val="676F196F"/>
    <w:rsid w:val="68D12EFD"/>
    <w:rsid w:val="6F3410B3"/>
    <w:rsid w:val="74586FFB"/>
    <w:rsid w:val="74DC6663"/>
    <w:rsid w:val="766E6728"/>
    <w:rsid w:val="784700EF"/>
    <w:rsid w:val="7DA912DF"/>
    <w:rsid w:val="7F6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A3E78"/>
  <w15:docId w15:val="{2FE67A43-5EC9-48EC-AB93-090773CA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qFormat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next w:val="a8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7"/>
    <w:next w:val="a7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Body Text"/>
    <w:basedOn w:val="a7"/>
    <w:link w:val="ac"/>
    <w:uiPriority w:val="99"/>
    <w:qFormat/>
    <w:pPr>
      <w:spacing w:after="120"/>
    </w:pPr>
    <w:rPr>
      <w:rFonts w:ascii="Times New Roman" w:hAnsi="Times New Roman"/>
      <w:szCs w:val="20"/>
    </w:rPr>
  </w:style>
  <w:style w:type="paragraph" w:styleId="ad">
    <w:name w:val="annotation text"/>
    <w:basedOn w:val="a7"/>
    <w:link w:val="ae"/>
    <w:uiPriority w:val="99"/>
    <w:qFormat/>
    <w:pPr>
      <w:jc w:val="left"/>
    </w:pPr>
  </w:style>
  <w:style w:type="paragraph" w:styleId="TOC3">
    <w:name w:val="toc 3"/>
    <w:basedOn w:val="TOC2"/>
    <w:next w:val="a7"/>
    <w:uiPriority w:val="39"/>
    <w:qFormat/>
    <w:pPr>
      <w:ind w:leftChars="100" w:left="100"/>
    </w:pPr>
  </w:style>
  <w:style w:type="paragraph" w:styleId="TOC2">
    <w:name w:val="toc 2"/>
    <w:basedOn w:val="TOC1"/>
    <w:next w:val="a7"/>
    <w:uiPriority w:val="39"/>
    <w:qFormat/>
  </w:style>
  <w:style w:type="paragraph" w:styleId="TOC1">
    <w:name w:val="toc 1"/>
    <w:basedOn w:val="a7"/>
    <w:next w:val="a7"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 w:hAnsi="Times New Roman"/>
      <w:szCs w:val="21"/>
    </w:rPr>
  </w:style>
  <w:style w:type="paragraph" w:styleId="af">
    <w:name w:val="Balloon Text"/>
    <w:basedOn w:val="a7"/>
    <w:link w:val="af0"/>
    <w:uiPriority w:val="99"/>
    <w:qFormat/>
    <w:rPr>
      <w:kern w:val="0"/>
      <w:sz w:val="18"/>
      <w:szCs w:val="18"/>
    </w:rPr>
  </w:style>
  <w:style w:type="paragraph" w:styleId="af1">
    <w:name w:val="footer"/>
    <w:basedOn w:val="a7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3">
    <w:name w:val="header"/>
    <w:basedOn w:val="a7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5">
    <w:name w:val="Normal (Web)"/>
    <w:basedOn w:val="a7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7"/>
    <w:next w:val="a7"/>
    <w:link w:val="af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8">
    <w:name w:val="annotation subject"/>
    <w:basedOn w:val="ad"/>
    <w:next w:val="ad"/>
    <w:link w:val="af9"/>
    <w:uiPriority w:val="99"/>
    <w:qFormat/>
    <w:rPr>
      <w:b/>
      <w:bCs/>
    </w:rPr>
  </w:style>
  <w:style w:type="character" w:styleId="afa">
    <w:name w:val="page number"/>
    <w:qFormat/>
    <w:rPr>
      <w:rFonts w:ascii="Times New Roman" w:eastAsia="宋体" w:hAnsi="Times New Roman"/>
      <w:sz w:val="18"/>
    </w:rPr>
  </w:style>
  <w:style w:type="character" w:styleId="afb">
    <w:name w:val="Hyperlink"/>
    <w:uiPriority w:val="99"/>
    <w:qFormat/>
    <w:rPr>
      <w:rFonts w:cs="Times New Roman"/>
      <w:color w:val="0563C1"/>
      <w:u w:val="single"/>
    </w:rPr>
  </w:style>
  <w:style w:type="character" w:styleId="afc">
    <w:name w:val="annotation reference"/>
    <w:uiPriority w:val="99"/>
    <w:qFormat/>
    <w:rPr>
      <w:sz w:val="21"/>
      <w:szCs w:val="21"/>
    </w:rPr>
  </w:style>
  <w:style w:type="character" w:customStyle="1" w:styleId="10">
    <w:name w:val="标题 1 字符"/>
    <w:basedOn w:val="a9"/>
    <w:link w:val="1"/>
    <w:uiPriority w:val="9"/>
    <w:qFormat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e">
    <w:name w:val="批注文字 字符"/>
    <w:link w:val="ad"/>
    <w:uiPriority w:val="99"/>
    <w:qFormat/>
    <w:rPr>
      <w:kern w:val="2"/>
      <w:sz w:val="21"/>
      <w:szCs w:val="22"/>
    </w:rPr>
  </w:style>
  <w:style w:type="character" w:customStyle="1" w:styleId="af9">
    <w:name w:val="批注主题 字符"/>
    <w:link w:val="af8"/>
    <w:uiPriority w:val="99"/>
    <w:qFormat/>
    <w:rPr>
      <w:b/>
      <w:bCs/>
      <w:kern w:val="2"/>
      <w:sz w:val="21"/>
      <w:szCs w:val="22"/>
    </w:rPr>
  </w:style>
  <w:style w:type="character" w:customStyle="1" w:styleId="af0">
    <w:name w:val="批注框文本 字符"/>
    <w:link w:val="af"/>
    <w:uiPriority w:val="99"/>
    <w:qFormat/>
    <w:rPr>
      <w:rFonts w:cs="Times New Roman"/>
      <w:sz w:val="18"/>
      <w:szCs w:val="18"/>
    </w:rPr>
  </w:style>
  <w:style w:type="character" w:customStyle="1" w:styleId="af2">
    <w:name w:val="页脚 字符"/>
    <w:link w:val="af1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f4">
    <w:name w:val="页眉 字符"/>
    <w:link w:val="af3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f7">
    <w:name w:val="标题 字符"/>
    <w:link w:val="af6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7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uiPriority w:val="99"/>
    <w:qFormat/>
    <w:rPr>
      <w:rFonts w:ascii="Calibri" w:hAnsi="Calibri" w:cs="Calibri"/>
      <w:kern w:val="2"/>
      <w:sz w:val="21"/>
      <w:szCs w:val="22"/>
    </w:rPr>
  </w:style>
  <w:style w:type="character" w:customStyle="1" w:styleId="ac">
    <w:name w:val="正文文本 字符"/>
    <w:basedOn w:val="a9"/>
    <w:link w:val="a8"/>
    <w:uiPriority w:val="99"/>
    <w:qFormat/>
    <w:rPr>
      <w:rFonts w:ascii="Times New Roman" w:hAnsi="Times New Roman" w:cs="Times New Roman"/>
      <w:kern w:val="2"/>
      <w:sz w:val="21"/>
    </w:rPr>
  </w:style>
  <w:style w:type="paragraph" w:customStyle="1" w:styleId="afd">
    <w:name w:val="封面一致性程度标识"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GB">
    <w:name w:val="发布GB"/>
    <w:basedOn w:val="a8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aff">
    <w:name w:val="二级无标题条"/>
    <w:basedOn w:val="aff0"/>
    <w:qFormat/>
    <w:pPr>
      <w:spacing w:before="0" w:after="0"/>
    </w:pPr>
    <w:rPr>
      <w:rFonts w:eastAsia="宋体"/>
    </w:rPr>
  </w:style>
  <w:style w:type="paragraph" w:customStyle="1" w:styleId="aff0">
    <w:name w:val="二级条标题"/>
    <w:basedOn w:val="a6"/>
    <w:next w:val="aff1"/>
    <w:qFormat/>
    <w:pPr>
      <w:numPr>
        <w:ilvl w:val="0"/>
        <w:numId w:val="0"/>
      </w:numPr>
      <w:spacing w:before="50" w:after="50"/>
      <w:ind w:left="568"/>
      <w:outlineLvl w:val="9"/>
    </w:pPr>
  </w:style>
  <w:style w:type="paragraph" w:customStyle="1" w:styleId="a6">
    <w:name w:val="一级条标题"/>
    <w:next w:val="aff1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1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2">
    <w:name w:val="标准书眉_奇数页"/>
    <w:next w:val="a7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5">
    <w:name w:val="章标题"/>
    <w:next w:val="aff1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3">
    <w:name w:val="标准书眉一"/>
    <w:qFormat/>
    <w:pPr>
      <w:jc w:val="both"/>
    </w:pPr>
  </w:style>
  <w:style w:type="paragraph" w:customStyle="1" w:styleId="aff4">
    <w:name w:val="封面标准代替信息"/>
    <w:basedOn w:val="2"/>
    <w:qFormat/>
    <w:pPr>
      <w:spacing w:before="0" w:line="360" w:lineRule="exact"/>
    </w:pPr>
    <w:rPr>
      <w:rFonts w:hAnsi="黑体"/>
      <w:sz w:val="21"/>
    </w:rPr>
  </w:style>
  <w:style w:type="paragraph" w:customStyle="1" w:styleId="2">
    <w:name w:val="封面标准号2"/>
    <w:basedOn w:val="13"/>
    <w:qFormat/>
    <w:pPr>
      <w:adjustRightInd w:val="0"/>
      <w:spacing w:before="357" w:line="280" w:lineRule="exact"/>
    </w:p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aff5">
    <w:name w:val="名称"/>
    <w:basedOn w:val="aff6"/>
    <w:next w:val="aff1"/>
    <w:qFormat/>
    <w:pPr>
      <w:spacing w:line="460" w:lineRule="exact"/>
      <w:outlineLvl w:val="9"/>
    </w:pPr>
  </w:style>
  <w:style w:type="paragraph" w:customStyle="1" w:styleId="aff6">
    <w:name w:val="前言、引言标题"/>
    <w:next w:val="a7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3">
    <w:name w:val="附录标识"/>
    <w:basedOn w:val="a7"/>
    <w:next w:val="a7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7">
    <w:name w:val="一级无标题条"/>
    <w:basedOn w:val="a6"/>
    <w:qFormat/>
    <w:pPr>
      <w:spacing w:before="0" w:after="0"/>
      <w:outlineLvl w:val="9"/>
    </w:pPr>
    <w:rPr>
      <w:rFonts w:eastAsia="宋体"/>
    </w:rPr>
  </w:style>
  <w:style w:type="paragraph" w:customStyle="1" w:styleId="aff8">
    <w:name w:val="标准书眉_偶数页"/>
    <w:basedOn w:val="aff2"/>
    <w:next w:val="a7"/>
    <w:qFormat/>
    <w:pPr>
      <w:jc w:val="left"/>
    </w:pPr>
  </w:style>
  <w:style w:type="paragraph" w:customStyle="1" w:styleId="aff9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a">
    <w:name w:val="实施日期"/>
    <w:basedOn w:val="affb"/>
    <w:qFormat/>
    <w:pPr>
      <w:jc w:val="right"/>
    </w:pPr>
  </w:style>
  <w:style w:type="paragraph" w:customStyle="1" w:styleId="affb">
    <w:name w:val="发布日期"/>
    <w:qFormat/>
    <w:rPr>
      <w:rFonts w:ascii="黑体" w:eastAsia="黑体" w:hAnsi="黑体"/>
      <w:sz w:val="28"/>
    </w:rPr>
  </w:style>
  <w:style w:type="paragraph" w:customStyle="1" w:styleId="a2">
    <w:name w:val="附录表标号"/>
    <w:basedOn w:val="a7"/>
    <w:next w:val="aff1"/>
    <w:qFormat/>
    <w:pPr>
      <w:numPr>
        <w:numId w:val="3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14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ffc">
    <w:name w:val="目次、标准名称标题"/>
    <w:basedOn w:val="aff6"/>
    <w:next w:val="aff1"/>
    <w:qFormat/>
    <w:pPr>
      <w:keepNext/>
      <w:pageBreakBefore/>
      <w:spacing w:line="460" w:lineRule="exact"/>
    </w:pPr>
  </w:style>
  <w:style w:type="paragraph" w:customStyle="1" w:styleId="TB">
    <w:name w:val="发布TB"/>
    <w:basedOn w:val="GB"/>
    <w:qFormat/>
    <w:pPr>
      <w:ind w:left="567"/>
    </w:pPr>
  </w:style>
  <w:style w:type="paragraph" w:styleId="affd">
    <w:name w:val="List Paragraph"/>
    <w:basedOn w:val="a7"/>
    <w:uiPriority w:val="34"/>
    <w:qFormat/>
    <w:pPr>
      <w:ind w:firstLineChars="200" w:firstLine="420"/>
    </w:pPr>
  </w:style>
  <w:style w:type="paragraph" w:customStyle="1" w:styleId="a4">
    <w:name w:val="附录章标题"/>
    <w:next w:val="aff1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TB0">
    <w:name w:val="发布部门TB"/>
    <w:basedOn w:val="a7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har">
    <w:name w:val="Char"/>
    <w:basedOn w:val="a7"/>
    <w:qFormat/>
    <w:rPr>
      <w:rFonts w:ascii="Times New Roman" w:hAnsi="Times New Roman"/>
      <w:szCs w:val="24"/>
    </w:rPr>
  </w:style>
  <w:style w:type="paragraph" w:customStyle="1" w:styleId="affe">
    <w:name w:val="封面正文"/>
    <w:qFormat/>
    <w:pPr>
      <w:jc w:val="both"/>
    </w:pPr>
  </w:style>
  <w:style w:type="paragraph" w:customStyle="1" w:styleId="a0">
    <w:name w:val="列项——（一级）"/>
    <w:qFormat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0">
    <w:name w:val="标准书脚_偶数页"/>
    <w:qFormat/>
    <w:pPr>
      <w:spacing w:before="120"/>
    </w:pPr>
    <w:rPr>
      <w:sz w:val="18"/>
    </w:rPr>
  </w:style>
  <w:style w:type="paragraph" w:customStyle="1" w:styleId="ICS">
    <w:name w:val="ICS"/>
    <w:basedOn w:val="affe"/>
    <w:qFormat/>
    <w:pPr>
      <w:jc w:val="left"/>
    </w:pPr>
    <w:rPr>
      <w:rFonts w:ascii="黑体" w:eastAsia="黑体"/>
      <w:sz w:val="21"/>
    </w:rPr>
  </w:style>
  <w:style w:type="paragraph" w:customStyle="1" w:styleId="a">
    <w:name w:val="附录图标号"/>
    <w:basedOn w:val="a7"/>
    <w:next w:val="aff1"/>
    <w:qFormat/>
    <w:pPr>
      <w:numPr>
        <w:numId w:val="5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afff1">
    <w:name w:val="术语定义一级条标题"/>
    <w:basedOn w:val="a6"/>
    <w:next w:val="aff1"/>
    <w:qFormat/>
    <w:pPr>
      <w:spacing w:before="0" w:after="0"/>
      <w:outlineLvl w:val="9"/>
    </w:pPr>
  </w:style>
  <w:style w:type="paragraph" w:customStyle="1" w:styleId="a1">
    <w:name w:val="字母编号列项（一级）"/>
    <w:qFormat/>
    <w:pPr>
      <w:numPr>
        <w:numId w:val="6"/>
      </w:numPr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ED08-4220-4C19-9CB8-BB84FF65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中国电机工程学会标准</dc:title>
  <dc:creator>MYQ</dc:creator>
  <cp:lastModifiedBy>cepri</cp:lastModifiedBy>
  <cp:revision>35</cp:revision>
  <cp:lastPrinted>2023-03-20T00:33:00Z</cp:lastPrinted>
  <dcterms:created xsi:type="dcterms:W3CDTF">2022-10-18T02:25:00Z</dcterms:created>
  <dcterms:modified xsi:type="dcterms:W3CDTF">2023-10-20T01:00:00Z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245C433CBF0A435F916E3A0BF4287BF8_13</vt:lpwstr>
  </property>
</Properties>
</file>